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2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800"/>
        <w:spacing w:after="0"/>
        <w:rPr>
          <w:sz w:val="20"/>
          <w:szCs w:val="20"/>
          <w:color w:val="auto"/>
        </w:rPr>
      </w:pPr>
      <w:r>
        <w:rPr>
          <w:rFonts w:ascii="Arial" w:cs="Arial" w:eastAsia="Arial" w:hAnsi="Arial"/>
          <w:sz w:val="18"/>
          <w:szCs w:val="18"/>
          <w:b w:val="1"/>
          <w:bCs w:val="1"/>
          <w:color w:val="auto"/>
        </w:rPr>
        <w:t>Washington, D.C. 20549</w:t>
      </w:r>
    </w:p>
    <w:p>
      <w:pPr>
        <w:spacing w:after="0" w:line="107" w:lineRule="exact"/>
        <w:rPr>
          <w:sz w:val="24"/>
          <w:szCs w:val="24"/>
          <w:color w:val="auto"/>
        </w:rPr>
      </w:pPr>
    </w:p>
    <w:p>
      <w:pPr>
        <w:jc w:val="center"/>
        <w:ind w:right="-800"/>
        <w:spacing w:after="0"/>
        <w:rPr>
          <w:sz w:val="20"/>
          <w:szCs w:val="20"/>
          <w:color w:val="auto"/>
        </w:rPr>
      </w:pPr>
      <w:r>
        <w:rPr>
          <w:rFonts w:ascii="Arial" w:cs="Arial" w:eastAsia="Arial" w:hAnsi="Arial"/>
          <w:sz w:val="25"/>
          <w:szCs w:val="25"/>
          <w:b w:val="1"/>
          <w:bCs w:val="1"/>
          <w:color w:val="auto"/>
        </w:rPr>
        <w:t>SCHEDULE 14A</w:t>
      </w:r>
    </w:p>
    <w:p>
      <w:pPr>
        <w:spacing w:after="0" w:line="164"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14"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86" w:lineRule="exact"/>
        <w:rPr>
          <w:sz w:val="24"/>
          <w:szCs w:val="24"/>
          <w:color w:val="auto"/>
        </w:rPr>
      </w:pPr>
    </w:p>
    <w:p>
      <w:pPr>
        <w:ind w:left="920"/>
        <w:spacing w:after="0" w:line="207" w:lineRule="exact"/>
        <w:tabs>
          <w:tab w:leader="none" w:pos="294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left="920"/>
        <w:spacing w:after="0" w:line="207" w:lineRule="exact"/>
        <w:tabs>
          <w:tab w:leader="none" w:pos="448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84" w:lineRule="exact"/>
        <w:rPr>
          <w:sz w:val="24"/>
          <w:szCs w:val="24"/>
          <w:color w:val="auto"/>
        </w:rPr>
      </w:pPr>
    </w:p>
    <w:p>
      <w:pPr>
        <w:ind w:left="920"/>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1280" w:hanging="356"/>
        <w:spacing w:after="0"/>
        <w:tabs>
          <w:tab w:leader="none" w:pos="12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44" w:lineRule="exact"/>
        <w:rPr>
          <w:rFonts w:ascii="MS PGothic" w:cs="MS PGothic" w:eastAsia="MS PGothic" w:hAnsi="MS PGothic"/>
          <w:sz w:val="18"/>
          <w:szCs w:val="18"/>
          <w:color w:val="auto"/>
        </w:rPr>
      </w:pPr>
    </w:p>
    <w:p>
      <w:pPr>
        <w:ind w:left="1280" w:hanging="356"/>
        <w:spacing w:after="0"/>
        <w:tabs>
          <w:tab w:leader="none" w:pos="12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44" w:lineRule="exact"/>
        <w:rPr>
          <w:sz w:val="24"/>
          <w:szCs w:val="24"/>
          <w:color w:val="auto"/>
        </w:rPr>
      </w:pPr>
    </w:p>
    <w:p>
      <w:pPr>
        <w:ind w:left="1280" w:hanging="356"/>
        <w:spacing w:after="0"/>
        <w:tabs>
          <w:tab w:leader="none" w:pos="1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44" w:lineRule="exact"/>
        <w:rPr>
          <w:sz w:val="24"/>
          <w:szCs w:val="24"/>
          <w:color w:val="auto"/>
        </w:rPr>
      </w:pPr>
    </w:p>
    <w:p>
      <w:pPr>
        <w:ind w:left="1280" w:hanging="356"/>
        <w:spacing w:after="0"/>
        <w:tabs>
          <w:tab w:leader="none" w:pos="12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280" w:hanging="356"/>
        <w:spacing w:after="0"/>
        <w:tabs>
          <w:tab w:leader="none" w:pos="12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15" w:lineRule="exact"/>
        <w:rPr>
          <w:sz w:val="24"/>
          <w:szCs w:val="24"/>
          <w:color w:val="auto"/>
        </w:rPr>
      </w:pPr>
    </w:p>
    <w:p>
      <w:pPr>
        <w:jc w:val="center"/>
        <w:ind w:right="-800"/>
        <w:spacing w:after="0"/>
        <w:rPr>
          <w:sz w:val="20"/>
          <w:szCs w:val="20"/>
          <w:color w:val="auto"/>
        </w:rPr>
      </w:pPr>
      <w:r>
        <w:rPr>
          <w:rFonts w:ascii="Arial" w:cs="Arial" w:eastAsia="Arial" w:hAnsi="Arial"/>
          <w:sz w:val="29"/>
          <w:szCs w:val="29"/>
          <w:b w:val="1"/>
          <w:bCs w:val="1"/>
          <w:color w:val="auto"/>
        </w:rPr>
        <w:t>Ribbon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585470</wp:posOffset>
            </wp:positionH>
            <wp:positionV relativeFrom="paragraph">
              <wp:posOffset>24130</wp:posOffset>
            </wp:positionV>
            <wp:extent cx="56235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8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585470</wp:posOffset>
            </wp:positionH>
            <wp:positionV relativeFrom="paragraph">
              <wp:posOffset>128905</wp:posOffset>
            </wp:positionV>
            <wp:extent cx="5623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5" w:lineRule="exact"/>
        <w:rPr>
          <w:sz w:val="24"/>
          <w:szCs w:val="24"/>
          <w:color w:val="auto"/>
        </w:rPr>
      </w:pPr>
    </w:p>
    <w:p>
      <w:pPr>
        <w:ind w:left="23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44" w:lineRule="exact"/>
        <w:rPr>
          <w:sz w:val="24"/>
          <w:szCs w:val="24"/>
          <w:color w:val="auto"/>
        </w:rPr>
      </w:pPr>
    </w:p>
    <w:p>
      <w:pPr>
        <w:ind w:left="920"/>
        <w:spacing w:after="0"/>
        <w:rPr>
          <w:sz w:val="20"/>
          <w:szCs w:val="20"/>
          <w:color w:val="auto"/>
        </w:rPr>
      </w:pPr>
      <w:r>
        <w:rPr>
          <w:rFonts w:ascii="Arial" w:cs="Arial" w:eastAsia="Arial" w:hAnsi="Arial"/>
          <w:sz w:val="18"/>
          <w:szCs w:val="18"/>
          <w:color w:val="auto"/>
        </w:rPr>
        <w:t>Payment of Filing Fee (Check all boxes that apply):</w:t>
      </w:r>
    </w:p>
    <w:p>
      <w:pPr>
        <w:spacing w:after="0" w:line="144" w:lineRule="exact"/>
        <w:rPr>
          <w:sz w:val="24"/>
          <w:szCs w:val="24"/>
          <w:color w:val="auto"/>
        </w:rPr>
      </w:pPr>
    </w:p>
    <w:p>
      <w:pPr>
        <w:ind w:left="1280" w:hanging="356"/>
        <w:spacing w:after="0"/>
        <w:tabs>
          <w:tab w:leader="none" w:pos="12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1280" w:hanging="356"/>
        <w:spacing w:after="0"/>
        <w:tabs>
          <w:tab w:leader="none" w:pos="12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280" w:hanging="356"/>
        <w:spacing w:after="0"/>
        <w:tabs>
          <w:tab w:leader="none" w:pos="12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3973830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-81280</wp:posOffset>
            </wp:positionV>
            <wp:extent cx="7016115" cy="9133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6115" cy="913384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-80645</wp:posOffset>
            </wp:positionV>
            <wp:extent cx="6669405" cy="12687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940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4019"/>
        <w:spacing w:after="0"/>
        <w:rPr>
          <w:sz w:val="20"/>
          <w:szCs w:val="20"/>
          <w:color w:val="auto"/>
        </w:rPr>
      </w:pPr>
      <w:r>
        <w:rPr>
          <w:rFonts w:ascii="Arial" w:cs="Arial" w:eastAsia="Arial" w:hAnsi="Arial"/>
          <w:sz w:val="36"/>
          <w:szCs w:val="36"/>
          <w:b w:val="1"/>
          <w:bCs w:val="1"/>
          <w:color w:val="E7417A"/>
        </w:rPr>
        <w:t>Dear Fellow Stockholders,</w:t>
      </w:r>
    </w:p>
    <w:p>
      <w:pPr>
        <w:sectPr>
          <w:pgSz w:w="11900" w:h="16838" w:orient="portrait"/>
          <w:cols w:equalWidth="0" w:num="1">
            <w:col w:w="9879"/>
          </w:cols>
          <w:pgMar w:left="580" w:top="97" w:right="1440" w:bottom="1440" w:gutter="0" w:footer="0" w:header="0"/>
        </w:sectPr>
      </w:pPr>
    </w:p>
    <w:p>
      <w:pPr>
        <w:spacing w:after="0" w:line="145" w:lineRule="exact"/>
        <w:rPr>
          <w:sz w:val="20"/>
          <w:szCs w:val="20"/>
          <w:color w:val="auto"/>
        </w:rPr>
      </w:pPr>
    </w:p>
    <w:p>
      <w:pPr>
        <w:ind w:left="920"/>
        <w:spacing w:after="0" w:line="246" w:lineRule="auto"/>
        <w:rPr>
          <w:sz w:val="20"/>
          <w:szCs w:val="20"/>
          <w:color w:val="auto"/>
        </w:rPr>
      </w:pPr>
      <w:r>
        <w:rPr>
          <w:rFonts w:ascii="Arial" w:cs="Arial" w:eastAsia="Arial" w:hAnsi="Arial"/>
          <w:sz w:val="18"/>
          <w:szCs w:val="18"/>
          <w:color w:val="auto"/>
        </w:rPr>
        <w:t>We started 2025 in a strong position following a record fourth quarter of 2024, with an improved balance sheet, and deeper and broader customer relationships. This momentum continued throughout the first half of 2025 with both sales and earnings increasing significantly year over year and improving performance across our portfolio.</w:t>
      </w:r>
    </w:p>
    <w:p>
      <w:pPr>
        <w:spacing w:after="0" w:line="108" w:lineRule="exact"/>
        <w:rPr>
          <w:sz w:val="20"/>
          <w:szCs w:val="20"/>
          <w:color w:val="auto"/>
        </w:rPr>
      </w:pPr>
    </w:p>
    <w:p>
      <w:pPr>
        <w:ind w:left="920" w:right="140"/>
        <w:spacing w:after="0" w:line="244" w:lineRule="auto"/>
        <w:rPr>
          <w:sz w:val="20"/>
          <w:szCs w:val="20"/>
          <w:color w:val="auto"/>
        </w:rPr>
      </w:pPr>
      <w:r>
        <w:rPr>
          <w:rFonts w:ascii="Arial" w:cs="Arial" w:eastAsia="Arial" w:hAnsi="Arial"/>
          <w:sz w:val="18"/>
          <w:szCs w:val="18"/>
          <w:color w:val="auto"/>
        </w:rPr>
        <w:t>However, in the second half of 2025, several significant ongoing projects were impacted by macro factors including the U.S. Government shutdown and significant restructuring activities implemented by our largest Service Provider customer. While we believe these issues will be temporary in nature, and the broader industry backdrop remains strong, we have reduced our growth expectations in 2026 particularly in the first half.</w:t>
      </w:r>
    </w:p>
    <w:p>
      <w:pPr>
        <w:spacing w:after="0" w:line="110" w:lineRule="exact"/>
        <w:rPr>
          <w:sz w:val="20"/>
          <w:szCs w:val="20"/>
          <w:color w:val="auto"/>
        </w:rPr>
      </w:pPr>
    </w:p>
    <w:p>
      <w:pPr>
        <w:ind w:left="920" w:right="20"/>
        <w:spacing w:after="0" w:line="248" w:lineRule="auto"/>
        <w:rPr>
          <w:sz w:val="20"/>
          <w:szCs w:val="20"/>
          <w:color w:val="auto"/>
        </w:rPr>
      </w:pPr>
      <w:r>
        <w:rPr>
          <w:rFonts w:ascii="Arial" w:cs="Arial" w:eastAsia="Arial" w:hAnsi="Arial"/>
          <w:sz w:val="18"/>
          <w:szCs w:val="18"/>
          <w:color w:val="auto"/>
        </w:rPr>
        <w:t>As we progress in 2026, we remain optimistic about the outlook for our business as the need for secure high-performance communication infrastructure continues to grow, highlighted by record levels of product and professional services bookings in the fourth quarter of 2025.</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E7417A"/>
        </w:rPr>
        <w:t>2025 Highlights and Key Accomplishments</w:t>
      </w:r>
    </w:p>
    <w:p>
      <w:pPr>
        <w:spacing w:after="0" w:line="158" w:lineRule="exact"/>
        <w:rPr>
          <w:sz w:val="20"/>
          <w:szCs w:val="20"/>
          <w:color w:val="auto"/>
        </w:rPr>
      </w:pPr>
    </w:p>
    <w:p>
      <w:pPr>
        <w:ind w:left="920"/>
        <w:spacing w:after="0" w:line="243" w:lineRule="auto"/>
        <w:rPr>
          <w:sz w:val="20"/>
          <w:szCs w:val="20"/>
          <w:color w:val="auto"/>
        </w:rPr>
      </w:pPr>
      <w:r>
        <w:rPr>
          <w:rFonts w:ascii="Arial" w:cs="Arial" w:eastAsia="Arial" w:hAnsi="Arial"/>
          <w:sz w:val="18"/>
          <w:szCs w:val="18"/>
          <w:color w:val="auto"/>
        </w:rPr>
        <w:t>Our business with Global Service Providers was the highlight in 2025 with sales growing 5% year over year. This included a very strong year in India with sales growing 40% as compared to the prior year. Sales to Enterprise and Critical Infrastructure customers grew 2%, while sales to Government and Defense agencies declined 23%, primarily due to delays and reduced spending associated with the U.S. Government shutdown. Despite this transitory headwind, we continue to believe the broad Government and Defense market segment is an excellent growth opportunity for Ribbon across our entire portfolio.</w:t>
      </w:r>
    </w:p>
    <w:p>
      <w:pPr>
        <w:spacing w:after="0" w:line="111" w:lineRule="exact"/>
        <w:rPr>
          <w:sz w:val="20"/>
          <w:szCs w:val="20"/>
          <w:color w:val="auto"/>
        </w:rPr>
      </w:pPr>
    </w:p>
    <w:p>
      <w:pPr>
        <w:ind w:left="920" w:right="20"/>
        <w:spacing w:after="0" w:line="244" w:lineRule="auto"/>
        <w:rPr>
          <w:sz w:val="20"/>
          <w:szCs w:val="20"/>
          <w:color w:val="auto"/>
        </w:rPr>
      </w:pPr>
      <w:r>
        <w:rPr>
          <w:rFonts w:ascii="Arial" w:cs="Arial" w:eastAsia="Arial" w:hAnsi="Arial"/>
          <w:sz w:val="18"/>
          <w:szCs w:val="18"/>
          <w:color w:val="auto"/>
        </w:rPr>
        <w:t>Revenue for 2025 was $ 845 million, an $11 million increase compared with the prior year. Both our Cloud &amp; Edge and IP Optical segments contributed to the growth in revenue but were below the targets we established at the beginning of the year. Adjusted EBITDA was $107 million (See Appendix A for a reconciliation of this non-GAAP measure), generating $51 million in operating cash flow, year-end cash of $98 million, and net leverage of 2.3x.</w:t>
      </w:r>
    </w:p>
    <w:p>
      <w:pPr>
        <w:spacing w:after="0" w:line="320" w:lineRule="exact"/>
        <w:rPr>
          <w:sz w:val="20"/>
          <w:szCs w:val="20"/>
          <w:color w:val="auto"/>
        </w:rPr>
      </w:pPr>
    </w:p>
    <w:p>
      <w:pPr>
        <w:ind w:left="920" w:right="160"/>
        <w:spacing w:after="0" w:line="271" w:lineRule="auto"/>
        <w:rPr>
          <w:sz w:val="20"/>
          <w:szCs w:val="20"/>
          <w:color w:val="auto"/>
        </w:rPr>
      </w:pPr>
      <w:r>
        <w:rPr>
          <w:rFonts w:ascii="Arial" w:cs="Arial" w:eastAsia="Arial" w:hAnsi="Arial"/>
          <w:sz w:val="18"/>
          <w:szCs w:val="18"/>
          <w:color w:val="auto"/>
        </w:rPr>
        <w:t>An increasing number of customers initiated voice modernization projects in 2025 — across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right="139"/>
        <w:spacing w:after="0" w:line="244" w:lineRule="auto"/>
        <w:rPr>
          <w:sz w:val="20"/>
          <w:szCs w:val="20"/>
          <w:color w:val="auto"/>
        </w:rPr>
      </w:pPr>
      <w:r>
        <w:rPr>
          <w:rFonts w:ascii="Arial" w:cs="Arial" w:eastAsia="Arial" w:hAnsi="Arial"/>
          <w:sz w:val="18"/>
          <w:szCs w:val="18"/>
          <w:color w:val="auto"/>
        </w:rPr>
        <w:t>multiple market segments including Service Providers, Enterprises, and Government agencies resulting in significant backlog growth in the fourth quarter of 2025. We believe there is a strong return on investment attached to these investments and they help address a growing technology and human capital obsolescence issue. Verizon continues to be one of the strongest proponents of this strategy as we continue to execute together on a large multi - year project resulting in a 26% increase in sales to Verizon in 2025.</w:t>
      </w:r>
    </w:p>
    <w:p>
      <w:pPr>
        <w:spacing w:after="0" w:line="115" w:lineRule="exact"/>
        <w:rPr>
          <w:sz w:val="20"/>
          <w:szCs w:val="20"/>
          <w:color w:val="auto"/>
        </w:rPr>
      </w:pPr>
    </w:p>
    <w:p>
      <w:pPr>
        <w:ind w:right="159"/>
        <w:spacing w:after="0" w:line="245" w:lineRule="auto"/>
        <w:rPr>
          <w:sz w:val="20"/>
          <w:szCs w:val="20"/>
          <w:color w:val="auto"/>
        </w:rPr>
      </w:pPr>
      <w:r>
        <w:rPr>
          <w:rFonts w:ascii="Arial" w:cs="Arial" w:eastAsia="Arial" w:hAnsi="Arial"/>
          <w:sz w:val="18"/>
          <w:szCs w:val="18"/>
          <w:color w:val="auto"/>
        </w:rPr>
        <w:t>The strong demand for our IP Routing and Optical Transport solutions in India allowed us to overcome the drop in sales in Eastern Europe starting in the second quarter of 2024, resulting in overall sales growth of 1%. Excluding Eastern Europe, IP Optical sales grew 9% across all other regions.</w:t>
      </w:r>
    </w:p>
    <w:p>
      <w:pPr>
        <w:spacing w:after="0" w:line="109" w:lineRule="exact"/>
        <w:rPr>
          <w:sz w:val="20"/>
          <w:szCs w:val="20"/>
          <w:color w:val="auto"/>
        </w:rPr>
      </w:pPr>
    </w:p>
    <w:p>
      <w:pPr>
        <w:ind w:right="159"/>
        <w:spacing w:after="0" w:line="246" w:lineRule="auto"/>
        <w:rPr>
          <w:sz w:val="20"/>
          <w:szCs w:val="20"/>
          <w:color w:val="auto"/>
        </w:rPr>
      </w:pPr>
      <w:r>
        <w:rPr>
          <w:rFonts w:ascii="Arial" w:cs="Arial" w:eastAsia="Arial" w:hAnsi="Arial"/>
          <w:sz w:val="18"/>
          <w:szCs w:val="18"/>
          <w:color w:val="auto"/>
        </w:rPr>
        <w:t>2025 was a year of progress — but did not translate into the level of stockholder returns we are seeking. We recognize this and are focused on improving stockholder returns by further broadening our customer base, better defining our strategic positioning and differentiation, and improving our execution.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E7417A"/>
        </w:rPr>
        <w:t>Industry Trends and Market Focus</w:t>
      </w:r>
    </w:p>
    <w:p>
      <w:pPr>
        <w:spacing w:after="0" w:line="144" w:lineRule="exact"/>
        <w:rPr>
          <w:sz w:val="20"/>
          <w:szCs w:val="20"/>
          <w:color w:val="auto"/>
        </w:rPr>
      </w:pPr>
    </w:p>
    <w:p>
      <w:pPr>
        <w:ind w:right="339"/>
        <w:spacing w:after="0" w:line="261" w:lineRule="auto"/>
        <w:rPr>
          <w:sz w:val="20"/>
          <w:szCs w:val="20"/>
          <w:color w:val="auto"/>
        </w:rPr>
      </w:pPr>
      <w:r>
        <w:rPr>
          <w:rFonts w:ascii="Arial" w:cs="Arial" w:eastAsia="Arial" w:hAnsi="Arial"/>
          <w:sz w:val="18"/>
          <w:szCs w:val="18"/>
          <w:color w:val="auto"/>
        </w:rPr>
        <w:t>There are several key industry trends that drive investment in Ribbon’s solutions and our strategy across multiple markets.</w:t>
      </w:r>
    </w:p>
    <w:p>
      <w:pPr>
        <w:spacing w:after="0" w:line="94" w:lineRule="exact"/>
        <w:rPr>
          <w:sz w:val="20"/>
          <w:szCs w:val="20"/>
          <w:color w:val="auto"/>
        </w:rPr>
      </w:pPr>
    </w:p>
    <w:p>
      <w:pPr>
        <w:ind w:right="139"/>
        <w:spacing w:after="0" w:line="242" w:lineRule="auto"/>
        <w:rPr>
          <w:sz w:val="20"/>
          <w:szCs w:val="20"/>
          <w:color w:val="auto"/>
        </w:rPr>
      </w:pPr>
      <w:r>
        <w:rPr>
          <w:rFonts w:ascii="Arial" w:cs="Arial" w:eastAsia="Arial" w:hAnsi="Arial"/>
          <w:sz w:val="18"/>
          <w:szCs w:val="18"/>
          <w:color w:val="auto"/>
        </w:rPr>
        <w:t>A key area of focus continues to be the modernization of legacy voice and data networks. Ribbon’s expertise in this area is unparalleled, and we believe there is a compelling business case for Service Providers and Enterprises to adopt modern cloud -based platforms to reduce network operation costs and drive revenue growth. This also complements the growing use of unified communications platforms such as Microsoft Teams and Zoom where Ribbon plays a crucial role in securing network boundaries and ensuring highly scalable and fault tolerant services.</w:t>
      </w:r>
    </w:p>
    <w:p>
      <w:pPr>
        <w:spacing w:after="0" w:line="114" w:lineRule="exact"/>
        <w:rPr>
          <w:sz w:val="20"/>
          <w:szCs w:val="20"/>
          <w:color w:val="auto"/>
        </w:rPr>
      </w:pPr>
    </w:p>
    <w:p>
      <w:pPr>
        <w:ind w:right="119"/>
        <w:spacing w:after="0" w:line="246" w:lineRule="auto"/>
        <w:rPr>
          <w:sz w:val="20"/>
          <w:szCs w:val="20"/>
          <w:color w:val="auto"/>
        </w:rPr>
      </w:pPr>
      <w:r>
        <w:rPr>
          <w:rFonts w:ascii="Arial" w:cs="Arial" w:eastAsia="Arial" w:hAnsi="Arial"/>
          <w:sz w:val="18"/>
          <w:szCs w:val="18"/>
          <w:color w:val="auto"/>
        </w:rPr>
        <w:t>Demand for high-capacity fiber and IP networks continues to grow across multiple market segments and applications, with higher levels of security and resiliency. The continued exponential growth in data traffic along with the need to extend connectivity to underserved regions aligns well with Ribbon’s IP and Optical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504825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220" w:space="240"/>
            <w:col w:w="441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920" w:right="40"/>
        <w:spacing w:after="0" w:line="261" w:lineRule="auto"/>
        <w:rPr>
          <w:sz w:val="20"/>
          <w:szCs w:val="20"/>
          <w:color w:val="auto"/>
        </w:rPr>
      </w:pPr>
      <w:r>
        <w:rPr>
          <w:rFonts w:ascii="Arial" w:cs="Arial" w:eastAsia="Arial" w:hAnsi="Arial"/>
          <w:sz w:val="18"/>
          <w:szCs w:val="18"/>
          <w:color w:val="auto"/>
        </w:rPr>
        <w:t>product portfolio. Vendor diversification and trusted supply chains are also an increasing factor in purchase decisions.</w:t>
      </w:r>
    </w:p>
    <w:p>
      <w:pPr>
        <w:spacing w:after="0" w:line="94" w:lineRule="exact"/>
        <w:rPr>
          <w:sz w:val="20"/>
          <w:szCs w:val="20"/>
          <w:color w:val="auto"/>
        </w:rPr>
      </w:pPr>
    </w:p>
    <w:p>
      <w:pPr>
        <w:ind w:left="920" w:right="200"/>
        <w:spacing w:after="0" w:line="245" w:lineRule="auto"/>
        <w:rPr>
          <w:sz w:val="20"/>
          <w:szCs w:val="20"/>
          <w:color w:val="auto"/>
        </w:rPr>
      </w:pPr>
      <w:r>
        <w:rPr>
          <w:rFonts w:ascii="Arial" w:cs="Arial" w:eastAsia="Arial" w:hAnsi="Arial"/>
          <w:sz w:val="18"/>
          <w:szCs w:val="18"/>
          <w:color w:val="auto"/>
        </w:rPr>
        <w:t>Secure private networks is a specific area of differentiation and growth for Ribbon with many types of critical infrastructure providers — energy producers and distributors, transportation, public safety, defense — emphasizing the importance of security and resiliency.</w:t>
      </w:r>
    </w:p>
    <w:p>
      <w:pPr>
        <w:spacing w:after="0" w:line="109" w:lineRule="exact"/>
        <w:rPr>
          <w:sz w:val="20"/>
          <w:szCs w:val="20"/>
          <w:color w:val="auto"/>
        </w:rPr>
      </w:pPr>
    </w:p>
    <w:p>
      <w:pPr>
        <w:jc w:val="both"/>
        <w:ind w:left="920" w:right="100"/>
        <w:spacing w:after="0" w:line="246" w:lineRule="auto"/>
        <w:rPr>
          <w:sz w:val="20"/>
          <w:szCs w:val="20"/>
          <w:color w:val="auto"/>
        </w:rPr>
      </w:pPr>
      <w:r>
        <w:rPr>
          <w:rFonts w:ascii="Arial" w:cs="Arial" w:eastAsia="Arial" w:hAnsi="Arial"/>
          <w:sz w:val="18"/>
          <w:szCs w:val="18"/>
          <w:color w:val="auto"/>
        </w:rPr>
        <w:t>These industry trends extend across multiple end markets — Telecom Service Provider, Medium and Large Enterprise, and Government and Defense.</w:t>
      </w:r>
    </w:p>
    <w:p>
      <w:pPr>
        <w:spacing w:after="0" w:line="3" w:lineRule="exact"/>
        <w:rPr>
          <w:sz w:val="20"/>
          <w:szCs w:val="20"/>
          <w:color w:val="auto"/>
        </w:rPr>
      </w:pPr>
    </w:p>
    <w:p>
      <w:pPr>
        <w:ind w:left="920" w:right="140"/>
        <w:spacing w:after="0" w:line="250" w:lineRule="auto"/>
        <w:rPr>
          <w:sz w:val="20"/>
          <w:szCs w:val="20"/>
          <w:color w:val="auto"/>
        </w:rPr>
      </w:pPr>
      <w:r>
        <w:rPr>
          <w:rFonts w:ascii="Arial" w:cs="Arial" w:eastAsia="Arial" w:hAnsi="Arial"/>
          <w:sz w:val="18"/>
          <w:szCs w:val="18"/>
          <w:color w:val="auto"/>
        </w:rPr>
        <w:t>Market and geographic diversity is a key tenant to our strategy to gain scale and improved financial visibility and performance.</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E7417A"/>
        </w:rPr>
        <w:t>The AI Opportunity</w:t>
      </w:r>
    </w:p>
    <w:p>
      <w:pPr>
        <w:spacing w:after="0" w:line="158" w:lineRule="exact"/>
        <w:rPr>
          <w:sz w:val="20"/>
          <w:szCs w:val="20"/>
          <w:color w:val="auto"/>
        </w:rPr>
      </w:pPr>
    </w:p>
    <w:p>
      <w:pPr>
        <w:ind w:left="920" w:right="40"/>
        <w:spacing w:after="0" w:line="247" w:lineRule="auto"/>
        <w:rPr>
          <w:sz w:val="20"/>
          <w:szCs w:val="20"/>
          <w:color w:val="auto"/>
        </w:rPr>
      </w:pPr>
      <w:r>
        <w:rPr>
          <w:rFonts w:ascii="Arial" w:cs="Arial" w:eastAsia="Arial" w:hAnsi="Arial"/>
          <w:sz w:val="18"/>
          <w:szCs w:val="18"/>
          <w:color w:val="auto"/>
        </w:rPr>
        <w:t>In addition to adopting an increasing number of AI solutions within Ribbon to accelerate development, improve quality and customer service, and lower operational costs, there are three specific market opportunities in focus for us in 2026.</w:t>
      </w:r>
    </w:p>
    <w:p>
      <w:pPr>
        <w:spacing w:after="0" w:line="109" w:lineRule="exact"/>
        <w:rPr>
          <w:sz w:val="20"/>
          <w:szCs w:val="20"/>
          <w:color w:val="auto"/>
        </w:rPr>
      </w:pPr>
    </w:p>
    <w:p>
      <w:pPr>
        <w:ind w:left="920"/>
        <w:spacing w:after="0" w:line="244" w:lineRule="auto"/>
        <w:rPr>
          <w:sz w:val="20"/>
          <w:szCs w:val="20"/>
          <w:color w:val="auto"/>
        </w:rPr>
      </w:pPr>
      <w:r>
        <w:rPr>
          <w:rFonts w:ascii="Arial" w:cs="Arial" w:eastAsia="Arial" w:hAnsi="Arial"/>
          <w:sz w:val="18"/>
          <w:szCs w:val="18"/>
          <w:color w:val="auto"/>
        </w:rPr>
        <w:t xml:space="preserve">We have recently launched a new AI-powered automation platform called </w:t>
      </w:r>
      <w:r>
        <w:rPr>
          <w:rFonts w:ascii="Arial" w:cs="Arial" w:eastAsia="Arial" w:hAnsi="Arial"/>
          <w:sz w:val="18"/>
          <w:szCs w:val="18"/>
          <w:i w:val="1"/>
          <w:iCs w:val="1"/>
          <w:color w:val="auto"/>
        </w:rPr>
        <w:t>Acumen</w:t>
      </w:r>
      <w:r>
        <w:rPr>
          <w:rFonts w:ascii="Arial" w:cs="Arial" w:eastAsia="Arial" w:hAnsi="Arial"/>
          <w:sz w:val="18"/>
          <w:szCs w:val="18"/>
          <w:color w:val="auto"/>
        </w:rPr>
        <w:t xml:space="preserve"> that is an important growth initiative, building on our widely deployed machine-learning Ribbon Analytics and Muse element management solutions. Acumen enables end-to-end observability, automation, and agent development using multiple large language model (LLM) integrations across multi-vendor networks with the goal of accelerating the transition to autonomous networks.</w:t>
      </w:r>
    </w:p>
    <w:p>
      <w:pPr>
        <w:spacing w:after="0" w:line="110" w:lineRule="exact"/>
        <w:rPr>
          <w:sz w:val="20"/>
          <w:szCs w:val="20"/>
          <w:color w:val="auto"/>
        </w:rPr>
      </w:pPr>
    </w:p>
    <w:p>
      <w:pPr>
        <w:ind w:left="920" w:right="120"/>
        <w:spacing w:after="0" w:line="245" w:lineRule="auto"/>
        <w:rPr>
          <w:sz w:val="20"/>
          <w:szCs w:val="20"/>
          <w:color w:val="auto"/>
        </w:rPr>
      </w:pPr>
      <w:r>
        <w:rPr>
          <w:rFonts w:ascii="Arial" w:cs="Arial" w:eastAsia="Arial" w:hAnsi="Arial"/>
          <w:sz w:val="18"/>
          <w:szCs w:val="18"/>
          <w:color w:val="auto"/>
        </w:rPr>
        <w:t>Beyond AIOps, as the adoption of agentic AI platforms continues to grow, we see a great convergence opportunity with our cloud-centric secure voice portfolio to seamlessly integrate AI with a human voice interface. In partnership with AWS, we recently launched the industry’s first carrier-grade cloud -native voice session border controller solutions to accelerate the integration of voice capabilities into AI platforms.</w:t>
      </w:r>
    </w:p>
    <w:p>
      <w:pPr>
        <w:spacing w:after="0" w:line="110" w:lineRule="exact"/>
        <w:rPr>
          <w:sz w:val="20"/>
          <w:szCs w:val="20"/>
          <w:color w:val="auto"/>
        </w:rPr>
      </w:pPr>
    </w:p>
    <w:p>
      <w:pPr>
        <w:ind w:left="920" w:right="160"/>
        <w:spacing w:after="0" w:line="244" w:lineRule="auto"/>
        <w:rPr>
          <w:sz w:val="20"/>
          <w:szCs w:val="20"/>
          <w:color w:val="auto"/>
        </w:rPr>
      </w:pPr>
      <w:r>
        <w:rPr>
          <w:rFonts w:ascii="Arial" w:cs="Arial" w:eastAsia="Arial" w:hAnsi="Arial"/>
          <w:sz w:val="18"/>
          <w:szCs w:val="18"/>
          <w:color w:val="auto"/>
        </w:rPr>
        <w:t>And finally, as the proliferation of AI-related data centers continues and processing demand moves closer to the edge of the network, there is a great opportunity for many of our service provider and critical infrastructure customers to leverage their fiber networks to provide data center interconnect services using our portfolio of IP and Optical solutions.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E7417A"/>
        </w:rPr>
        <w:t>The Path Ahead</w:t>
      </w:r>
    </w:p>
    <w:p>
      <w:pPr>
        <w:spacing w:after="0" w:line="158" w:lineRule="exact"/>
        <w:rPr>
          <w:sz w:val="20"/>
          <w:szCs w:val="20"/>
          <w:color w:val="auto"/>
        </w:rPr>
      </w:pPr>
    </w:p>
    <w:p>
      <w:pPr>
        <w:ind w:right="159"/>
        <w:spacing w:after="0" w:line="242" w:lineRule="auto"/>
        <w:rPr>
          <w:sz w:val="20"/>
          <w:szCs w:val="20"/>
          <w:color w:val="auto"/>
        </w:rPr>
      </w:pPr>
      <w:r>
        <w:rPr>
          <w:rFonts w:ascii="Arial" w:cs="Arial" w:eastAsia="Arial" w:hAnsi="Arial"/>
          <w:sz w:val="18"/>
          <w:szCs w:val="18"/>
          <w:color w:val="auto"/>
        </w:rPr>
        <w:t>As I have just outlined, the underlying industry fundamentals are strong and there are multiple positive long-term drivers supporting our business, and it is imperative for our customers to invest. However, we are proceeding cautiously as we manage several near-term factors, including the timing of U.S. Government spending and significant M&amp;A consolidation within the U.S. Telecom Service Provider ecosystem. As a result, our 2026 outlook reflects a more conservative set of assumptions, particularly around timing of business in the first half of the year.</w:t>
      </w:r>
    </w:p>
    <w:p>
      <w:pPr>
        <w:spacing w:after="0" w:line="114" w:lineRule="exact"/>
        <w:rPr>
          <w:sz w:val="20"/>
          <w:szCs w:val="20"/>
          <w:color w:val="auto"/>
        </w:rPr>
      </w:pPr>
    </w:p>
    <w:p>
      <w:pPr>
        <w:ind w:right="139"/>
        <w:spacing w:after="0" w:line="248" w:lineRule="auto"/>
        <w:rPr>
          <w:sz w:val="20"/>
          <w:szCs w:val="20"/>
          <w:color w:val="auto"/>
        </w:rPr>
      </w:pPr>
      <w:r>
        <w:rPr>
          <w:rFonts w:ascii="Arial" w:cs="Arial" w:eastAsia="Arial" w:hAnsi="Arial"/>
          <w:sz w:val="18"/>
          <w:szCs w:val="18"/>
          <w:color w:val="auto"/>
        </w:rPr>
        <w:t>In addition to our core strategy, our recent tax planning has created an opportunity to generate more cash over the next several years that can be used to strengthen our balance sheet, as well as to potentially accelerate innovation and expansion into new immediately adjacent markets.</w:t>
      </w:r>
    </w:p>
    <w:p>
      <w:pPr>
        <w:spacing w:after="0" w:line="107" w:lineRule="exact"/>
        <w:rPr>
          <w:sz w:val="20"/>
          <w:szCs w:val="20"/>
          <w:color w:val="auto"/>
        </w:rPr>
      </w:pPr>
    </w:p>
    <w:p>
      <w:pPr>
        <w:ind w:right="119"/>
        <w:spacing w:after="0" w:line="245" w:lineRule="auto"/>
        <w:rPr>
          <w:sz w:val="20"/>
          <w:szCs w:val="20"/>
          <w:color w:val="auto"/>
        </w:rPr>
      </w:pPr>
      <w:r>
        <w:rPr>
          <w:rFonts w:ascii="Arial" w:cs="Arial" w:eastAsia="Arial" w:hAnsi="Arial"/>
          <w:sz w:val="18"/>
          <w:szCs w:val="18"/>
          <w:color w:val="auto"/>
        </w:rPr>
        <w:t>Ultimately, the success of our business is tied to our people and the common focus we have on our mission to become a recognized global technology leader. I can’t thank the Ribbon team enough for their dedication and perseverance, adapting and overcoming all obstacles.</w:t>
      </w:r>
    </w:p>
    <w:p>
      <w:pPr>
        <w:spacing w:after="0" w:line="109" w:lineRule="exact"/>
        <w:rPr>
          <w:sz w:val="20"/>
          <w:szCs w:val="20"/>
          <w:color w:val="auto"/>
        </w:rPr>
      </w:pPr>
    </w:p>
    <w:p>
      <w:pPr>
        <w:ind w:right="119"/>
        <w:spacing w:after="0" w:line="251" w:lineRule="auto"/>
        <w:rPr>
          <w:sz w:val="20"/>
          <w:szCs w:val="20"/>
          <w:color w:val="auto"/>
        </w:rPr>
      </w:pPr>
      <w:r>
        <w:rPr>
          <w:rFonts w:ascii="Arial" w:cs="Arial" w:eastAsia="Arial" w:hAnsi="Arial"/>
          <w:sz w:val="18"/>
          <w:szCs w:val="18"/>
          <w:color w:val="auto"/>
        </w:rPr>
        <w:t>I would like to thank you for your continued support and investment over this last year. Our stockholders are instrumental in our journey of growth and success, and I remain dedicated to enhancing stockholder value.</w:t>
      </w:r>
    </w:p>
    <w:p>
      <w:pPr>
        <w:spacing w:after="0" w:line="106" w:lineRule="exact"/>
        <w:rPr>
          <w:sz w:val="20"/>
          <w:szCs w:val="20"/>
          <w:color w:val="auto"/>
        </w:rPr>
      </w:pPr>
    </w:p>
    <w:p>
      <w:pPr>
        <w:ind w:right="179"/>
        <w:spacing w:after="0" w:line="245" w:lineRule="auto"/>
        <w:rPr>
          <w:sz w:val="20"/>
          <w:szCs w:val="20"/>
          <w:color w:val="auto"/>
        </w:rPr>
      </w:pPr>
      <w:r>
        <w:rPr>
          <w:rFonts w:ascii="Arial" w:cs="Arial" w:eastAsia="Arial" w:hAnsi="Arial"/>
          <w:sz w:val="18"/>
          <w:szCs w:val="18"/>
          <w:color w:val="auto"/>
        </w:rPr>
        <w:t xml:space="preserve">Your participation in the annual meeting of stockholders is invaluable, and we encourage you to exercise your voting rights by </w:t>
      </w:r>
      <w:r>
        <w:rPr>
          <w:rFonts w:ascii="Arial" w:cs="Arial" w:eastAsia="Arial" w:hAnsi="Arial"/>
          <w:sz w:val="18"/>
          <w:szCs w:val="18"/>
          <w:b w:val="1"/>
          <w:bCs w:val="1"/>
          <w:color w:val="auto"/>
        </w:rPr>
        <w:t>promptly voting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your proxy </w:t>
      </w:r>
      <w:r>
        <w:rPr>
          <w:rFonts w:ascii="Arial" w:cs="Arial" w:eastAsia="Arial" w:hAnsi="Arial"/>
          <w:sz w:val="18"/>
          <w:szCs w:val="18"/>
          <w:color w:val="auto"/>
        </w:rPr>
        <w:t>. Your input and feedback are essential</w:t>
      </w:r>
      <w:r>
        <w:rPr>
          <w:rFonts w:ascii="Arial" w:cs="Arial" w:eastAsia="Arial" w:hAnsi="Arial"/>
          <w:sz w:val="18"/>
          <w:szCs w:val="18"/>
          <w:b w:val="1"/>
          <w:bCs w:val="1"/>
          <w:color w:val="auto"/>
        </w:rPr>
        <w:t xml:space="preserve"> </w:t>
      </w:r>
      <w:r>
        <w:rPr>
          <w:rFonts w:ascii="Arial" w:cs="Arial" w:eastAsia="Arial" w:hAnsi="Arial"/>
          <w:sz w:val="18"/>
          <w:szCs w:val="18"/>
          <w:color w:val="auto"/>
        </w:rPr>
        <w:t>as we strive to continue to increase stockholder value for all investors in 2026.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tabs>
          <w:tab w:leader="none" w:pos="1660" w:val="left"/>
          <w:tab w:leader="none" w:pos="4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2632075" cy="1423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207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62259D"/>
        </w:rPr>
        <w:t>Bruce McClelland</w:t>
      </w:r>
    </w:p>
    <w:p>
      <w:pPr>
        <w:spacing w:after="0" w:line="27" w:lineRule="exact"/>
        <w:rPr>
          <w:sz w:val="20"/>
          <w:szCs w:val="20"/>
          <w:color w:val="auto"/>
        </w:rPr>
      </w:pPr>
    </w:p>
    <w:p>
      <w:pPr>
        <w:ind w:right="2819"/>
        <w:spacing w:after="0" w:line="376" w:lineRule="auto"/>
        <w:rPr>
          <w:sz w:val="20"/>
          <w:szCs w:val="20"/>
          <w:color w:val="auto"/>
        </w:rPr>
      </w:pPr>
      <w:r>
        <w:rPr>
          <w:rFonts w:ascii="Arial" w:cs="Arial" w:eastAsia="Arial" w:hAnsi="Arial"/>
          <w:sz w:val="18"/>
          <w:szCs w:val="18"/>
          <w:color w:val="auto"/>
        </w:rPr>
        <w:t>President and CEO April 17, 2026</w:t>
      </w:r>
    </w:p>
    <w:p>
      <w:pPr>
        <w:spacing w:after="0" w:line="359" w:lineRule="exact"/>
        <w:rPr>
          <w:sz w:val="20"/>
          <w:szCs w:val="20"/>
          <w:color w:val="auto"/>
        </w:rPr>
      </w:pPr>
    </w:p>
    <w:tbl>
      <w:tblPr>
        <w:tblLayout w:type="fixed"/>
        <w:tblInd w:w="178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5"/>
                <w:szCs w:val="15"/>
                <w:b w:val="1"/>
                <w:bCs w:val="1"/>
                <w:color w:val="FEFEFE"/>
              </w:rPr>
              <w:t>​ ​</w:t>
            </w:r>
          </w:p>
        </w:tc>
        <w:tc>
          <w:tcPr>
            <w:tcW w:w="160" w:type="dxa"/>
            <w:vAlign w:val="bottom"/>
            <w:shd w:val="clear" w:color="auto" w:fill="62259D"/>
          </w:tcPr>
          <w:p>
            <w:pPr>
              <w:spacing w:after="0"/>
              <w:rPr>
                <w:sz w:val="20"/>
                <w:szCs w:val="20"/>
                <w:color w:val="auto"/>
              </w:rPr>
            </w:pPr>
            <w:r>
              <w:rPr>
                <w:rFonts w:ascii="Arial" w:cs="Arial" w:eastAsia="Arial" w:hAnsi="Arial"/>
                <w:sz w:val="15"/>
                <w:szCs w:val="15"/>
                <w:b w:val="1"/>
                <w:bCs w:val="1"/>
                <w:color w:val="FEFEFE"/>
              </w:rPr>
              <w:t>​</w:t>
            </w:r>
          </w:p>
        </w:tc>
        <w:tc>
          <w:tcPr>
            <w:tcW w:w="1700" w:type="dxa"/>
            <w:vAlign w:val="bottom"/>
            <w:vMerge w:val="restart"/>
            <w:shd w:val="clear" w:color="auto" w:fill="62259D"/>
          </w:tcPr>
          <w:p>
            <w:pPr>
              <w:jc w:val="center"/>
              <w:spacing w:after="0"/>
              <w:rPr>
                <w:sz w:val="20"/>
                <w:szCs w:val="20"/>
                <w:color w:val="auto"/>
              </w:rPr>
            </w:pPr>
            <w:r>
              <w:rPr>
                <w:rFonts w:ascii="Arial" w:cs="Arial" w:eastAsia="Arial" w:hAnsi="Arial"/>
                <w:sz w:val="15"/>
                <w:szCs w:val="15"/>
                <w:b w:val="1"/>
                <w:bCs w:val="1"/>
                <w:color w:val="FEFEFE"/>
              </w:rPr>
              <w:t>Bruce McClelland,</w:t>
            </w:r>
          </w:p>
        </w:tc>
        <w:tc>
          <w:tcPr>
            <w:tcW w:w="180" w:type="dxa"/>
            <w:vAlign w:val="bottom"/>
            <w:shd w:val="clear" w:color="auto" w:fill="62259D"/>
          </w:tcPr>
          <w:p>
            <w:pPr>
              <w:ind w:left="80"/>
              <w:spacing w:after="0"/>
              <w:rPr>
                <w:sz w:val="20"/>
                <w:szCs w:val="20"/>
                <w:color w:val="auto"/>
              </w:rPr>
            </w:pPr>
            <w:r>
              <w:rPr>
                <w:rFonts w:ascii="Arial" w:cs="Arial" w:eastAsia="Arial" w:hAnsi="Arial"/>
                <w:sz w:val="15"/>
                <w:szCs w:val="15"/>
                <w:b w:val="1"/>
                <w:bCs w:val="1"/>
                <w:color w:val="FEFEFE"/>
              </w:rPr>
              <w:t>​</w:t>
            </w:r>
          </w:p>
        </w:tc>
        <w:tc>
          <w:tcPr>
            <w:tcW w:w="160" w:type="dxa"/>
            <w:vAlign w:val="bottom"/>
          </w:tcPr>
          <w:p>
            <w:pPr>
              <w:ind w:left="20"/>
              <w:spacing w:after="0"/>
              <w:rPr>
                <w:sz w:val="20"/>
                <w:szCs w:val="20"/>
                <w:color w:val="auto"/>
              </w:rPr>
            </w:pPr>
            <w:r>
              <w:rPr>
                <w:rFonts w:ascii="Arial" w:cs="Arial" w:eastAsia="Arial" w:hAnsi="Arial"/>
                <w:sz w:val="15"/>
                <w:szCs w:val="15"/>
                <w:b w:val="1"/>
                <w:bCs w:val="1"/>
                <w:color w:val="FEFEFE"/>
              </w:rPr>
              <w:t>​ ​</w:t>
            </w:r>
          </w:p>
        </w:tc>
        <w:tc>
          <w:tcPr>
            <w:tcW w:w="0" w:type="dxa"/>
            <w:vAlign w:val="bottom"/>
          </w:tcPr>
          <w:p>
            <w:pPr>
              <w:spacing w:after="0"/>
              <w:rPr>
                <w:sz w:val="1"/>
                <w:szCs w:val="1"/>
                <w:color w:val="auto"/>
              </w:rPr>
            </w:pPr>
          </w:p>
        </w:tc>
      </w:tr>
      <w:tr>
        <w:trPr>
          <w:trHeight w:val="62"/>
        </w:trPr>
        <w:tc>
          <w:tcPr>
            <w:tcW w:w="220" w:type="dxa"/>
            <w:vAlign w:val="bottom"/>
          </w:tcPr>
          <w:p>
            <w:pPr>
              <w:spacing w:after="0"/>
              <w:rPr>
                <w:sz w:val="5"/>
                <w:szCs w:val="5"/>
                <w:color w:val="auto"/>
              </w:rPr>
            </w:pPr>
          </w:p>
        </w:tc>
        <w:tc>
          <w:tcPr>
            <w:tcW w:w="160" w:type="dxa"/>
            <w:vAlign w:val="bottom"/>
            <w:shd w:val="clear" w:color="auto" w:fill="62259D"/>
          </w:tcPr>
          <w:p>
            <w:pPr>
              <w:spacing w:after="0"/>
              <w:rPr>
                <w:sz w:val="5"/>
                <w:szCs w:val="5"/>
                <w:color w:val="auto"/>
              </w:rPr>
            </w:pPr>
          </w:p>
        </w:tc>
        <w:tc>
          <w:tcPr>
            <w:tcW w:w="1700" w:type="dxa"/>
            <w:vAlign w:val="bottom"/>
            <w:vMerge w:val="continue"/>
            <w:shd w:val="clear" w:color="auto" w:fill="62259D"/>
          </w:tcPr>
          <w:p>
            <w:pPr>
              <w:spacing w:after="0"/>
              <w:rPr>
                <w:sz w:val="5"/>
                <w:szCs w:val="5"/>
                <w:color w:val="auto"/>
              </w:rPr>
            </w:pPr>
          </w:p>
        </w:tc>
        <w:tc>
          <w:tcPr>
            <w:tcW w:w="180" w:type="dxa"/>
            <w:vAlign w:val="bottom"/>
            <w:shd w:val="clear" w:color="auto" w:fill="62259D"/>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60" w:type="dxa"/>
            <w:vAlign w:val="bottom"/>
            <w:shd w:val="clear" w:color="auto" w:fill="62259D"/>
          </w:tcPr>
          <w:p>
            <w:pPr>
              <w:spacing w:after="0"/>
              <w:rPr>
                <w:sz w:val="19"/>
                <w:szCs w:val="19"/>
                <w:color w:val="auto"/>
              </w:rPr>
            </w:pPr>
          </w:p>
        </w:tc>
        <w:tc>
          <w:tcPr>
            <w:tcW w:w="1700" w:type="dxa"/>
            <w:vAlign w:val="bottom"/>
            <w:shd w:val="clear" w:color="auto" w:fill="62259D"/>
          </w:tcPr>
          <w:p>
            <w:pPr>
              <w:jc w:val="center"/>
              <w:spacing w:after="0"/>
              <w:rPr>
                <w:sz w:val="20"/>
                <w:szCs w:val="20"/>
                <w:color w:val="auto"/>
              </w:rPr>
            </w:pPr>
            <w:r>
              <w:rPr>
                <w:rFonts w:ascii="Arial" w:cs="Arial" w:eastAsia="Arial" w:hAnsi="Arial"/>
                <w:sz w:val="15"/>
                <w:szCs w:val="15"/>
                <w:b w:val="1"/>
                <w:bCs w:val="1"/>
                <w:color w:val="FEFEFE"/>
              </w:rPr>
              <w:t>President and CEO</w:t>
            </w:r>
          </w:p>
        </w:tc>
        <w:tc>
          <w:tcPr>
            <w:tcW w:w="180" w:type="dxa"/>
            <w:vAlign w:val="bottom"/>
            <w:shd w:val="clear" w:color="auto" w:fill="62259D"/>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60" w:type="dxa"/>
            <w:vAlign w:val="bottom"/>
            <w:shd w:val="clear" w:color="auto" w:fill="62259D"/>
          </w:tcPr>
          <w:p>
            <w:pPr>
              <w:spacing w:after="0"/>
              <w:rPr>
                <w:sz w:val="4"/>
                <w:szCs w:val="4"/>
                <w:color w:val="auto"/>
              </w:rPr>
            </w:pPr>
          </w:p>
        </w:tc>
        <w:tc>
          <w:tcPr>
            <w:tcW w:w="1700" w:type="dxa"/>
            <w:vAlign w:val="bottom"/>
            <w:shd w:val="clear" w:color="auto" w:fill="62259D"/>
          </w:tcPr>
          <w:p>
            <w:pPr>
              <w:spacing w:after="0"/>
              <w:rPr>
                <w:sz w:val="4"/>
                <w:szCs w:val="4"/>
                <w:color w:val="auto"/>
              </w:rPr>
            </w:pPr>
          </w:p>
        </w:tc>
        <w:tc>
          <w:tcPr>
            <w:tcW w:w="180" w:type="dxa"/>
            <w:vAlign w:val="bottom"/>
            <w:shd w:val="clear" w:color="auto" w:fill="62259D"/>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664210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80" w:space="280"/>
            <w:col w:w="441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-81280</wp:posOffset>
            </wp:positionV>
            <wp:extent cx="6669405" cy="12687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940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20" w:right="879"/>
        <w:spacing w:after="0" w:line="278" w:lineRule="auto"/>
        <w:rPr>
          <w:sz w:val="20"/>
          <w:szCs w:val="20"/>
          <w:color w:val="auto"/>
        </w:rPr>
      </w:pPr>
      <w:r>
        <w:rPr>
          <w:rFonts w:ascii="Arial" w:cs="Arial" w:eastAsia="Arial" w:hAnsi="Arial"/>
          <w:sz w:val="43"/>
          <w:szCs w:val="43"/>
          <w:b w:val="1"/>
          <w:bCs w:val="1"/>
          <w:color w:val="62259D"/>
        </w:rPr>
        <w:t>NOTICE OF 2026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37465</wp:posOffset>
            </wp:positionV>
            <wp:extent cx="2802890" cy="1911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02890" cy="19113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12"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FEFEFE"/>
        </w:rPr>
        <w:t>2026 Annual Meeting</w:t>
      </w:r>
    </w:p>
    <w:p>
      <w:pPr>
        <w:spacing w:after="0" w:line="365"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b w:val="1"/>
          <w:bCs w:val="1"/>
          <w:color w:val="auto"/>
        </w:rPr>
        <w:t>Date and Time</w:t>
      </w:r>
      <w:r>
        <w:rPr>
          <w:rFonts w:ascii="Arial" w:cs="Arial" w:eastAsia="Arial" w:hAnsi="Arial"/>
          <w:sz w:val="16"/>
          <w:szCs w:val="16"/>
          <w:color w:val="auto"/>
        </w:rPr>
        <w:t>​</w:t>
      </w:r>
    </w:p>
    <w:p>
      <w:pPr>
        <w:spacing w:after="0" w:line="4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June 3, 2026</w:t>
      </w:r>
    </w:p>
    <w:p>
      <w:pPr>
        <w:spacing w:after="0" w:line="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10:00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27940</wp:posOffset>
            </wp:positionV>
            <wp:extent cx="179705"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000000"/>
                        </a:clrFrom>
                        <a:clrTo>
                          <a:srgbClr val="000000">
                            <a:alpha val="0"/>
                          </a:srgbClr>
                        </a:clrTo>
                      </a:clrChange>
                      <a:extLst>
                        <a:ext uri="{28A0092B-C50C-407E-A947-70E740481C1C}"/>
                      </a:extLst>
                    </a:blip>
                    <a:srcRect/>
                    <a:stretch>
                      <a:fillRect/>
                    </a:stretch>
                  </pic:blipFill>
                  <pic:spPr bwMode="auto">
                    <a:xfrm>
                      <a:off x="0" y="0"/>
                      <a:ext cx="179705" cy="300355"/>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27940</wp:posOffset>
            </wp:positionV>
            <wp:extent cx="179705" cy="3003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79705" cy="300355"/>
                    </a:xfrm>
                    <a:prstGeom prst="rect">
                      <a:avLst/>
                    </a:prstGeom>
                    <a:noFill/>
                  </pic:spPr>
                </pic:pic>
              </a:graphicData>
            </a:graphic>
          </wp:anchor>
        </w:drawing>
      </w:r>
    </w:p>
    <w:p>
      <w:pPr>
        <w:spacing w:after="0" w:line="302"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b w:val="1"/>
          <w:bCs w:val="1"/>
          <w:color w:val="auto"/>
        </w:rPr>
        <w:t>Virtual Meeting URL</w:t>
      </w:r>
      <w:r>
        <w:rPr>
          <w:rFonts w:ascii="Arial" w:cs="Arial" w:eastAsia="Arial" w:hAnsi="Arial"/>
          <w:sz w:val="16"/>
          <w:szCs w:val="16"/>
          <w:color w:val="auto"/>
        </w:rPr>
        <w:t>​</w:t>
      </w:r>
    </w:p>
    <w:p>
      <w:pPr>
        <w:spacing w:after="0" w:line="51" w:lineRule="exact"/>
        <w:rPr>
          <w:sz w:val="20"/>
          <w:szCs w:val="20"/>
          <w:color w:val="auto"/>
        </w:rPr>
      </w:pPr>
    </w:p>
    <w:p>
      <w:pPr>
        <w:ind w:left="1040"/>
        <w:spacing w:after="0"/>
        <w:rPr>
          <w:sz w:val="20"/>
          <w:szCs w:val="20"/>
          <w:color w:val="auto"/>
        </w:rPr>
      </w:pPr>
      <w:r>
        <w:rPr>
          <w:rFonts w:ascii="Arial" w:cs="Arial" w:eastAsia="Arial" w:hAnsi="Arial"/>
          <w:sz w:val="16"/>
          <w:szCs w:val="16"/>
          <w:color w:val="E7417A"/>
        </w:rPr>
        <w:t>www.virtualshareholdermeeting.com/RBBN2026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21590</wp:posOffset>
            </wp:positionV>
            <wp:extent cx="30861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000000"/>
                        </a:clrFrom>
                        <a:clrTo>
                          <a:srgbClr val="000000">
                            <a:alpha val="0"/>
                          </a:srgbClr>
                        </a:clrTo>
                      </a:clrChange>
                      <a:extLst>
                        <a:ext uri="{28A0092B-C50C-407E-A947-70E740481C1C}"/>
                      </a:extLst>
                    </a:blip>
                    <a:srcRect/>
                    <a:stretch>
                      <a:fillRect/>
                    </a:stretch>
                  </pic:blipFill>
                  <pic:spPr bwMode="auto">
                    <a:xfrm>
                      <a:off x="0" y="0"/>
                      <a:ext cx="308610" cy="26543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21590</wp:posOffset>
            </wp:positionV>
            <wp:extent cx="30861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308610" cy="265430"/>
                    </a:xfrm>
                    <a:prstGeom prst="rect">
                      <a:avLst/>
                    </a:prstGeom>
                    <a:noFill/>
                  </pic:spPr>
                </pic:pic>
              </a:graphicData>
            </a:graphic>
          </wp:anchor>
        </w:drawing>
      </w:r>
    </w:p>
    <w:p>
      <w:pPr>
        <w:spacing w:after="0" w:line="238"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b w:val="1"/>
          <w:bCs w:val="1"/>
          <w:color w:val="auto"/>
        </w:rPr>
        <w:t>Record Date</w:t>
      </w:r>
      <w:r>
        <w:rPr>
          <w:rFonts w:ascii="Arial" w:cs="Arial" w:eastAsia="Arial" w:hAnsi="Arial"/>
          <w:sz w:val="16"/>
          <w:szCs w:val="16"/>
          <w:color w:val="auto"/>
        </w:rPr>
        <w:t>​</w:t>
      </w:r>
    </w:p>
    <w:p>
      <w:pPr>
        <w:spacing w:after="0" w:line="41" w:lineRule="exact"/>
        <w:rPr>
          <w:sz w:val="20"/>
          <w:szCs w:val="20"/>
          <w:color w:val="auto"/>
        </w:rPr>
      </w:pPr>
    </w:p>
    <w:p>
      <w:pPr>
        <w:jc w:val="both"/>
        <w:ind w:left="1040" w:right="180"/>
        <w:spacing w:after="0" w:line="252" w:lineRule="auto"/>
        <w:rPr>
          <w:sz w:val="20"/>
          <w:szCs w:val="20"/>
          <w:color w:val="auto"/>
        </w:rPr>
      </w:pPr>
      <w:r>
        <w:rPr>
          <w:rFonts w:ascii="Arial" w:cs="Arial" w:eastAsia="Arial" w:hAnsi="Arial"/>
          <w:sz w:val="16"/>
          <w:szCs w:val="16"/>
          <w:color w:val="auto"/>
        </w:rPr>
        <w:t xml:space="preserve">You can vote electronically at, and are entitled to notice of, the 2026 Annual Meeting if you were a stockholder of record on </w:t>
      </w:r>
      <w:r>
        <w:rPr>
          <w:rFonts w:ascii="Arial" w:cs="Arial" w:eastAsia="Arial" w:hAnsi="Arial"/>
          <w:sz w:val="16"/>
          <w:szCs w:val="16"/>
          <w:b w:val="1"/>
          <w:bCs w:val="1"/>
          <w:color w:val="auto"/>
        </w:rPr>
        <w:t>April 6, 2026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119380</wp:posOffset>
            </wp:positionV>
            <wp:extent cx="264033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40330" cy="162560"/>
                    </a:xfrm>
                    <a:prstGeom prst="rect">
                      <a:avLst/>
                    </a:prstGeom>
                    <a:noFill/>
                  </pic:spPr>
                </pic:pic>
              </a:graphicData>
            </a:graphic>
          </wp:anchor>
        </w:drawing>
      </w: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FEFEFE"/>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29210</wp:posOffset>
            </wp:positionV>
            <wp:extent cx="248285"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8285" cy="214630"/>
                    </a:xfrm>
                    <a:prstGeom prst="rect">
                      <a:avLst/>
                    </a:prstGeom>
                    <a:noFill/>
                  </pic:spPr>
                </pic:pic>
              </a:graphicData>
            </a:graphic>
          </wp:anchor>
        </w:drawing>
      </w:r>
    </w:p>
    <w:p>
      <w:pPr>
        <w:spacing w:after="0" w:line="16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b w:val="1"/>
          <w:bCs w:val="1"/>
          <w:color w:val="auto"/>
        </w:rPr>
        <w:t>Internet</w:t>
      </w:r>
      <w:r>
        <w:rPr>
          <w:rFonts w:ascii="Arial" w:cs="Arial" w:eastAsia="Arial" w:hAnsi="Arial"/>
          <w:sz w:val="16"/>
          <w:szCs w:val="16"/>
          <w:color w:val="auto"/>
        </w:rPr>
        <w:t>​</w:t>
      </w:r>
    </w:p>
    <w:p>
      <w:pPr>
        <w:spacing w:after="0" w:line="51" w:lineRule="exact"/>
        <w:rPr>
          <w:sz w:val="20"/>
          <w:szCs w:val="20"/>
          <w:color w:val="auto"/>
        </w:rPr>
      </w:pPr>
    </w:p>
    <w:p>
      <w:pPr>
        <w:ind w:left="1040"/>
        <w:spacing w:after="0"/>
        <w:rPr>
          <w:sz w:val="20"/>
          <w:szCs w:val="20"/>
          <w:color w:val="auto"/>
        </w:rPr>
      </w:pPr>
      <w:r>
        <w:rPr>
          <w:rFonts w:ascii="Arial" w:cs="Arial" w:eastAsia="Arial" w:hAnsi="Arial"/>
          <w:sz w:val="16"/>
          <w:szCs w:val="16"/>
          <w:color w:val="E7417A"/>
        </w:rPr>
        <w:t>www.proxyvote.com, 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21590</wp:posOffset>
            </wp:positionV>
            <wp:extent cx="171450" cy="248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248920"/>
                    </a:xfrm>
                    <a:prstGeom prst="rect">
                      <a:avLst/>
                    </a:prstGeom>
                    <a:noFill/>
                  </pic:spPr>
                </pic:pic>
              </a:graphicData>
            </a:graphic>
          </wp:anchor>
        </w:drawing>
      </w:r>
    </w:p>
    <w:p>
      <w:pPr>
        <w:spacing w:after="0" w:line="21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b w:val="1"/>
          <w:bCs w:val="1"/>
          <w:color w:val="auto"/>
        </w:rPr>
        <w:t>Telephone</w:t>
      </w:r>
      <w:r>
        <w:rPr>
          <w:rFonts w:ascii="Arial" w:cs="Arial" w:eastAsia="Arial" w:hAnsi="Arial"/>
          <w:sz w:val="16"/>
          <w:szCs w:val="16"/>
          <w:color w:val="auto"/>
        </w:rPr>
        <w:t>​</w:t>
      </w:r>
    </w:p>
    <w:p>
      <w:pPr>
        <w:spacing w:after="0" w:line="51"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Toll-free 1 (800) 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21590</wp:posOffset>
            </wp:positionV>
            <wp:extent cx="24003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97"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b w:val="1"/>
          <w:bCs w:val="1"/>
          <w:color w:val="auto"/>
        </w:rPr>
        <w:t>Mail</w:t>
      </w:r>
      <w:r>
        <w:rPr>
          <w:rFonts w:ascii="Arial" w:cs="Arial" w:eastAsia="Arial" w:hAnsi="Arial"/>
          <w:sz w:val="16"/>
          <w:szCs w:val="16"/>
          <w:color w:val="auto"/>
        </w:rPr>
        <w:t>​</w:t>
      </w:r>
    </w:p>
    <w:p>
      <w:pPr>
        <w:spacing w:after="0" w:line="41" w:lineRule="exact"/>
        <w:rPr>
          <w:sz w:val="20"/>
          <w:szCs w:val="20"/>
          <w:color w:val="auto"/>
        </w:rPr>
      </w:pPr>
    </w:p>
    <w:p>
      <w:pPr>
        <w:ind w:left="1040" w:right="180"/>
        <w:spacing w:after="0" w:line="247" w:lineRule="auto"/>
        <w:rPr>
          <w:sz w:val="20"/>
          <w:szCs w:val="20"/>
          <w:color w:val="auto"/>
        </w:rPr>
      </w:pPr>
      <w:r>
        <w:rPr>
          <w:rFonts w:ascii="Arial" w:cs="Arial" w:eastAsia="Arial" w:hAnsi="Arial"/>
          <w:sz w:val="16"/>
          <w:szCs w:val="16"/>
          <w:color w:val="auto"/>
        </w:rPr>
        <w:t>Mark, sign and date your proxy card or voting instruction form and return it in the postage- 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15240</wp:posOffset>
            </wp:positionV>
            <wp:extent cx="265430" cy="248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430" cy="248285"/>
                    </a:xfrm>
                    <a:prstGeom prst="rect">
                      <a:avLst/>
                    </a:prstGeom>
                    <a:noFill/>
                  </pic:spPr>
                </pic:pic>
              </a:graphicData>
            </a:graphic>
          </wp:anchor>
        </w:drawing>
      </w:r>
    </w:p>
    <w:p>
      <w:pPr>
        <w:spacing w:after="0" w:line="201" w:lineRule="exact"/>
        <w:rPr>
          <w:sz w:val="20"/>
          <w:szCs w:val="20"/>
          <w:color w:val="auto"/>
        </w:rPr>
      </w:pPr>
    </w:p>
    <w:p>
      <w:pPr>
        <w:jc w:val="center"/>
        <w:ind w:left="10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7"/>
          <w:szCs w:val="17"/>
          <w:b w:val="1"/>
          <w:bCs w:val="1"/>
          <w:color w:val="auto"/>
        </w:rPr>
        <w:t>During the Annual Meeting</w:t>
      </w:r>
      <w:r>
        <w:rPr>
          <w:rFonts w:ascii="Arial" w:cs="Arial" w:eastAsia="Arial" w:hAnsi="Arial"/>
          <w:sz w:val="16"/>
          <w:szCs w:val="16"/>
          <w:color w:val="auto"/>
        </w:rPr>
        <w:t>​</w:t>
      </w:r>
    </w:p>
    <w:p>
      <w:pPr>
        <w:spacing w:after="0" w:line="41" w:lineRule="exact"/>
        <w:rPr>
          <w:sz w:val="20"/>
          <w:szCs w:val="20"/>
          <w:color w:val="auto"/>
        </w:rPr>
      </w:pPr>
    </w:p>
    <w:p>
      <w:pPr>
        <w:ind w:left="1040"/>
        <w:spacing w:after="0" w:line="241" w:lineRule="auto"/>
        <w:rPr>
          <w:sz w:val="20"/>
          <w:szCs w:val="20"/>
          <w:color w:val="auto"/>
        </w:rPr>
      </w:pPr>
      <w:r>
        <w:rPr>
          <w:rFonts w:ascii="Arial" w:cs="Arial" w:eastAsia="Arial" w:hAnsi="Arial"/>
          <w:sz w:val="16"/>
          <w:szCs w:val="16"/>
          <w:color w:val="auto"/>
        </w:rPr>
        <w:t xml:space="preserve">Enter the 16-digit control number you received with your proxy or voting instructions and attend the webcast of the meeting via the internet: </w:t>
      </w:r>
      <w:r>
        <w:rPr>
          <w:rFonts w:ascii="Arial" w:cs="Arial" w:eastAsia="Arial" w:hAnsi="Arial"/>
          <w:sz w:val="16"/>
          <w:szCs w:val="16"/>
          <w:color w:val="E7417A"/>
        </w:rPr>
        <w:t>www.virtualshareholdermeeting.com/ RBBN2026</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FEFEFE"/>
        </w:rPr>
        <w:t>​</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6"/>
          <w:szCs w:val="16"/>
          <w:color w:val="E7417A"/>
        </w:rPr>
        <w:t>​</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149225</wp:posOffset>
            </wp:positionV>
            <wp:extent cx="8890" cy="2366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236601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FEFEFE"/>
        </w:rPr>
        <w: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E7417A"/>
        </w:rPr>
        <w:t>​</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7"/>
        </w:trPr>
        <w:tc>
          <w:tcPr>
            <w:tcW w:w="4160" w:type="dxa"/>
            <w:vAlign w:val="bottom"/>
            <w:tcBorders>
              <w:bottom w:val="single" w:sz="8" w:color="E7417A"/>
            </w:tcBorders>
            <w:gridSpan w:val="3"/>
            <w:shd w:val="clear" w:color="auto" w:fill="E7417A"/>
          </w:tcPr>
          <w:p>
            <w:pPr>
              <w:ind w:left="120"/>
              <w:spacing w:after="0"/>
              <w:rPr>
                <w:sz w:val="20"/>
                <w:szCs w:val="20"/>
                <w:color w:val="auto"/>
              </w:rPr>
            </w:pPr>
            <w:r>
              <w:rPr>
                <w:rFonts w:ascii="Arial" w:cs="Arial" w:eastAsia="Arial" w:hAnsi="Arial"/>
                <w:sz w:val="16"/>
                <w:szCs w:val="16"/>
                <w:b w:val="1"/>
                <w:bCs w:val="1"/>
                <w:color w:val="FEFEFE"/>
              </w:rPr>
              <w:t>Agenda</w:t>
            </w:r>
          </w:p>
        </w:tc>
        <w:tc>
          <w:tcPr>
            <w:tcW w:w="80" w:type="dxa"/>
            <w:vAlign w:val="bottom"/>
          </w:tcPr>
          <w:p>
            <w:pPr>
              <w:ind w:left="2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338"/>
        </w:trPr>
        <w:tc>
          <w:tcPr>
            <w:tcW w:w="320" w:type="dxa"/>
            <w:vAlign w:val="bottom"/>
            <w:tcBorders>
              <w:bottom w:val="single" w:sz="8" w:color="E7417A"/>
            </w:tcBorders>
          </w:tcPr>
          <w:p>
            <w:pPr>
              <w:ind w:left="120"/>
              <w:spacing w:after="0"/>
              <w:rPr>
                <w:sz w:val="20"/>
                <w:szCs w:val="20"/>
                <w:color w:val="auto"/>
              </w:rPr>
            </w:pPr>
            <w:r>
              <w:rPr>
                <w:rFonts w:ascii="Arial" w:cs="Arial" w:eastAsia="Arial" w:hAnsi="Arial"/>
                <w:sz w:val="25"/>
                <w:szCs w:val="25"/>
                <w:color w:val="62259D"/>
              </w:rPr>
              <w:t>1</w:t>
            </w:r>
          </w:p>
        </w:tc>
        <w:tc>
          <w:tcPr>
            <w:tcW w:w="3840" w:type="dxa"/>
            <w:vAlign w:val="bottom"/>
            <w:tcBorders>
              <w:bottom w:val="single" w:sz="8" w:color="E7417A"/>
            </w:tcBorders>
            <w:gridSpan w:val="2"/>
          </w:tcPr>
          <w:p>
            <w:pPr>
              <w:ind w:left="60"/>
              <w:spacing w:after="0"/>
              <w:rPr>
                <w:sz w:val="20"/>
                <w:szCs w:val="20"/>
                <w:color w:val="auto"/>
              </w:rPr>
            </w:pPr>
            <w:r>
              <w:rPr>
                <w:rFonts w:ascii="Arial" w:cs="Arial" w:eastAsia="Arial" w:hAnsi="Arial"/>
                <w:sz w:val="25"/>
                <w:szCs w:val="25"/>
                <w:b w:val="1"/>
                <w:bCs w:val="1"/>
                <w:color w:val="auto"/>
              </w:rPr>
              <w:t xml:space="preserve">​ </w:t>
            </w:r>
            <w:r>
              <w:rPr>
                <w:rFonts w:ascii="Arial" w:cs="Arial" w:eastAsia="Arial" w:hAnsi="Arial"/>
                <w:sz w:val="11"/>
                <w:szCs w:val="11"/>
                <w:color w:val="auto"/>
              </w:rPr>
              <w:t>Election of nine directors named in the Proxy Statement</w:t>
            </w:r>
          </w:p>
        </w:tc>
        <w:tc>
          <w:tcPr>
            <w:tcW w:w="80" w:type="dxa"/>
            <w:vAlign w:val="bottom"/>
          </w:tcPr>
          <w:p>
            <w:pPr>
              <w:ind w:left="20"/>
              <w:spacing w:after="0"/>
              <w:rPr>
                <w:sz w:val="20"/>
                <w:szCs w:val="20"/>
                <w:color w:val="auto"/>
              </w:rPr>
            </w:pPr>
            <w:r>
              <w:rPr>
                <w:rFonts w:ascii="Arial" w:cs="Arial" w:eastAsia="Arial" w:hAnsi="Arial"/>
                <w:sz w:val="25"/>
                <w:szCs w:val="25"/>
                <w:color w:val="auto"/>
              </w:rPr>
              <w:t>​</w:t>
            </w:r>
          </w:p>
        </w:tc>
        <w:tc>
          <w:tcPr>
            <w:tcW w:w="0" w:type="dxa"/>
            <w:vAlign w:val="bottom"/>
          </w:tcPr>
          <w:p>
            <w:pPr>
              <w:spacing w:after="0"/>
              <w:rPr>
                <w:sz w:val="1"/>
                <w:szCs w:val="1"/>
                <w:color w:val="auto"/>
              </w:rPr>
            </w:pPr>
          </w:p>
        </w:tc>
      </w:tr>
      <w:tr>
        <w:trPr>
          <w:trHeight w:val="134"/>
        </w:trPr>
        <w:tc>
          <w:tcPr>
            <w:tcW w:w="320" w:type="dxa"/>
            <w:vAlign w:val="bottom"/>
            <w:vMerge w:val="restart"/>
          </w:tcPr>
          <w:p>
            <w:pPr>
              <w:ind w:left="120"/>
              <w:spacing w:after="0" w:line="269" w:lineRule="exact"/>
              <w:rPr>
                <w:sz w:val="20"/>
                <w:szCs w:val="20"/>
                <w:color w:val="auto"/>
              </w:rPr>
            </w:pPr>
            <w:r>
              <w:rPr>
                <w:rFonts w:ascii="Arial" w:cs="Arial" w:eastAsia="Arial" w:hAnsi="Arial"/>
                <w:sz w:val="25"/>
                <w:szCs w:val="25"/>
                <w:color w:val="62259D"/>
              </w:rPr>
              <w:t>2</w:t>
            </w:r>
          </w:p>
        </w:tc>
        <w:tc>
          <w:tcPr>
            <w:tcW w:w="16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680" w:type="dxa"/>
            <w:vAlign w:val="bottom"/>
          </w:tcPr>
          <w:p>
            <w:pPr>
              <w:ind w:left="40"/>
              <w:spacing w:after="0" w:line="134" w:lineRule="exact"/>
              <w:rPr>
                <w:sz w:val="20"/>
                <w:szCs w:val="20"/>
                <w:color w:val="auto"/>
              </w:rPr>
            </w:pPr>
            <w:r>
              <w:rPr>
                <w:rFonts w:ascii="Arial" w:cs="Arial" w:eastAsia="Arial" w:hAnsi="Arial"/>
                <w:sz w:val="12"/>
                <w:szCs w:val="12"/>
                <w:color w:val="auto"/>
              </w:rPr>
              <w:t>Ratification of the appointment of Deloitte &amp; Touche LLP as</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3680" w:type="dxa"/>
            <w:vAlign w:val="bottom"/>
          </w:tcPr>
          <w:p>
            <w:pPr>
              <w:ind w:left="40"/>
              <w:spacing w:after="0" w:line="135" w:lineRule="exact"/>
              <w:rPr>
                <w:sz w:val="20"/>
                <w:szCs w:val="20"/>
                <w:color w:val="auto"/>
              </w:rPr>
            </w:pPr>
            <w:r>
              <w:rPr>
                <w:rFonts w:ascii="Arial" w:cs="Arial" w:eastAsia="Arial" w:hAnsi="Arial"/>
                <w:sz w:val="12"/>
                <w:szCs w:val="12"/>
                <w:color w:val="auto"/>
              </w:rPr>
              <w:t>Ribbon Communications’ independent registered public</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20" w:type="dxa"/>
            <w:vAlign w:val="bottom"/>
            <w:tcBorders>
              <w:bottom w:val="single" w:sz="8" w:color="E7417A"/>
            </w:tcBorders>
          </w:tcPr>
          <w:p>
            <w:pPr>
              <w:spacing w:after="0"/>
              <w:rPr>
                <w:sz w:val="13"/>
                <w:szCs w:val="13"/>
                <w:color w:val="auto"/>
              </w:rPr>
            </w:pPr>
          </w:p>
        </w:tc>
        <w:tc>
          <w:tcPr>
            <w:tcW w:w="160" w:type="dxa"/>
            <w:vAlign w:val="bottom"/>
            <w:tcBorders>
              <w:bottom w:val="single" w:sz="8" w:color="E7417A"/>
            </w:tcBorders>
          </w:tcPr>
          <w:p>
            <w:pPr>
              <w:spacing w:after="0"/>
              <w:rPr>
                <w:sz w:val="13"/>
                <w:szCs w:val="13"/>
                <w:color w:val="auto"/>
              </w:rPr>
            </w:pPr>
          </w:p>
        </w:tc>
        <w:tc>
          <w:tcPr>
            <w:tcW w:w="3680" w:type="dxa"/>
            <w:vAlign w:val="bottom"/>
            <w:tcBorders>
              <w:bottom w:val="single" w:sz="8" w:color="E7417A"/>
            </w:tcBorders>
          </w:tcPr>
          <w:p>
            <w:pPr>
              <w:ind w:left="40"/>
              <w:spacing w:after="0"/>
              <w:rPr>
                <w:sz w:val="20"/>
                <w:szCs w:val="20"/>
                <w:color w:val="auto"/>
              </w:rPr>
            </w:pPr>
            <w:r>
              <w:rPr>
                <w:rFonts w:ascii="Arial" w:cs="Arial" w:eastAsia="Arial" w:hAnsi="Arial"/>
                <w:sz w:val="12"/>
                <w:szCs w:val="12"/>
                <w:color w:val="auto"/>
              </w:rPr>
              <w:t>accounting firm for 2026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320" w:type="dxa"/>
            <w:vAlign w:val="bottom"/>
            <w:vMerge w:val="restart"/>
          </w:tcPr>
          <w:p>
            <w:pPr>
              <w:ind w:left="120"/>
              <w:spacing w:after="0"/>
              <w:rPr>
                <w:sz w:val="20"/>
                <w:szCs w:val="20"/>
                <w:color w:val="auto"/>
              </w:rPr>
            </w:pPr>
            <w:r>
              <w:rPr>
                <w:rFonts w:ascii="Arial" w:cs="Arial" w:eastAsia="Arial" w:hAnsi="Arial"/>
                <w:sz w:val="25"/>
                <w:szCs w:val="25"/>
                <w:color w:val="62259D"/>
              </w:rPr>
              <w:t>3</w:t>
            </w:r>
          </w:p>
        </w:tc>
        <w:tc>
          <w:tcPr>
            <w:tcW w:w="16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680" w:type="dxa"/>
            <w:vAlign w:val="bottom"/>
          </w:tcPr>
          <w:p>
            <w:pPr>
              <w:ind w:left="40"/>
              <w:spacing w:after="0" w:line="137" w:lineRule="exact"/>
              <w:rPr>
                <w:sz w:val="20"/>
                <w:szCs w:val="20"/>
                <w:color w:val="auto"/>
              </w:rPr>
            </w:pPr>
            <w:r>
              <w:rPr>
                <w:rFonts w:ascii="Arial" w:cs="Arial" w:eastAsia="Arial" w:hAnsi="Arial"/>
                <w:sz w:val="12"/>
                <w:szCs w:val="12"/>
                <w:color w:val="auto"/>
              </w:rPr>
              <w:t>Approval, on a non-binding advisory basis, of the compensation</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320" w:type="dxa"/>
            <w:vAlign w:val="bottom"/>
            <w:tcBorders>
              <w:bottom w:val="single" w:sz="8" w:color="E7417A"/>
            </w:tcBorders>
            <w:vMerge w:val="continue"/>
          </w:tcPr>
          <w:p>
            <w:pPr>
              <w:spacing w:after="0"/>
              <w:rPr>
                <w:sz w:val="13"/>
                <w:szCs w:val="13"/>
                <w:color w:val="auto"/>
              </w:rPr>
            </w:pPr>
          </w:p>
        </w:tc>
        <w:tc>
          <w:tcPr>
            <w:tcW w:w="160" w:type="dxa"/>
            <w:vAlign w:val="bottom"/>
            <w:tcBorders>
              <w:bottom w:val="single" w:sz="8" w:color="E7417A"/>
            </w:tcBorders>
            <w:vMerge w:val="continue"/>
          </w:tcPr>
          <w:p>
            <w:pPr>
              <w:spacing w:after="0"/>
              <w:rPr>
                <w:sz w:val="13"/>
                <w:szCs w:val="13"/>
                <w:color w:val="auto"/>
              </w:rPr>
            </w:pPr>
          </w:p>
        </w:tc>
        <w:tc>
          <w:tcPr>
            <w:tcW w:w="3680" w:type="dxa"/>
            <w:vAlign w:val="bottom"/>
            <w:tcBorders>
              <w:bottom w:val="single" w:sz="8" w:color="E7417A"/>
            </w:tcBorders>
          </w:tcPr>
          <w:p>
            <w:pPr>
              <w:ind w:left="40"/>
              <w:spacing w:after="0"/>
              <w:rPr>
                <w:sz w:val="20"/>
                <w:szCs w:val="20"/>
                <w:color w:val="auto"/>
              </w:rPr>
            </w:pPr>
            <w:r>
              <w:rPr>
                <w:rFonts w:ascii="Arial" w:cs="Arial" w:eastAsia="Arial" w:hAnsi="Arial"/>
                <w:sz w:val="12"/>
                <w:szCs w:val="12"/>
                <w:color w:val="auto"/>
              </w:rPr>
              <w:t>of our named executive officers</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20" w:type="dxa"/>
            <w:vAlign w:val="bottom"/>
            <w:vMerge w:val="restart"/>
          </w:tcPr>
          <w:p>
            <w:pPr>
              <w:ind w:left="120"/>
              <w:spacing w:after="0" w:line="280" w:lineRule="exact"/>
              <w:rPr>
                <w:sz w:val="20"/>
                <w:szCs w:val="20"/>
                <w:color w:val="auto"/>
              </w:rPr>
            </w:pPr>
            <w:r>
              <w:rPr>
                <w:rFonts w:ascii="Arial" w:cs="Arial" w:eastAsia="Arial" w:hAnsi="Arial"/>
                <w:sz w:val="25"/>
                <w:szCs w:val="25"/>
                <w:color w:val="62259D"/>
              </w:rPr>
              <w:t>4</w:t>
            </w:r>
          </w:p>
        </w:tc>
        <w:tc>
          <w:tcPr>
            <w:tcW w:w="160" w:type="dxa"/>
            <w:vAlign w:val="bottom"/>
            <w:vMerge w:val="restart"/>
          </w:tcPr>
          <w:p>
            <w:pPr>
              <w:ind w:left="60"/>
              <w:spacing w:after="0"/>
              <w:rPr>
                <w:sz w:val="20"/>
                <w:szCs w:val="20"/>
                <w:color w:val="auto"/>
              </w:rPr>
            </w:pPr>
            <w:r>
              <w:rPr>
                <w:rFonts w:ascii="Arial" w:cs="Arial" w:eastAsia="Arial" w:hAnsi="Arial"/>
                <w:sz w:val="12"/>
                <w:szCs w:val="12"/>
                <w:color w:val="auto"/>
              </w:rPr>
              <w:t>​​</w:t>
            </w:r>
          </w:p>
        </w:tc>
        <w:tc>
          <w:tcPr>
            <w:tcW w:w="3680" w:type="dxa"/>
            <w:vAlign w:val="bottom"/>
          </w:tcPr>
          <w:p>
            <w:pPr>
              <w:ind w:left="40"/>
              <w:spacing w:after="0" w:line="134" w:lineRule="exact"/>
              <w:rPr>
                <w:sz w:val="20"/>
                <w:szCs w:val="20"/>
                <w:color w:val="auto"/>
              </w:rPr>
            </w:pPr>
            <w:r>
              <w:rPr>
                <w:rFonts w:ascii="Arial" w:cs="Arial" w:eastAsia="Arial" w:hAnsi="Arial"/>
                <w:sz w:val="12"/>
                <w:szCs w:val="12"/>
                <w:color w:val="auto"/>
              </w:rPr>
              <w:t>Transaction of other business, if any, as may properly come</w:t>
            </w:r>
          </w:p>
        </w:tc>
        <w:tc>
          <w:tcPr>
            <w:tcW w:w="8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5"/>
        </w:trPr>
        <w:tc>
          <w:tcPr>
            <w:tcW w:w="32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680" w:type="dxa"/>
            <w:vAlign w:val="bottom"/>
          </w:tcPr>
          <w:p>
            <w:pPr>
              <w:ind w:left="40"/>
              <w:spacing w:after="0"/>
              <w:rPr>
                <w:sz w:val="20"/>
                <w:szCs w:val="20"/>
                <w:color w:val="auto"/>
              </w:rPr>
            </w:pPr>
            <w:r>
              <w:rPr>
                <w:rFonts w:ascii="Arial" w:cs="Arial" w:eastAsia="Arial" w:hAnsi="Arial"/>
                <w:sz w:val="12"/>
                <w:szCs w:val="12"/>
                <w:color w:val="auto"/>
              </w:rPr>
              <w:t>before the meeting or any adjournment, continuation or</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520"/>
        <w:spacing w:after="0"/>
        <w:rPr>
          <w:sz w:val="20"/>
          <w:szCs w:val="20"/>
          <w:color w:val="auto"/>
        </w:rPr>
      </w:pPr>
      <w:r>
        <w:rPr>
          <w:rFonts w:ascii="Arial" w:cs="Arial" w:eastAsia="Arial" w:hAnsi="Arial"/>
          <w:sz w:val="12"/>
          <w:szCs w:val="12"/>
          <w:color w:val="auto"/>
        </w:rPr>
        <w:t>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6403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0" w:right="219"/>
        <w:spacing w:after="0" w:line="256" w:lineRule="auto"/>
        <w:rPr>
          <w:sz w:val="20"/>
          <w:szCs w:val="20"/>
          <w:color w:val="auto"/>
        </w:rPr>
      </w:pPr>
      <w:r>
        <w:rPr>
          <w:rFonts w:ascii="Arial" w:cs="Arial" w:eastAsia="Arial" w:hAnsi="Arial"/>
          <w:sz w:val="17"/>
          <w:szCs w:val="17"/>
          <w:color w:val="auto"/>
        </w:rPr>
        <w:t xml:space="preserve">A complete list of our stockholders as of the Record Date will be available for examination by any stockholder during the ten days prior to the 2026 Annual Meeting for a purpose germane to the 2026 Annual Meeting by sending an email to </w:t>
      </w:r>
      <w:r>
        <w:rPr>
          <w:rFonts w:ascii="Arial" w:cs="Arial" w:eastAsia="Arial" w:hAnsi="Arial"/>
          <w:sz w:val="17"/>
          <w:szCs w:val="17"/>
          <w:color w:val="E7417A"/>
        </w:rPr>
        <w:t>ir@rbbn.com</w:t>
      </w:r>
      <w:r>
        <w:rPr>
          <w:rFonts w:ascii="Arial" w:cs="Arial" w:eastAsia="Arial" w:hAnsi="Arial"/>
          <w:sz w:val="17"/>
          <w:szCs w:val="17"/>
          <w:color w:val="000000"/>
        </w:rPr>
        <w:t>, stating the purpose of the request</w:t>
      </w:r>
      <w:r>
        <w:rPr>
          <w:rFonts w:ascii="Arial" w:cs="Arial" w:eastAsia="Arial" w:hAnsi="Arial"/>
          <w:sz w:val="17"/>
          <w:szCs w:val="17"/>
          <w:color w:val="E7417A"/>
        </w:rPr>
        <w:t xml:space="preserve"> </w:t>
      </w:r>
      <w:r>
        <w:rPr>
          <w:rFonts w:ascii="Arial" w:cs="Arial" w:eastAsia="Arial" w:hAnsi="Arial"/>
          <w:sz w:val="17"/>
          <w:szCs w:val="17"/>
          <w:color w:val="000000"/>
        </w:rPr>
        <w:t>and providing proof of ownership of Company stock. The list of stockholders will also be available during the virtual meeting after you enter the virtual meeting using the 16-digit control number you received with the Notice of Internet Availability of Proxy Materials, proxy card or voting instructions for the 2026 Annual Meeting. For additional information, see “</w:t>
      </w:r>
      <w:r>
        <w:rPr>
          <w:rFonts w:ascii="Arial" w:cs="Arial" w:eastAsia="Arial" w:hAnsi="Arial"/>
          <w:sz w:val="17"/>
          <w:szCs w:val="17"/>
          <w:i w:val="1"/>
          <w:iCs w:val="1"/>
          <w:color w:val="000000"/>
        </w:rPr>
        <w:t>How can I attend</w:t>
      </w:r>
      <w:r>
        <w:rPr>
          <w:rFonts w:ascii="Arial" w:cs="Arial" w:eastAsia="Arial" w:hAnsi="Arial"/>
          <w:sz w:val="17"/>
          <w:szCs w:val="17"/>
          <w:color w:val="000000"/>
        </w:rPr>
        <w:t xml:space="preserve"> </w:t>
      </w:r>
      <w:r>
        <w:rPr>
          <w:rFonts w:ascii="Arial" w:cs="Arial" w:eastAsia="Arial" w:hAnsi="Arial"/>
          <w:sz w:val="17"/>
          <w:szCs w:val="17"/>
          <w:i w:val="1"/>
          <w:iCs w:val="1"/>
          <w:color w:val="000000"/>
        </w:rPr>
        <w:t>the meeting?</w:t>
      </w:r>
      <w:r>
        <w:rPr>
          <w:rFonts w:ascii="Arial" w:cs="Arial" w:eastAsia="Arial" w:hAnsi="Arial"/>
          <w:sz w:val="17"/>
          <w:szCs w:val="17"/>
          <w:color w:val="000000"/>
        </w:rPr>
        <w:t>” in the section entitled “</w:t>
      </w:r>
      <w:r>
        <w:rPr>
          <w:rFonts w:ascii="Arial" w:cs="Arial" w:eastAsia="Arial" w:hAnsi="Arial"/>
          <w:sz w:val="17"/>
          <w:szCs w:val="17"/>
          <w:i w:val="1"/>
          <w:iCs w:val="1"/>
          <w:color w:val="000000"/>
        </w:rPr>
        <w:t>Information about the Annual Meeting</w:t>
      </w:r>
      <w:r>
        <w:rPr>
          <w:rFonts w:ascii="Arial" w:cs="Arial" w:eastAsia="Arial" w:hAnsi="Arial"/>
          <w:sz w:val="17"/>
          <w:szCs w:val="17"/>
          <w:color w:val="000000"/>
        </w:rPr>
        <w:t>” in the Proxy</w:t>
      </w:r>
      <w:r>
        <w:rPr>
          <w:rFonts w:ascii="Arial" w:cs="Arial" w:eastAsia="Arial" w:hAnsi="Arial"/>
          <w:sz w:val="17"/>
          <w:szCs w:val="17"/>
          <w:i w:val="1"/>
          <w:iCs w:val="1"/>
          <w:color w:val="000000"/>
        </w:rPr>
        <w:t xml:space="preserve"> </w:t>
      </w:r>
      <w:r>
        <w:rPr>
          <w:rFonts w:ascii="Arial" w:cs="Arial" w:eastAsia="Arial" w:hAnsi="Arial"/>
          <w:sz w:val="17"/>
          <w:szCs w:val="17"/>
          <w:color w:val="000000"/>
        </w:rPr>
        <w:t>Statement.</w:t>
      </w:r>
    </w:p>
    <w:p>
      <w:pPr>
        <w:spacing w:after="0" w:line="1267" w:lineRule="exact"/>
        <w:rPr>
          <w:sz w:val="20"/>
          <w:szCs w:val="20"/>
          <w:color w:val="auto"/>
        </w:rPr>
      </w:pPr>
    </w:p>
    <w:p>
      <w:pPr>
        <w:sectPr>
          <w:pgSz w:w="11900" w:h="16838" w:orient="portrait"/>
          <w:cols w:equalWidth="0" w:num="3">
            <w:col w:w="4840" w:space="240"/>
            <w:col w:w="100" w:space="420"/>
            <w:col w:w="4279"/>
          </w:cols>
          <w:pgMar w:left="580" w:top="97" w:right="1440" w:bottom="1440" w:gutter="0" w:footer="0" w:header="0"/>
          <w:type w:val="continuous"/>
        </w:sectPr>
      </w:pPr>
    </w:p>
    <w:p>
      <w:pPr>
        <w:ind w:left="920" w:right="219"/>
        <w:spacing w:after="0" w:line="241" w:lineRule="auto"/>
        <w:rPr>
          <w:sz w:val="20"/>
          <w:szCs w:val="20"/>
          <w:color w:val="auto"/>
        </w:rPr>
      </w:pPr>
      <w:r>
        <w:rPr>
          <w:rFonts w:ascii="Arial" w:cs="Arial" w:eastAsia="Arial" w:hAnsi="Arial"/>
          <w:sz w:val="17"/>
          <w:szCs w:val="17"/>
          <w:b w:val="1"/>
          <w:bCs w:val="1"/>
          <w:color w:val="auto"/>
        </w:rPr>
        <w:t>Whether or not you expect to attend the 2026 Annual Meeting, we urge you to vote your shares as promptly as possible to ensure your representation and the presence of a quorum at the 2026 Annual Meeting</w:t>
      </w:r>
      <w:r>
        <w:rPr>
          <w:rFonts w:ascii="Arial" w:cs="Arial" w:eastAsia="Arial" w:hAnsi="Arial"/>
          <w:sz w:val="17"/>
          <w:szCs w:val="17"/>
          <w:color w:val="auto"/>
        </w:rPr>
        <w:t>. If you send in your proxy card, you may still decide to attend the 2026 Annual Meeting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vote your shares electronically. Your proxy is revocable in accordance with the procedures set forth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167005</wp:posOffset>
            </wp:positionV>
            <wp:extent cx="866140" cy="8655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86550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​April 17, 2026</w:t>
      </w:r>
    </w:p>
    <w:p>
      <w:pPr>
        <w:spacing w:after="0" w:line="272" w:lineRule="exact"/>
        <w:rPr>
          <w:sz w:val="20"/>
          <w:szCs w:val="20"/>
          <w:color w:val="auto"/>
        </w:rPr>
      </w:pPr>
    </w:p>
    <w:p>
      <w:pPr>
        <w:ind w:left="1860"/>
        <w:spacing w:after="0"/>
        <w:rPr>
          <w:sz w:val="20"/>
          <w:szCs w:val="20"/>
          <w:color w:val="auto"/>
        </w:rPr>
      </w:pPr>
      <w:r>
        <w:rPr>
          <w:rFonts w:ascii="Arial" w:cs="Arial" w:eastAsia="Arial" w:hAnsi="Arial"/>
          <w:sz w:val="16"/>
          <w:szCs w:val="16"/>
          <w:color w:val="FEFEFE"/>
        </w:rPr>
        <w: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1806575</wp:posOffset>
            </wp:positionH>
            <wp:positionV relativeFrom="paragraph">
              <wp:posOffset>35560</wp:posOffset>
            </wp:positionV>
            <wp:extent cx="1517015"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7015" cy="2743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2840"/>
        <w:spacing w:after="0"/>
        <w:rPr>
          <w:sz w:val="20"/>
          <w:szCs w:val="20"/>
          <w:color w:val="auto"/>
        </w:rPr>
      </w:pPr>
      <w:r>
        <w:rPr>
          <w:rFonts w:ascii="Arial" w:cs="Arial" w:eastAsia="Arial" w:hAnsi="Arial"/>
          <w:sz w:val="17"/>
          <w:szCs w:val="17"/>
          <w:b w:val="1"/>
          <w:bCs w:val="1"/>
          <w:color w:val="62259D"/>
        </w:rPr>
        <w:t>Patrick W. Macken</w:t>
      </w:r>
    </w:p>
    <w:p>
      <w:pPr>
        <w:spacing w:after="0" w:line="10"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Executive Vice President, Chief Legal Officer</w:t>
      </w:r>
    </w:p>
    <w:p>
      <w:pPr>
        <w:spacing w:after="0" w:line="7" w:lineRule="exact"/>
        <w:rPr>
          <w:sz w:val="20"/>
          <w:szCs w:val="20"/>
          <w:color w:val="auto"/>
        </w:rPr>
      </w:pPr>
    </w:p>
    <w:p>
      <w:pPr>
        <w:jc w:val="right"/>
        <w:ind w:right="59"/>
        <w:spacing w:after="0"/>
        <w:tabs>
          <w:tab w:leader="none" w:pos="4620" w:val="left"/>
          <w:tab w:leader="none" w:pos="4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 and Corporate Secretary</w:t>
      </w:r>
      <w:r>
        <w:rPr>
          <w:sz w:val="20"/>
          <w:szCs w:val="20"/>
          <w:color w:val="auto"/>
        </w:rPr>
        <w:tab/>
      </w:r>
      <w:r>
        <w:rPr>
          <w:rFonts w:ascii="Arial" w:cs="Arial" w:eastAsia="Arial" w:hAnsi="Arial"/>
          <w:sz w:val="17"/>
          <w:szCs w:val="17"/>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vMerge w:val="restart"/>
          </w:tcPr>
          <w:p>
            <w:pPr>
              <w:spacing w:after="0"/>
              <w:rPr>
                <w:sz w:val="20"/>
                <w:szCs w:val="20"/>
                <w:color w:val="auto"/>
              </w:rPr>
            </w:pPr>
            <w:r>
              <w:rPr>
                <w:rFonts w:ascii="Arial" w:cs="Arial" w:eastAsia="Arial" w:hAnsi="Arial"/>
                <w:sz w:val="16"/>
                <w:szCs w:val="16"/>
                <w:color w:val="FEFEFE"/>
              </w:rPr>
              <w:t>This Proxy Statement, form of proxy and the 2025 Annual Report are first</w:t>
            </w:r>
          </w:p>
        </w:tc>
        <w:tc>
          <w:tcPr>
            <w:tcW w:w="440" w:type="dxa"/>
            <w:vAlign w:val="bottom"/>
          </w:tcPr>
          <w:p>
            <w:pPr>
              <w:ind w:left="400"/>
              <w:spacing w:after="0"/>
              <w:rPr>
                <w:sz w:val="20"/>
                <w:szCs w:val="20"/>
                <w:color w:val="auto"/>
              </w:rPr>
            </w:pPr>
            <w:r>
              <w:rPr>
                <w:rFonts w:ascii="Arial" w:cs="Arial" w:eastAsia="Arial" w:hAnsi="Arial"/>
                <w:sz w:val="16"/>
                <w:szCs w:val="16"/>
                <w:color w:val="FEFEFE"/>
              </w:rPr>
              <w:t>​</w:t>
            </w:r>
          </w:p>
        </w:tc>
        <w:tc>
          <w:tcPr>
            <w:tcW w:w="0" w:type="dxa"/>
            <w:vAlign w:val="bottom"/>
          </w:tcPr>
          <w:p>
            <w:pPr>
              <w:spacing w:after="0"/>
              <w:rPr>
                <w:sz w:val="1"/>
                <w:szCs w:val="1"/>
                <w:color w:val="auto"/>
              </w:rPr>
            </w:pPr>
          </w:p>
        </w:tc>
      </w:tr>
      <w:tr>
        <w:trPr>
          <w:trHeight w:val="95"/>
        </w:trPr>
        <w:tc>
          <w:tcPr>
            <w:tcW w:w="58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40"/>
              <w:spacing w:after="0"/>
              <w:rPr>
                <w:sz w:val="20"/>
                <w:szCs w:val="20"/>
                <w:color w:val="auto"/>
              </w:rPr>
            </w:pPr>
            <w:r>
              <w:rPr>
                <w:rFonts w:ascii="Arial" w:cs="Arial" w:eastAsia="Arial" w:hAnsi="Arial"/>
                <w:sz w:val="16"/>
                <w:szCs w:val="16"/>
                <w:color w:val="FEFEFE"/>
              </w:rPr>
              <w:t>being made available to stockholders on or about April 17, 2026.</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wp:posOffset>
            </wp:positionH>
            <wp:positionV relativeFrom="paragraph">
              <wp:posOffset>-323850</wp:posOffset>
            </wp:positionV>
            <wp:extent cx="4705985" cy="368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05985" cy="368300"/>
                    </a:xfrm>
                    <a:prstGeom prst="rect">
                      <a:avLst/>
                    </a:prstGeom>
                    <a:noFill/>
                  </pic:spPr>
                </pic:pic>
              </a:graphicData>
            </a:graphic>
          </wp:anchor>
        </w:drawing>
        <w:drawing>
          <wp:anchor simplePos="0" relativeHeight="251657728" behindDoc="1" locked="0" layoutInCell="0" allowOverlap="1">
            <wp:simplePos x="0" y="0"/>
            <wp:positionH relativeFrom="column">
              <wp:posOffset>-1660525</wp:posOffset>
            </wp:positionH>
            <wp:positionV relativeFrom="paragraph">
              <wp:posOffset>280035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040" w:space="560"/>
            <w:col w:w="72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820"/>
        <w:spacing w:after="0"/>
        <w:rPr>
          <w:sz w:val="20"/>
          <w:szCs w:val="20"/>
          <w:color w:val="auto"/>
        </w:rPr>
      </w:pPr>
      <w:r>
        <w:rPr>
          <w:rFonts w:ascii="Arial" w:cs="Arial" w:eastAsia="Arial" w:hAnsi="Arial"/>
          <w:sz w:val="43"/>
          <w:szCs w:val="43"/>
          <w:b w:val="1"/>
          <w:bCs w:val="1"/>
          <w:color w:val="62259D"/>
        </w:rPr>
        <w:t>TABLE OF CONTENTS</w:t>
      </w:r>
    </w:p>
    <w:p>
      <w:pPr>
        <w:sectPr>
          <w:pgSz w:w="11900" w:h="16838" w:orient="portrait"/>
          <w:cols w:equalWidth="0" w:num="1">
            <w:col w:w="10720"/>
          </w:cols>
          <w:pgMar w:left="580" w:top="97"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920" w:type="dxa"/>
        <w:tblCellMar>
          <w:top w:w="0" w:type="dxa"/>
          <w:left w:w="0" w:type="dxa"/>
          <w:bottom w:w="0" w:type="dxa"/>
          <w:right w:w="0" w:type="dxa"/>
        </w:tblCellMar>
      </w:tblPr>
      <w:tr>
        <w:trPr>
          <w:trHeight w:val="195"/>
        </w:trPr>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b w:val="1"/>
                <w:bCs w:val="1"/>
                <w:color w:val="0000EE"/>
              </w:rPr>
              <w:t xml:space="preserve">1   </w:t>
            </w:r>
            <w:r>
              <w:rPr>
                <w:rFonts w:ascii="Arial" w:cs="Arial" w:eastAsia="Arial" w:hAnsi="Arial"/>
                <w:sz w:val="17"/>
                <w:szCs w:val="17"/>
                <w:b w:val="1"/>
                <w:bCs w:val="1"/>
                <w:color w:val="000000"/>
              </w:rPr>
              <w:t>​ ​</w:t>
            </w:r>
          </w:p>
        </w:tc>
        <w:tc>
          <w:tcPr>
            <w:tcW w:w="2280" w:type="dxa"/>
            <w:vAlign w:val="bottom"/>
          </w:tcPr>
          <w:p>
            <w:pPr>
              <w:spacing w:after="0"/>
              <w:rPr>
                <w:sz w:val="20"/>
                <w:szCs w:val="20"/>
                <w:color w:val="auto"/>
              </w:rPr>
            </w:pPr>
            <w:r>
              <w:rPr>
                <w:rFonts w:ascii="Arial" w:cs="Arial" w:eastAsia="Arial" w:hAnsi="Arial"/>
                <w:sz w:val="17"/>
                <w:szCs w:val="17"/>
                <w:b w:val="1"/>
                <w:bCs w:val="1"/>
                <w:color w:val="0000EE"/>
              </w:rPr>
              <w:t>SUMMARY INFORMATION</w:t>
            </w:r>
          </w:p>
        </w:tc>
        <w:tc>
          <w:tcPr>
            <w:tcW w:w="1280" w:type="dxa"/>
            <w:vAlign w:val="bottom"/>
          </w:tcPr>
          <w:p>
            <w:pPr>
              <w:ind w:left="1160"/>
              <w:spacing w:after="0"/>
              <w:rPr>
                <w:sz w:val="20"/>
                <w:szCs w:val="20"/>
                <w:color w:val="auto"/>
              </w:rPr>
            </w:pPr>
            <w:r>
              <w:rPr>
                <w:rFonts w:ascii="Arial" w:cs="Arial" w:eastAsia="Arial" w:hAnsi="Arial"/>
                <w:sz w:val="17"/>
                <w:szCs w:val="17"/>
                <w:b w:val="1"/>
                <w:bCs w:val="1"/>
                <w:color w:val="auto"/>
              </w:rPr>
              <w:t>​</w:t>
            </w:r>
          </w:p>
        </w:tc>
      </w:tr>
      <w:tr>
        <w:trPr>
          <w:trHeight w:val="21"/>
        </w:trPr>
        <w:tc>
          <w:tcPr>
            <w:tcW w:w="120" w:type="dxa"/>
            <w:vAlign w:val="bottom"/>
            <w:tcBorders>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440" w:type="dxa"/>
            <w:vAlign w:val="bottom"/>
            <w:tcBorders>
              <w:bottom w:val="single" w:sz="8" w:color="E7417A"/>
            </w:tcBorders>
          </w:tcPr>
          <w:p>
            <w:pPr>
              <w:spacing w:after="0" w:line="20" w:lineRule="exact"/>
              <w:rPr>
                <w:sz w:val="1"/>
                <w:szCs w:val="1"/>
                <w:color w:val="auto"/>
              </w:rPr>
            </w:pPr>
          </w:p>
        </w:tc>
        <w:tc>
          <w:tcPr>
            <w:tcW w:w="2280" w:type="dxa"/>
            <w:vAlign w:val="bottom"/>
            <w:tcBorders>
              <w:top w:val="single" w:sz="8" w:color="0000EE"/>
              <w:bottom w:val="single" w:sz="8" w:color="E7417A"/>
            </w:tcBorders>
          </w:tcPr>
          <w:p>
            <w:pPr>
              <w:spacing w:after="0" w:line="20" w:lineRule="exact"/>
              <w:rPr>
                <w:sz w:val="1"/>
                <w:szCs w:val="1"/>
                <w:color w:val="auto"/>
              </w:rPr>
            </w:pPr>
          </w:p>
        </w:tc>
        <w:tc>
          <w:tcPr>
            <w:tcW w:w="1280" w:type="dxa"/>
            <w:vAlign w:val="bottom"/>
            <w:tcBorders>
              <w:bottom w:val="single" w:sz="8" w:color="E7417A"/>
            </w:tcBorders>
          </w:tcPr>
          <w:p>
            <w:pPr>
              <w:spacing w:after="0" w:line="20" w:lineRule="exact"/>
              <w:rPr>
                <w:sz w:val="1"/>
                <w:szCs w:val="1"/>
                <w:color w:val="auto"/>
              </w:rPr>
            </w:pPr>
          </w:p>
        </w:tc>
      </w:tr>
      <w:tr>
        <w:trPr>
          <w:trHeight w:val="149"/>
        </w:trPr>
        <w:tc>
          <w:tcPr>
            <w:tcW w:w="120" w:type="dxa"/>
            <w:vAlign w:val="bottom"/>
          </w:tcPr>
          <w:p>
            <w:pPr>
              <w:spacing w:after="0" w:line="150" w:lineRule="exact"/>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2"/>
                <w:szCs w:val="12"/>
                <w:color w:val="auto"/>
              </w:rPr>
            </w:pPr>
          </w:p>
        </w:tc>
        <w:tc>
          <w:tcPr>
            <w:tcW w:w="440" w:type="dxa"/>
            <w:vAlign w:val="bottom"/>
          </w:tcPr>
          <w:p>
            <w:pPr>
              <w:jc w:val="right"/>
              <w:spacing w:after="0" w:line="150" w:lineRule="exact"/>
              <w:rPr>
                <w:sz w:val="20"/>
                <w:szCs w:val="20"/>
                <w:color w:val="auto"/>
              </w:rPr>
            </w:pPr>
            <w:r>
              <w:rPr>
                <w:rFonts w:ascii="Arial" w:cs="Arial" w:eastAsia="Arial" w:hAnsi="Arial"/>
                <w:sz w:val="17"/>
                <w:szCs w:val="17"/>
                <w:b w:val="1"/>
                <w:bCs w:val="1"/>
                <w:color w:val="auto"/>
              </w:rPr>
              <w:t>​ ​</w:t>
            </w:r>
          </w:p>
        </w:tc>
        <w:tc>
          <w:tcPr>
            <w:tcW w:w="2280" w:type="dxa"/>
            <w:vAlign w:val="bottom"/>
          </w:tcPr>
          <w:p>
            <w:pPr>
              <w:spacing w:after="0"/>
              <w:rPr>
                <w:sz w:val="12"/>
                <w:szCs w:val="12"/>
                <w:color w:val="auto"/>
              </w:rPr>
            </w:pPr>
          </w:p>
        </w:tc>
        <w:tc>
          <w:tcPr>
            <w:tcW w:w="1280" w:type="dxa"/>
            <w:vAlign w:val="bottom"/>
          </w:tcPr>
          <w:p>
            <w:pPr>
              <w:ind w:left="1160"/>
              <w:spacing w:after="0" w:line="150" w:lineRule="exact"/>
              <w:rPr>
                <w:sz w:val="20"/>
                <w:szCs w:val="20"/>
                <w:color w:val="auto"/>
              </w:rPr>
            </w:pPr>
            <w:r>
              <w:rPr>
                <w:rFonts w:ascii="Arial" w:cs="Arial" w:eastAsia="Arial" w:hAnsi="Arial"/>
                <w:sz w:val="17"/>
                <w:szCs w:val="17"/>
                <w:b w:val="1"/>
                <w:bCs w:val="1"/>
                <w:color w:val="auto"/>
              </w:rPr>
              <w:t>​</w:t>
            </w:r>
          </w:p>
        </w:tc>
      </w:tr>
    </w:tbl>
    <w:p>
      <w:pPr>
        <w:ind w:left="1580" w:right="600" w:hanging="548"/>
        <w:spacing w:after="0" w:line="227" w:lineRule="auto"/>
        <w:tabs>
          <w:tab w:leader="none" w:pos="1580" w:val="left"/>
        </w:tabs>
        <w:numPr>
          <w:ilvl w:val="0"/>
          <w:numId w:val="6"/>
        </w:numPr>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t xml:space="preserve">CORPORATE GOVERNANCE AND </w:t>
      </w:r>
      <w:r>
        <w:rPr>
          <w:rFonts w:ascii="Arial" w:cs="Arial" w:eastAsia="Arial" w:hAnsi="Arial"/>
          <w:sz w:val="17"/>
          <w:szCs w:val="17"/>
          <w:b w:val="1"/>
          <w:bCs w:val="1"/>
          <w:color w:val="0000EE"/>
        </w:rPr>
        <w:t>BOARD MATTERS</w:t>
      </w:r>
    </w:p>
    <w:p>
      <w:pPr>
        <w:spacing w:after="0" w:line="21" w:lineRule="exact"/>
        <w:rPr>
          <w:sz w:val="20"/>
          <w:szCs w:val="20"/>
          <w:color w:val="auto"/>
        </w:rPr>
      </w:pPr>
    </w:p>
    <w:tbl>
      <w:tblPr>
        <w:tblLayout w:type="fixed"/>
        <w:tblInd w:w="920" w:type="dxa"/>
        <w:tblCellMar>
          <w:top w:w="0" w:type="dxa"/>
          <w:left w:w="0" w:type="dxa"/>
          <w:bottom w:w="0" w:type="dxa"/>
          <w:right w:w="0" w:type="dxa"/>
        </w:tblCellMar>
      </w:tblPr>
      <w:tr>
        <w:trPr>
          <w:trHeight w:val="21"/>
        </w:trPr>
        <w:tc>
          <w:tcPr>
            <w:tcW w:w="12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80" w:type="dxa"/>
            <w:vAlign w:val="bottom"/>
            <w:tcBorders>
              <w:right w:val="single" w:sz="8" w:color="E7417A"/>
            </w:tcBorders>
            <w:shd w:val="clear" w:color="auto" w:fill="E7417A"/>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40" w:type="dxa"/>
            <w:vAlign w:val="bottom"/>
            <w:shd w:val="clear" w:color="auto" w:fill="E7417A"/>
          </w:tcPr>
          <w:p>
            <w:pPr>
              <w:spacing w:after="0" w:line="20" w:lineRule="exact"/>
              <w:rPr>
                <w:sz w:val="1"/>
                <w:szCs w:val="1"/>
                <w:color w:val="auto"/>
              </w:rPr>
            </w:pPr>
          </w:p>
        </w:tc>
        <w:tc>
          <w:tcPr>
            <w:tcW w:w="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60" w:type="dxa"/>
            <w:vAlign w:val="bottom"/>
            <w:shd w:val="clear" w:color="auto" w:fill="E7417A"/>
          </w:tcPr>
          <w:p>
            <w:pPr>
              <w:spacing w:after="0" w:line="20" w:lineRule="exact"/>
              <w:rPr>
                <w:sz w:val="1"/>
                <w:szCs w:val="1"/>
                <w:color w:val="auto"/>
              </w:rPr>
            </w:pPr>
          </w:p>
        </w:tc>
        <w:tc>
          <w:tcPr>
            <w:tcW w:w="6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6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20" w:type="dxa"/>
            <w:vAlign w:val="bottom"/>
          </w:tcPr>
          <w:p>
            <w:pPr>
              <w:spacing w:after="0" w:line="17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b w:val="1"/>
                <w:bCs w:val="1"/>
                <w:color w:val="62259D"/>
                <w:w w:val="71"/>
              </w:rPr>
              <w:t>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ind w:left="120"/>
              <w:spacing w:after="0" w:line="175" w:lineRule="exact"/>
              <w:rPr>
                <w:sz w:val="20"/>
                <w:szCs w:val="20"/>
                <w:color w:val="auto"/>
              </w:rPr>
            </w:pPr>
            <w:r>
              <w:rPr>
                <w:rFonts w:ascii="Arial" w:cs="Arial" w:eastAsia="Arial" w:hAnsi="Arial"/>
                <w:sz w:val="16"/>
                <w:szCs w:val="16"/>
                <w:color w:val="auto"/>
              </w:rPr>
              <w:t>​ ​</w:t>
            </w:r>
          </w:p>
        </w:tc>
        <w:tc>
          <w:tcPr>
            <w:tcW w:w="3180" w:type="dxa"/>
            <w:vAlign w:val="bottom"/>
            <w:gridSpan w:val="24"/>
          </w:tcPr>
          <w:p>
            <w:pPr>
              <w:spacing w:after="0" w:line="175" w:lineRule="exact"/>
              <w:rPr>
                <w:sz w:val="20"/>
                <w:szCs w:val="20"/>
                <w:color w:val="auto"/>
              </w:rPr>
            </w:pPr>
            <w:r>
              <w:rPr>
                <w:rFonts w:ascii="Arial" w:cs="Arial" w:eastAsia="Arial" w:hAnsi="Arial"/>
                <w:sz w:val="16"/>
                <w:szCs w:val="16"/>
                <w:b w:val="1"/>
                <w:bCs w:val="1"/>
                <w:color w:val="62259D"/>
              </w:rPr>
              <w:t>PROPOSAL 1</w:t>
            </w:r>
            <w:r>
              <w:rPr>
                <w:rFonts w:ascii="Arial" w:cs="Arial" w:eastAsia="Arial" w:hAnsi="Arial"/>
                <w:sz w:val="16"/>
                <w:szCs w:val="16"/>
                <w:color w:val="62259D"/>
              </w:rPr>
              <w:t> — Election of Directors</w:t>
            </w:r>
          </w:p>
        </w:tc>
        <w:tc>
          <w:tcPr>
            <w:tcW w:w="380" w:type="dxa"/>
            <w:vAlign w:val="bottom"/>
          </w:tcPr>
          <w:p>
            <w:pPr>
              <w:ind w:left="26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tcBorders>
              <w:bottom w:val="single" w:sz="8" w:color="4C4C4C"/>
            </w:tcBorders>
          </w:tcPr>
          <w:p>
            <w:pPr>
              <w:spacing w:after="0" w:line="20" w:lineRule="exact"/>
              <w:rPr>
                <w:sz w:val="1"/>
                <w:szCs w:val="1"/>
                <w:color w:val="auto"/>
              </w:rPr>
            </w:pPr>
          </w:p>
        </w:tc>
        <w:tc>
          <w:tcPr>
            <w:tcW w:w="8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340" w:type="dxa"/>
            <w:vAlign w:val="bottom"/>
            <w:tcBorders>
              <w:bottom w:val="single" w:sz="8" w:color="4C4C4C"/>
            </w:tcBorders>
          </w:tcPr>
          <w:p>
            <w:pPr>
              <w:spacing w:after="0" w:line="20" w:lineRule="exact"/>
              <w:rPr>
                <w:sz w:val="1"/>
                <w:szCs w:val="1"/>
                <w:color w:val="auto"/>
              </w:rPr>
            </w:pPr>
          </w:p>
        </w:tc>
        <w:tc>
          <w:tcPr>
            <w:tcW w:w="820" w:type="dxa"/>
            <w:vAlign w:val="bottom"/>
            <w:tcBorders>
              <w:top w:val="single" w:sz="8" w:color="62259D"/>
              <w:bottom w:val="single" w:sz="8" w:color="4C4C4C"/>
            </w:tcBorders>
          </w:tcPr>
          <w:p>
            <w:pPr>
              <w:spacing w:after="0" w:line="20" w:lineRule="exact"/>
              <w:rPr>
                <w:sz w:val="1"/>
                <w:szCs w:val="1"/>
                <w:color w:val="auto"/>
              </w:rPr>
            </w:pPr>
          </w:p>
        </w:tc>
        <w:tc>
          <w:tcPr>
            <w:tcW w:w="160" w:type="dxa"/>
            <w:vAlign w:val="bottom"/>
            <w:tcBorders>
              <w:top w:val="single" w:sz="8" w:color="62259D"/>
              <w:bottom w:val="single" w:sz="8" w:color="4C4C4C"/>
            </w:tcBorders>
          </w:tcPr>
          <w:p>
            <w:pPr>
              <w:spacing w:after="0" w:line="20" w:lineRule="exact"/>
              <w:rPr>
                <w:sz w:val="1"/>
                <w:szCs w:val="1"/>
                <w:color w:val="auto"/>
              </w:rPr>
            </w:pPr>
          </w:p>
        </w:tc>
        <w:tc>
          <w:tcPr>
            <w:tcW w:w="40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8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80" w:type="dxa"/>
            <w:vAlign w:val="bottom"/>
            <w:tcBorders>
              <w:top w:val="single" w:sz="8" w:color="62259D"/>
              <w:bottom w:val="single" w:sz="8" w:color="4C4C4C"/>
            </w:tcBorders>
          </w:tcPr>
          <w:p>
            <w:pPr>
              <w:spacing w:after="0" w:line="20" w:lineRule="exact"/>
              <w:rPr>
                <w:sz w:val="1"/>
                <w:szCs w:val="1"/>
                <w:color w:val="auto"/>
              </w:rPr>
            </w:pPr>
          </w:p>
        </w:tc>
        <w:tc>
          <w:tcPr>
            <w:tcW w:w="24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4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60" w:type="dxa"/>
            <w:vAlign w:val="bottom"/>
            <w:tcBorders>
              <w:top w:val="single" w:sz="8" w:color="62259D"/>
              <w:bottom w:val="single" w:sz="8" w:color="4C4C4C"/>
            </w:tcBorders>
          </w:tcPr>
          <w:p>
            <w:pPr>
              <w:spacing w:after="0" w:line="20" w:lineRule="exact"/>
              <w:rPr>
                <w:sz w:val="1"/>
                <w:szCs w:val="1"/>
                <w:color w:val="auto"/>
              </w:rPr>
            </w:pPr>
          </w:p>
        </w:tc>
        <w:tc>
          <w:tcPr>
            <w:tcW w:w="60" w:type="dxa"/>
            <w:vAlign w:val="bottom"/>
            <w:tcBorders>
              <w:top w:val="single" w:sz="8" w:color="62259D"/>
              <w:bottom w:val="single" w:sz="8" w:color="4C4C4C"/>
            </w:tcBorders>
          </w:tcPr>
          <w:p>
            <w:pPr>
              <w:spacing w:after="0" w:line="20" w:lineRule="exact"/>
              <w:rPr>
                <w:sz w:val="1"/>
                <w:szCs w:val="1"/>
                <w:color w:val="auto"/>
              </w:rPr>
            </w:pPr>
          </w:p>
        </w:tc>
        <w:tc>
          <w:tcPr>
            <w:tcW w:w="160" w:type="dxa"/>
            <w:vAlign w:val="bottom"/>
            <w:tcBorders>
              <w:top w:val="single" w:sz="8" w:color="62259D"/>
              <w:bottom w:val="single" w:sz="8" w:color="4C4C4C"/>
            </w:tcBorders>
          </w:tcPr>
          <w:p>
            <w:pPr>
              <w:spacing w:after="0" w:line="20" w:lineRule="exact"/>
              <w:rPr>
                <w:sz w:val="1"/>
                <w:szCs w:val="1"/>
                <w:color w:val="auto"/>
              </w:rPr>
            </w:pPr>
          </w:p>
        </w:tc>
        <w:tc>
          <w:tcPr>
            <w:tcW w:w="8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380" w:type="dxa"/>
            <w:vAlign w:val="bottom"/>
            <w:tcBorders>
              <w:bottom w:val="single" w:sz="8" w:color="4C4C4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line="156" w:lineRule="exact"/>
              <w:rPr>
                <w:sz w:val="20"/>
                <w:szCs w:val="20"/>
                <w:color w:val="auto"/>
              </w:rPr>
            </w:pPr>
            <w:r>
              <w:rPr>
                <w:rFonts w:ascii="Arial" w:cs="Arial" w:eastAsia="Arial" w:hAnsi="Arial"/>
                <w:sz w:val="16"/>
                <w:szCs w:val="16"/>
                <w:color w:val="auto"/>
              </w:rPr>
              <w:t>​</w:t>
            </w:r>
          </w:p>
        </w:tc>
        <w:tc>
          <w:tcPr>
            <w:tcW w:w="80" w:type="dxa"/>
            <w:vAlign w:val="bottom"/>
            <w:tcBorders>
              <w:bottom w:val="single" w:sz="8" w:color="0000EE"/>
            </w:tcBorders>
          </w:tcPr>
          <w:p>
            <w:pPr>
              <w:spacing w:after="0" w:line="156" w:lineRule="exact"/>
              <w:rPr>
                <w:sz w:val="20"/>
                <w:szCs w:val="20"/>
                <w:color w:val="auto"/>
              </w:rPr>
            </w:pPr>
            <w:r>
              <w:rPr>
                <w:rFonts w:ascii="Arial" w:cs="Arial" w:eastAsia="Arial" w:hAnsi="Arial"/>
                <w:sz w:val="15"/>
                <w:szCs w:val="15"/>
                <w:color w:val="0000EE"/>
                <w:w w:val="71"/>
              </w:rPr>
              <w:t>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ind w:left="120"/>
              <w:spacing w:after="0" w:line="156" w:lineRule="exact"/>
              <w:rPr>
                <w:sz w:val="20"/>
                <w:szCs w:val="20"/>
                <w:color w:val="auto"/>
              </w:rPr>
            </w:pPr>
            <w:r>
              <w:rPr>
                <w:rFonts w:ascii="Arial" w:cs="Arial" w:eastAsia="Arial" w:hAnsi="Arial"/>
                <w:sz w:val="16"/>
                <w:szCs w:val="16"/>
                <w:color w:val="auto"/>
              </w:rPr>
              <w:t>​ ​</w:t>
            </w:r>
          </w:p>
        </w:tc>
        <w:tc>
          <w:tcPr>
            <w:tcW w:w="1400" w:type="dxa"/>
            <w:vAlign w:val="bottom"/>
            <w:tcBorders>
              <w:bottom w:val="single" w:sz="8" w:color="0000EE"/>
            </w:tcBorders>
            <w:gridSpan w:val="4"/>
          </w:tcPr>
          <w:p>
            <w:pPr>
              <w:spacing w:after="0" w:line="156" w:lineRule="exact"/>
              <w:rPr>
                <w:sz w:val="20"/>
                <w:szCs w:val="20"/>
                <w:color w:val="auto"/>
              </w:rPr>
            </w:pPr>
            <w:r>
              <w:rPr>
                <w:rFonts w:ascii="Arial" w:cs="Arial" w:eastAsia="Arial" w:hAnsi="Arial"/>
                <w:sz w:val="16"/>
                <w:szCs w:val="16"/>
                <w:color w:val="0000EE"/>
              </w:rPr>
              <w:t>Director Nominees</w:t>
            </w:r>
          </w:p>
        </w:tc>
        <w:tc>
          <w:tcPr>
            <w:tcW w:w="1780" w:type="dxa"/>
            <w:vAlign w:val="bottom"/>
            <w:gridSpan w:val="20"/>
          </w:tcPr>
          <w:p>
            <w:pPr>
              <w:spacing w:after="0"/>
              <w:rPr>
                <w:sz w:val="13"/>
                <w:szCs w:val="13"/>
                <w:color w:val="auto"/>
              </w:rPr>
            </w:pPr>
          </w:p>
        </w:tc>
        <w:tc>
          <w:tcPr>
            <w:tcW w:w="380" w:type="dxa"/>
            <w:vAlign w:val="bottom"/>
          </w:tcPr>
          <w:p>
            <w:pPr>
              <w:ind w:left="260"/>
              <w:spacing w:after="0" w:line="15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15</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1780" w:type="dxa"/>
            <w:vAlign w:val="bottom"/>
            <w:tcBorders>
              <w:bottom w:val="single" w:sz="8" w:color="0000EE"/>
            </w:tcBorders>
            <w:gridSpan w:val="9"/>
          </w:tcPr>
          <w:p>
            <w:pPr>
              <w:spacing w:after="0" w:line="169" w:lineRule="exact"/>
              <w:rPr>
                <w:sz w:val="20"/>
                <w:szCs w:val="20"/>
                <w:color w:val="auto"/>
              </w:rPr>
            </w:pPr>
            <w:r>
              <w:rPr>
                <w:rFonts w:ascii="Arial" w:cs="Arial" w:eastAsia="Arial" w:hAnsi="Arial"/>
                <w:sz w:val="16"/>
                <w:szCs w:val="16"/>
                <w:color w:val="0000EE"/>
              </w:rPr>
              <w:t>Corporate Governance</w:t>
            </w:r>
          </w:p>
        </w:tc>
        <w:tc>
          <w:tcPr>
            <w:tcW w:w="1400" w:type="dxa"/>
            <w:vAlign w:val="bottom"/>
            <w:gridSpan w:val="15"/>
          </w:tcPr>
          <w:p>
            <w:pPr>
              <w:spacing w:after="0"/>
              <w:rPr>
                <w:sz w:val="14"/>
                <w:szCs w:val="14"/>
                <w:color w:val="auto"/>
              </w:rPr>
            </w:pP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15</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2300" w:type="dxa"/>
            <w:vAlign w:val="bottom"/>
            <w:tcBorders>
              <w:bottom w:val="single" w:sz="8" w:color="0000EE"/>
            </w:tcBorders>
            <w:gridSpan w:val="15"/>
          </w:tcPr>
          <w:p>
            <w:pPr>
              <w:spacing w:after="0" w:line="169" w:lineRule="exact"/>
              <w:rPr>
                <w:sz w:val="20"/>
                <w:szCs w:val="20"/>
                <w:color w:val="auto"/>
              </w:rPr>
            </w:pPr>
            <w:r>
              <w:rPr>
                <w:rFonts w:ascii="Arial" w:cs="Arial" w:eastAsia="Arial" w:hAnsi="Arial"/>
                <w:sz w:val="16"/>
                <w:szCs w:val="16"/>
                <w:color w:val="0000EE"/>
              </w:rPr>
              <w:t>Oversight of Risk Management</w:t>
            </w:r>
          </w:p>
        </w:tc>
        <w:tc>
          <w:tcPr>
            <w:tcW w:w="880" w:type="dxa"/>
            <w:vAlign w:val="bottom"/>
            <w:gridSpan w:val="9"/>
          </w:tcPr>
          <w:p>
            <w:pPr>
              <w:spacing w:after="0"/>
              <w:rPr>
                <w:sz w:val="14"/>
                <w:szCs w:val="14"/>
                <w:color w:val="auto"/>
              </w:rPr>
            </w:pP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gridSpan w:val="3"/>
          </w:tcPr>
          <w:p>
            <w:pPr>
              <w:spacing w:after="0" w:line="155" w:lineRule="exact"/>
              <w:rPr>
                <w:sz w:val="20"/>
                <w:szCs w:val="20"/>
                <w:color w:val="auto"/>
              </w:rPr>
            </w:pPr>
            <w:r>
              <w:rPr>
                <w:rFonts w:ascii="Arial" w:cs="Arial" w:eastAsia="Arial" w:hAnsi="Arial"/>
                <w:sz w:val="16"/>
                <w:szCs w:val="16"/>
                <w:color w:val="0000EE"/>
                <w:w w:val="89"/>
              </w:rPr>
              <w:t>16</w:t>
            </w:r>
          </w:p>
        </w:tc>
        <w:tc>
          <w:tcPr>
            <w:tcW w:w="20" w:type="dxa"/>
            <w:vAlign w:val="bottom"/>
          </w:tcPr>
          <w:p>
            <w:pPr>
              <w:spacing w:after="0"/>
              <w:rPr>
                <w:sz w:val="13"/>
                <w:szCs w:val="13"/>
                <w:color w:val="auto"/>
              </w:rPr>
            </w:pPr>
          </w:p>
        </w:tc>
        <w:tc>
          <w:tcPr>
            <w:tcW w:w="340" w:type="dxa"/>
            <w:vAlign w:val="bottom"/>
          </w:tcPr>
          <w:p>
            <w:pPr>
              <w:ind w:left="120"/>
              <w:spacing w:after="0" w:line="155" w:lineRule="exact"/>
              <w:rPr>
                <w:sz w:val="20"/>
                <w:szCs w:val="20"/>
                <w:color w:val="auto"/>
              </w:rPr>
            </w:pPr>
            <w:r>
              <w:rPr>
                <w:rFonts w:ascii="Arial" w:cs="Arial" w:eastAsia="Arial" w:hAnsi="Arial"/>
                <w:sz w:val="16"/>
                <w:szCs w:val="16"/>
                <w:color w:val="auto"/>
              </w:rPr>
              <w:t>​ ​</w:t>
            </w:r>
          </w:p>
        </w:tc>
        <w:tc>
          <w:tcPr>
            <w:tcW w:w="3180" w:type="dxa"/>
            <w:vAlign w:val="bottom"/>
            <w:gridSpan w:val="24"/>
          </w:tcPr>
          <w:p>
            <w:pPr>
              <w:spacing w:after="0" w:line="155" w:lineRule="exact"/>
              <w:rPr>
                <w:sz w:val="20"/>
                <w:szCs w:val="20"/>
                <w:color w:val="auto"/>
              </w:rPr>
            </w:pPr>
            <w:r>
              <w:rPr>
                <w:rFonts w:ascii="Arial" w:cs="Arial" w:eastAsia="Arial" w:hAnsi="Arial"/>
                <w:sz w:val="16"/>
                <w:szCs w:val="16"/>
                <w:color w:val="0000EE"/>
              </w:rPr>
              <w:t>Board Composition and Stockholders</w:t>
            </w:r>
          </w:p>
        </w:tc>
        <w:tc>
          <w:tcPr>
            <w:tcW w:w="380" w:type="dxa"/>
            <w:vAlign w:val="bottom"/>
          </w:tcPr>
          <w:p>
            <w:pPr>
              <w:ind w:left="2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820" w:type="dxa"/>
            <w:vAlign w:val="bottom"/>
            <w:tcBorders>
              <w:top w:val="single" w:sz="8" w:color="0000EE"/>
              <w:bottom w:val="single" w:sz="8" w:color="0000EE"/>
            </w:tcBorders>
          </w:tcPr>
          <w:p>
            <w:pPr>
              <w:spacing w:after="0" w:line="155" w:lineRule="exact"/>
              <w:rPr>
                <w:sz w:val="20"/>
                <w:szCs w:val="20"/>
                <w:color w:val="auto"/>
              </w:rPr>
            </w:pPr>
            <w:r>
              <w:rPr>
                <w:rFonts w:ascii="Arial" w:cs="Arial" w:eastAsia="Arial" w:hAnsi="Arial"/>
                <w:sz w:val="16"/>
                <w:szCs w:val="16"/>
                <w:color w:val="0000EE"/>
              </w:rPr>
              <w:t>Agreement</w:t>
            </w:r>
          </w:p>
        </w:tc>
        <w:tc>
          <w:tcPr>
            <w:tcW w:w="1940" w:type="dxa"/>
            <w:vAlign w:val="bottom"/>
            <w:tcBorders>
              <w:top w:val="single" w:sz="8" w:color="0000EE"/>
            </w:tcBorders>
            <w:gridSpan w:val="19"/>
          </w:tcPr>
          <w:p>
            <w:pPr>
              <w:spacing w:after="0"/>
              <w:rPr>
                <w:sz w:val="13"/>
                <w:szCs w:val="13"/>
                <w:color w:val="auto"/>
              </w:rPr>
            </w:pPr>
          </w:p>
        </w:tc>
        <w:tc>
          <w:tcPr>
            <w:tcW w:w="2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20" w:type="dxa"/>
            <w:vAlign w:val="bottom"/>
            <w:vMerge w:val="continue"/>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6"/>
                <w:szCs w:val="16"/>
                <w:color w:val="0000EE"/>
                <w:w w:val="89"/>
              </w:rPr>
              <w:t>17</w:t>
            </w:r>
          </w:p>
        </w:tc>
        <w:tc>
          <w:tcPr>
            <w:tcW w:w="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3180" w:type="dxa"/>
            <w:vAlign w:val="bottom"/>
            <w:gridSpan w:val="24"/>
          </w:tcPr>
          <w:p>
            <w:pPr>
              <w:spacing w:after="0"/>
              <w:rPr>
                <w:sz w:val="20"/>
                <w:szCs w:val="20"/>
                <w:color w:val="auto"/>
              </w:rPr>
            </w:pPr>
            <w:r>
              <w:rPr>
                <w:rFonts w:ascii="Arial" w:cs="Arial" w:eastAsia="Arial" w:hAnsi="Arial"/>
                <w:sz w:val="16"/>
                <w:szCs w:val="16"/>
                <w:color w:val="0000EE"/>
              </w:rPr>
              <w:t>Director Experience and Tenure</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18</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2360" w:type="dxa"/>
            <w:vAlign w:val="bottom"/>
            <w:tcBorders>
              <w:top w:val="single" w:sz="8" w:color="0000EE"/>
            </w:tcBorders>
            <w:gridSpan w:val="16"/>
          </w:tcPr>
          <w:p>
            <w:pPr>
              <w:spacing w:after="0" w:line="169" w:lineRule="exact"/>
              <w:rPr>
                <w:sz w:val="20"/>
                <w:szCs w:val="20"/>
                <w:color w:val="auto"/>
              </w:rPr>
            </w:pPr>
            <w:r>
              <w:rPr>
                <w:rFonts w:ascii="Arial" w:cs="Arial" w:eastAsia="Arial" w:hAnsi="Arial"/>
                <w:sz w:val="16"/>
                <w:szCs w:val="16"/>
                <w:color w:val="0000EE"/>
              </w:rPr>
              <w:t>Director Independence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19</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1700" w:type="dxa"/>
            <w:vAlign w:val="bottom"/>
            <w:tcBorders>
              <w:top w:val="single" w:sz="8" w:color="0000EE"/>
            </w:tcBorders>
            <w:gridSpan w:val="8"/>
          </w:tcPr>
          <w:p>
            <w:pPr>
              <w:spacing w:after="0" w:line="169" w:lineRule="exact"/>
              <w:rPr>
                <w:sz w:val="20"/>
                <w:szCs w:val="20"/>
                <w:color w:val="auto"/>
              </w:rPr>
            </w:pPr>
            <w:r>
              <w:rPr>
                <w:rFonts w:ascii="Arial" w:cs="Arial" w:eastAsia="Arial" w:hAnsi="Arial"/>
                <w:sz w:val="16"/>
                <w:szCs w:val="16"/>
                <w:color w:val="0000EE"/>
              </w:rPr>
              <w:t>Meeting Attendance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19</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148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6"/>
                <w:szCs w:val="16"/>
                <w:color w:val="0000EE"/>
              </w:rPr>
              <w:t>Board Committees</w:t>
            </w:r>
          </w:p>
        </w:tc>
        <w:tc>
          <w:tcPr>
            <w:tcW w:w="20" w:type="dxa"/>
            <w:vAlign w:val="bottom"/>
          </w:tcPr>
          <w:p>
            <w:pPr>
              <w:spacing w:after="0"/>
              <w:rPr>
                <w:sz w:val="14"/>
                <w:szCs w:val="14"/>
                <w:color w:val="auto"/>
              </w:rPr>
            </w:pPr>
          </w:p>
        </w:tc>
        <w:tc>
          <w:tcPr>
            <w:tcW w:w="280" w:type="dxa"/>
            <w:vAlign w:val="bottom"/>
            <w:gridSpan w:val="3"/>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24</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13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96"/>
              </w:rPr>
              <w:t>Director Nomination</w:t>
            </w:r>
          </w:p>
        </w:tc>
        <w:tc>
          <w:tcPr>
            <w:tcW w:w="120" w:type="dxa"/>
            <w:vAlign w:val="bottom"/>
            <w:gridSpan w:val="3"/>
          </w:tcPr>
          <w:p>
            <w:pPr>
              <w:spacing w:after="0"/>
              <w:rPr>
                <w:sz w:val="14"/>
                <w:szCs w:val="14"/>
                <w:color w:val="auto"/>
              </w:rPr>
            </w:pPr>
          </w:p>
        </w:tc>
        <w:tc>
          <w:tcPr>
            <w:tcW w:w="1680" w:type="dxa"/>
            <w:vAlign w:val="bottom"/>
            <w:gridSpan w:val="18"/>
          </w:tcPr>
          <w:p>
            <w:pPr>
              <w:ind w:left="20"/>
              <w:spacing w:after="0" w:line="169" w:lineRule="exact"/>
              <w:rPr>
                <w:sz w:val="20"/>
                <w:szCs w:val="20"/>
                <w:color w:val="auto"/>
              </w:rPr>
            </w:pPr>
            <w:r>
              <w:rPr>
                <w:rFonts w:ascii="Arial" w:cs="Arial" w:eastAsia="Arial" w:hAnsi="Arial"/>
                <w:sz w:val="16"/>
                <w:szCs w:val="16"/>
                <w:color w:val="0000EE"/>
              </w:rPr>
              <w:t>Process</w:t>
            </w: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bottom w:val="single" w:sz="8" w:color="0000EE"/>
            </w:tcBorders>
            <w:gridSpan w:val="3"/>
          </w:tcPr>
          <w:p>
            <w:pPr>
              <w:spacing w:after="0" w:line="155" w:lineRule="exact"/>
              <w:rPr>
                <w:sz w:val="20"/>
                <w:szCs w:val="20"/>
                <w:color w:val="auto"/>
              </w:rPr>
            </w:pPr>
            <w:r>
              <w:rPr>
                <w:rFonts w:ascii="Arial" w:cs="Arial" w:eastAsia="Arial" w:hAnsi="Arial"/>
                <w:sz w:val="16"/>
                <w:szCs w:val="16"/>
                <w:color w:val="0000EE"/>
                <w:w w:val="89"/>
              </w:rPr>
              <w:t>24</w:t>
            </w:r>
          </w:p>
        </w:tc>
        <w:tc>
          <w:tcPr>
            <w:tcW w:w="20" w:type="dxa"/>
            <w:vAlign w:val="bottom"/>
          </w:tcPr>
          <w:p>
            <w:pPr>
              <w:spacing w:after="0"/>
              <w:rPr>
                <w:sz w:val="13"/>
                <w:szCs w:val="13"/>
                <w:color w:val="auto"/>
              </w:rPr>
            </w:pPr>
          </w:p>
        </w:tc>
        <w:tc>
          <w:tcPr>
            <w:tcW w:w="340" w:type="dxa"/>
            <w:vAlign w:val="bottom"/>
          </w:tcPr>
          <w:p>
            <w:pPr>
              <w:ind w:left="120"/>
              <w:spacing w:after="0" w:line="155" w:lineRule="exact"/>
              <w:rPr>
                <w:sz w:val="20"/>
                <w:szCs w:val="20"/>
                <w:color w:val="auto"/>
              </w:rPr>
            </w:pPr>
            <w:r>
              <w:rPr>
                <w:rFonts w:ascii="Arial" w:cs="Arial" w:eastAsia="Arial" w:hAnsi="Arial"/>
                <w:sz w:val="16"/>
                <w:szCs w:val="16"/>
                <w:color w:val="auto"/>
              </w:rPr>
              <w:t>​ ​</w:t>
            </w:r>
          </w:p>
        </w:tc>
        <w:tc>
          <w:tcPr>
            <w:tcW w:w="2140" w:type="dxa"/>
            <w:vAlign w:val="bottom"/>
            <w:tcBorders>
              <w:top w:val="single" w:sz="8" w:color="0000EE"/>
              <w:bottom w:val="single" w:sz="8" w:color="0000EE"/>
            </w:tcBorders>
            <w:gridSpan w:val="12"/>
          </w:tcPr>
          <w:p>
            <w:pPr>
              <w:spacing w:after="0" w:line="155" w:lineRule="exact"/>
              <w:rPr>
                <w:sz w:val="20"/>
                <w:szCs w:val="20"/>
                <w:color w:val="auto"/>
              </w:rPr>
            </w:pPr>
            <w:r>
              <w:rPr>
                <w:rFonts w:ascii="Arial" w:cs="Arial" w:eastAsia="Arial" w:hAnsi="Arial"/>
                <w:sz w:val="16"/>
                <w:szCs w:val="16"/>
                <w:color w:val="0000EE"/>
              </w:rPr>
              <w:t>Stockholder Nominations and</w:t>
            </w:r>
          </w:p>
        </w:tc>
        <w:tc>
          <w:tcPr>
            <w:tcW w:w="4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9"/>
            <w:vMerge w:val="restart"/>
          </w:tcPr>
          <w:p>
            <w:pPr>
              <w:ind w:left="60"/>
              <w:spacing w:after="0"/>
              <w:rPr>
                <w:sz w:val="20"/>
                <w:szCs w:val="20"/>
                <w:color w:val="auto"/>
              </w:rPr>
            </w:pPr>
            <w:r>
              <w:rPr>
                <w:rFonts w:ascii="Arial" w:cs="Arial" w:eastAsia="Arial" w:hAnsi="Arial"/>
                <w:sz w:val="16"/>
                <w:szCs w:val="16"/>
                <w:color w:val="0000EE"/>
              </w:rPr>
              <w:t>Candidates</w:t>
            </w:r>
          </w:p>
        </w:tc>
        <w:tc>
          <w:tcPr>
            <w:tcW w:w="60" w:type="dxa"/>
            <w:vAlign w:val="bottom"/>
            <w:vMerge w:val="restart"/>
          </w:tcPr>
          <w:p>
            <w:pPr>
              <w:spacing w:after="0"/>
              <w:rPr>
                <w:sz w:val="13"/>
                <w:szCs w:val="13"/>
                <w:color w:val="auto"/>
              </w:rPr>
            </w:pPr>
          </w:p>
        </w:tc>
        <w:tc>
          <w:tcPr>
            <w:tcW w:w="380" w:type="dxa"/>
            <w:vAlign w:val="bottom"/>
          </w:tcPr>
          <w:p>
            <w:pPr>
              <w:ind w:left="2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2180" w:type="dxa"/>
            <w:vAlign w:val="bottom"/>
            <w:tcBorders>
              <w:bottom w:val="single" w:sz="8" w:color="0000EE"/>
            </w:tcBorders>
            <w:gridSpan w:val="13"/>
          </w:tcPr>
          <w:p>
            <w:pPr>
              <w:spacing w:after="0" w:line="155" w:lineRule="exact"/>
              <w:rPr>
                <w:sz w:val="20"/>
                <w:szCs w:val="20"/>
                <w:color w:val="auto"/>
              </w:rPr>
            </w:pPr>
            <w:r>
              <w:rPr>
                <w:rFonts w:ascii="Arial" w:cs="Arial" w:eastAsia="Arial" w:hAnsi="Arial"/>
                <w:sz w:val="16"/>
                <w:szCs w:val="16"/>
                <w:color w:val="0000EE"/>
              </w:rPr>
              <w:t>Recommendations of Director</w:t>
            </w:r>
          </w:p>
        </w:tc>
        <w:tc>
          <w:tcPr>
            <w:tcW w:w="20" w:type="dxa"/>
            <w:vAlign w:val="bottom"/>
            <w:tcBorders>
              <w:bottom w:val="single" w:sz="8" w:color="0000EE"/>
            </w:tcBorders>
          </w:tcPr>
          <w:p>
            <w:pPr>
              <w:spacing w:after="0"/>
              <w:rPr>
                <w:sz w:val="13"/>
                <w:szCs w:val="13"/>
                <w:color w:val="auto"/>
              </w:rPr>
            </w:pPr>
          </w:p>
        </w:tc>
        <w:tc>
          <w:tcPr>
            <w:tcW w:w="920" w:type="dxa"/>
            <w:vAlign w:val="bottom"/>
            <w:tcBorders>
              <w:bottom w:val="single" w:sz="8" w:color="0000EE"/>
            </w:tcBorders>
            <w:gridSpan w:val="9"/>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38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20" w:type="dxa"/>
            <w:vAlign w:val="bottom"/>
            <w:vMerge w:val="continue"/>
          </w:tcPr>
          <w:p>
            <w:pPr>
              <w:spacing w:after="0"/>
              <w:rPr>
                <w:sz w:val="17"/>
                <w:szCs w:val="17"/>
                <w:color w:val="auto"/>
              </w:rPr>
            </w:pPr>
          </w:p>
        </w:tc>
        <w:tc>
          <w:tcPr>
            <w:tcW w:w="180" w:type="dxa"/>
            <w:vAlign w:val="bottom"/>
            <w:gridSpan w:val="3"/>
          </w:tcPr>
          <w:p>
            <w:pPr>
              <w:spacing w:after="0"/>
              <w:rPr>
                <w:sz w:val="20"/>
                <w:szCs w:val="20"/>
                <w:color w:val="auto"/>
              </w:rPr>
            </w:pPr>
            <w:r>
              <w:rPr>
                <w:rFonts w:ascii="Arial" w:cs="Arial" w:eastAsia="Arial" w:hAnsi="Arial"/>
                <w:sz w:val="16"/>
                <w:szCs w:val="16"/>
                <w:color w:val="0000EE"/>
                <w:w w:val="89"/>
              </w:rPr>
              <w:t>25</w:t>
            </w:r>
          </w:p>
        </w:tc>
        <w:tc>
          <w:tcPr>
            <w:tcW w:w="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3180" w:type="dxa"/>
            <w:vAlign w:val="bottom"/>
            <w:gridSpan w:val="24"/>
          </w:tcPr>
          <w:p>
            <w:pPr>
              <w:spacing w:after="0"/>
              <w:rPr>
                <w:sz w:val="20"/>
                <w:szCs w:val="20"/>
                <w:color w:val="auto"/>
              </w:rPr>
            </w:pPr>
            <w:r>
              <w:rPr>
                <w:rFonts w:ascii="Arial" w:cs="Arial" w:eastAsia="Arial" w:hAnsi="Arial"/>
                <w:sz w:val="16"/>
                <w:szCs w:val="16"/>
                <w:color w:val="0000EE"/>
              </w:rPr>
              <w:t>Board Leadership Structure</w:t>
            </w: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25</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2040" w:type="dxa"/>
            <w:vAlign w:val="bottom"/>
            <w:tcBorders>
              <w:top w:val="single" w:sz="8" w:color="0000EE"/>
            </w:tcBorders>
            <w:gridSpan w:val="11"/>
          </w:tcPr>
          <w:p>
            <w:pPr>
              <w:spacing w:after="0" w:line="169" w:lineRule="exact"/>
              <w:rPr>
                <w:sz w:val="20"/>
                <w:szCs w:val="20"/>
                <w:color w:val="auto"/>
              </w:rPr>
            </w:pPr>
            <w:r>
              <w:rPr>
                <w:rFonts w:ascii="Arial" w:cs="Arial" w:eastAsia="Arial" w:hAnsi="Arial"/>
                <w:sz w:val="16"/>
                <w:szCs w:val="16"/>
                <w:color w:val="0000EE"/>
              </w:rPr>
              <w:t>Executive Sessions of the</w:t>
            </w:r>
          </w:p>
        </w:tc>
        <w:tc>
          <w:tcPr>
            <w:tcW w:w="1140" w:type="dxa"/>
            <w:vAlign w:val="bottom"/>
            <w:gridSpan w:val="13"/>
          </w:tcPr>
          <w:p>
            <w:pPr>
              <w:spacing w:after="0" w:line="169" w:lineRule="exact"/>
              <w:rPr>
                <w:sz w:val="20"/>
                <w:szCs w:val="20"/>
                <w:color w:val="auto"/>
              </w:rPr>
            </w:pPr>
            <w:r>
              <w:rPr>
                <w:rFonts w:ascii="Arial" w:cs="Arial" w:eastAsia="Arial" w:hAnsi="Arial"/>
                <w:sz w:val="16"/>
                <w:szCs w:val="16"/>
                <w:color w:val="0000EE"/>
              </w:rPr>
              <w:t>Board</w:t>
            </w: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bottom w:val="single" w:sz="8" w:color="0000EE"/>
            </w:tcBorders>
            <w:gridSpan w:val="3"/>
          </w:tcPr>
          <w:p>
            <w:pPr>
              <w:spacing w:after="0" w:line="169" w:lineRule="exact"/>
              <w:rPr>
                <w:sz w:val="20"/>
                <w:szCs w:val="20"/>
                <w:color w:val="auto"/>
              </w:rPr>
            </w:pPr>
            <w:r>
              <w:rPr>
                <w:rFonts w:ascii="Arial" w:cs="Arial" w:eastAsia="Arial" w:hAnsi="Arial"/>
                <w:sz w:val="16"/>
                <w:szCs w:val="16"/>
                <w:color w:val="0000EE"/>
                <w:w w:val="89"/>
              </w:rPr>
              <w:t>25</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2300" w:type="dxa"/>
            <w:vAlign w:val="bottom"/>
            <w:tcBorders>
              <w:top w:val="single" w:sz="8" w:color="0000EE"/>
              <w:bottom w:val="single" w:sz="8" w:color="0000EE"/>
            </w:tcBorders>
            <w:gridSpan w:val="15"/>
          </w:tcPr>
          <w:p>
            <w:pPr>
              <w:spacing w:after="0" w:line="169" w:lineRule="exact"/>
              <w:rPr>
                <w:sz w:val="20"/>
                <w:szCs w:val="20"/>
                <w:color w:val="auto"/>
              </w:rPr>
            </w:pPr>
            <w:r>
              <w:rPr>
                <w:rFonts w:ascii="Arial" w:cs="Arial" w:eastAsia="Arial" w:hAnsi="Arial"/>
                <w:sz w:val="16"/>
                <w:szCs w:val="16"/>
                <w:color w:val="0000EE"/>
              </w:rPr>
              <w:t>Additional Governance Matters</w:t>
            </w:r>
          </w:p>
        </w:tc>
        <w:tc>
          <w:tcPr>
            <w:tcW w:w="120" w:type="dxa"/>
            <w:vAlign w:val="bottom"/>
            <w:tcBorders>
              <w:top w:val="single" w:sz="8" w:color="0000EE"/>
            </w:tcBorders>
            <w:gridSpan w:val="2"/>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gridSpan w:val="3"/>
          </w:tcPr>
          <w:p>
            <w:pPr>
              <w:spacing w:after="0" w:line="169" w:lineRule="exact"/>
              <w:rPr>
                <w:sz w:val="20"/>
                <w:szCs w:val="20"/>
                <w:color w:val="auto"/>
              </w:rPr>
            </w:pPr>
            <w:r>
              <w:rPr>
                <w:rFonts w:ascii="Arial" w:cs="Arial" w:eastAsia="Arial" w:hAnsi="Arial"/>
                <w:sz w:val="16"/>
                <w:szCs w:val="16"/>
                <w:color w:val="0000EE"/>
                <w:w w:val="89"/>
              </w:rPr>
              <w:t>26</w:t>
            </w:r>
          </w:p>
        </w:tc>
        <w:tc>
          <w:tcPr>
            <w:tcW w:w="20" w:type="dxa"/>
            <w:vAlign w:val="bottom"/>
          </w:tcPr>
          <w:p>
            <w:pPr>
              <w:spacing w:after="0"/>
              <w:rPr>
                <w:sz w:val="14"/>
                <w:szCs w:val="14"/>
                <w:color w:val="auto"/>
              </w:rPr>
            </w:pPr>
          </w:p>
        </w:tc>
        <w:tc>
          <w:tcPr>
            <w:tcW w:w="340" w:type="dxa"/>
            <w:vAlign w:val="bottom"/>
          </w:tcPr>
          <w:p>
            <w:pPr>
              <w:ind w:left="120"/>
              <w:spacing w:after="0" w:line="169" w:lineRule="exact"/>
              <w:rPr>
                <w:sz w:val="20"/>
                <w:szCs w:val="20"/>
                <w:color w:val="auto"/>
              </w:rPr>
            </w:pPr>
            <w:r>
              <w:rPr>
                <w:rFonts w:ascii="Arial" w:cs="Arial" w:eastAsia="Arial" w:hAnsi="Arial"/>
                <w:sz w:val="16"/>
                <w:szCs w:val="16"/>
                <w:color w:val="auto"/>
              </w:rPr>
              <w:t>​ ​</w:t>
            </w:r>
          </w:p>
        </w:tc>
        <w:tc>
          <w:tcPr>
            <w:tcW w:w="3180" w:type="dxa"/>
            <w:vAlign w:val="bottom"/>
            <w:gridSpan w:val="24"/>
          </w:tcPr>
          <w:p>
            <w:pPr>
              <w:spacing w:after="0" w:line="169" w:lineRule="exact"/>
              <w:rPr>
                <w:sz w:val="20"/>
                <w:szCs w:val="20"/>
                <w:color w:val="auto"/>
              </w:rPr>
            </w:pPr>
            <w:r>
              <w:rPr>
                <w:rFonts w:ascii="Arial" w:cs="Arial" w:eastAsia="Arial" w:hAnsi="Arial"/>
                <w:sz w:val="16"/>
                <w:szCs w:val="16"/>
                <w:color w:val="0000EE"/>
              </w:rPr>
              <w:t>Transactions with Related Persons</w:t>
            </w:r>
          </w:p>
        </w:tc>
        <w:tc>
          <w:tcPr>
            <w:tcW w:w="380" w:type="dxa"/>
            <w:vAlign w:val="bottom"/>
          </w:tcPr>
          <w:p>
            <w:pPr>
              <w:ind w:left="26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bottom w:val="single" w:sz="8" w:color="0000EE"/>
            </w:tcBorders>
            <w:gridSpan w:val="3"/>
          </w:tcPr>
          <w:p>
            <w:pPr>
              <w:spacing w:after="0" w:line="155" w:lineRule="exact"/>
              <w:rPr>
                <w:sz w:val="20"/>
                <w:szCs w:val="20"/>
                <w:color w:val="auto"/>
              </w:rPr>
            </w:pPr>
            <w:r>
              <w:rPr>
                <w:rFonts w:ascii="Arial" w:cs="Arial" w:eastAsia="Arial" w:hAnsi="Arial"/>
                <w:sz w:val="16"/>
                <w:szCs w:val="16"/>
                <w:color w:val="0000EE"/>
                <w:w w:val="89"/>
              </w:rPr>
              <w:t>27</w:t>
            </w:r>
          </w:p>
        </w:tc>
        <w:tc>
          <w:tcPr>
            <w:tcW w:w="20" w:type="dxa"/>
            <w:vAlign w:val="bottom"/>
          </w:tcPr>
          <w:p>
            <w:pPr>
              <w:spacing w:after="0"/>
              <w:rPr>
                <w:sz w:val="14"/>
                <w:szCs w:val="14"/>
                <w:color w:val="auto"/>
              </w:rPr>
            </w:pPr>
          </w:p>
        </w:tc>
        <w:tc>
          <w:tcPr>
            <w:tcW w:w="340" w:type="dxa"/>
            <w:vAlign w:val="bottom"/>
          </w:tcPr>
          <w:p>
            <w:pPr>
              <w:ind w:left="120"/>
              <w:spacing w:after="0" w:line="155" w:lineRule="exact"/>
              <w:rPr>
                <w:sz w:val="20"/>
                <w:szCs w:val="20"/>
                <w:color w:val="auto"/>
              </w:rPr>
            </w:pPr>
            <w:r>
              <w:rPr>
                <w:rFonts w:ascii="Arial" w:cs="Arial" w:eastAsia="Arial" w:hAnsi="Arial"/>
                <w:sz w:val="16"/>
                <w:szCs w:val="16"/>
                <w:color w:val="auto"/>
              </w:rPr>
              <w:t>​ ​</w:t>
            </w:r>
          </w:p>
        </w:tc>
        <w:tc>
          <w:tcPr>
            <w:tcW w:w="1780" w:type="dxa"/>
            <w:vAlign w:val="bottom"/>
            <w:tcBorders>
              <w:top w:val="single" w:sz="8" w:color="0000EE"/>
              <w:bottom w:val="single" w:sz="8" w:color="0000EE"/>
            </w:tcBorders>
            <w:gridSpan w:val="9"/>
          </w:tcPr>
          <w:p>
            <w:pPr>
              <w:spacing w:after="0" w:line="155" w:lineRule="exact"/>
              <w:rPr>
                <w:sz w:val="20"/>
                <w:szCs w:val="20"/>
                <w:color w:val="auto"/>
              </w:rPr>
            </w:pPr>
            <w:r>
              <w:rPr>
                <w:rFonts w:ascii="Arial" w:cs="Arial" w:eastAsia="Arial" w:hAnsi="Arial"/>
                <w:sz w:val="16"/>
                <w:szCs w:val="16"/>
                <w:color w:val="0000EE"/>
              </w:rPr>
              <w:t>Director Compensation</w:t>
            </w:r>
          </w:p>
        </w:tc>
        <w:tc>
          <w:tcPr>
            <w:tcW w:w="800" w:type="dxa"/>
            <w:vAlign w:val="bottom"/>
            <w:tcBorders>
              <w:top w:val="single" w:sz="8" w:color="0000EE"/>
            </w:tcBorders>
            <w:gridSpan w:val="9"/>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3"/>
          </w:tcPr>
          <w:p>
            <w:pPr>
              <w:spacing w:after="0"/>
              <w:rPr>
                <w:sz w:val="14"/>
                <w:szCs w:val="14"/>
                <w:color w:val="auto"/>
              </w:rPr>
            </w:pPr>
          </w:p>
        </w:tc>
        <w:tc>
          <w:tcPr>
            <w:tcW w:w="220" w:type="dxa"/>
            <w:vAlign w:val="bottom"/>
            <w:gridSpan w:val="2"/>
          </w:tcPr>
          <w:p>
            <w:pPr>
              <w:spacing w:after="0"/>
              <w:rPr>
                <w:sz w:val="14"/>
                <w:szCs w:val="14"/>
                <w:color w:val="auto"/>
              </w:rPr>
            </w:pPr>
          </w:p>
        </w:tc>
        <w:tc>
          <w:tcPr>
            <w:tcW w:w="380" w:type="dxa"/>
            <w:vAlign w:val="bottom"/>
          </w:tcPr>
          <w:p>
            <w:pPr>
              <w:ind w:left="2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200" w:type="dxa"/>
            <w:vAlign w:val="bottom"/>
            <w:gridSpan w:val="4"/>
            <w:vMerge w:val="restart"/>
          </w:tcPr>
          <w:p>
            <w:pPr>
              <w:spacing w:after="0"/>
              <w:rPr>
                <w:sz w:val="20"/>
                <w:szCs w:val="20"/>
                <w:color w:val="auto"/>
              </w:rPr>
            </w:pPr>
            <w:r>
              <w:rPr>
                <w:rFonts w:ascii="Arial" w:cs="Arial" w:eastAsia="Arial" w:hAnsi="Arial"/>
                <w:sz w:val="17"/>
                <w:szCs w:val="17"/>
                <w:b w:val="1"/>
                <w:bCs w:val="1"/>
                <w:color w:val="0000EE"/>
                <w:w w:val="94"/>
              </w:rPr>
              <w:t>31</w:t>
            </w:r>
          </w:p>
        </w:tc>
        <w:tc>
          <w:tcPr>
            <w:tcW w:w="340" w:type="dxa"/>
            <w:vAlign w:val="bottom"/>
          </w:tcPr>
          <w:p>
            <w:pPr>
              <w:ind w:left="120"/>
              <w:spacing w:after="0"/>
              <w:rPr>
                <w:sz w:val="20"/>
                <w:szCs w:val="20"/>
                <w:color w:val="auto"/>
              </w:rPr>
            </w:pPr>
            <w:r>
              <w:rPr>
                <w:rFonts w:ascii="Arial" w:cs="Arial" w:eastAsia="Arial" w:hAnsi="Arial"/>
                <w:sz w:val="17"/>
                <w:szCs w:val="17"/>
                <w:b w:val="1"/>
                <w:bCs w:val="1"/>
                <w:color w:val="auto"/>
              </w:rPr>
              <w:t>​ ​</w:t>
            </w:r>
          </w:p>
        </w:tc>
        <w:tc>
          <w:tcPr>
            <w:tcW w:w="3180" w:type="dxa"/>
            <w:vAlign w:val="bottom"/>
            <w:gridSpan w:val="24"/>
            <w:vMerge w:val="restart"/>
          </w:tcPr>
          <w:p>
            <w:pPr>
              <w:spacing w:after="0"/>
              <w:rPr>
                <w:sz w:val="20"/>
                <w:szCs w:val="20"/>
                <w:color w:val="auto"/>
              </w:rPr>
            </w:pPr>
            <w:r>
              <w:rPr>
                <w:rFonts w:ascii="Arial" w:cs="Arial" w:eastAsia="Arial" w:hAnsi="Arial"/>
                <w:sz w:val="17"/>
                <w:szCs w:val="17"/>
                <w:b w:val="1"/>
                <w:bCs w:val="1"/>
                <w:color w:val="0000EE"/>
              </w:rPr>
              <w:t>AUDIT MATTERS</w:t>
            </w:r>
          </w:p>
        </w:tc>
        <w:tc>
          <w:tcPr>
            <w:tcW w:w="380" w:type="dxa"/>
            <w:vAlign w:val="bottom"/>
          </w:tcPr>
          <w:p>
            <w:pPr>
              <w:ind w:left="2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20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gridSpan w:val="24"/>
            <w:vMerge w:val="continue"/>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bottom w:val="single" w:sz="8" w:color="E7417A"/>
            </w:tcBorders>
          </w:tcPr>
          <w:p>
            <w:pPr>
              <w:spacing w:after="0" w:line="20" w:lineRule="exact"/>
              <w:rPr>
                <w:sz w:val="1"/>
                <w:szCs w:val="1"/>
                <w:color w:val="auto"/>
              </w:rPr>
            </w:pPr>
          </w:p>
        </w:tc>
        <w:tc>
          <w:tcPr>
            <w:tcW w:w="820" w:type="dxa"/>
            <w:vAlign w:val="bottom"/>
            <w:tcBorders>
              <w:top w:val="single" w:sz="8" w:color="0000EE"/>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40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2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3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62259D"/>
            </w:tcBorders>
            <w:gridSpan w:val="3"/>
          </w:tcPr>
          <w:p>
            <w:pPr>
              <w:spacing w:after="0" w:line="155" w:lineRule="exact"/>
              <w:rPr>
                <w:sz w:val="20"/>
                <w:szCs w:val="20"/>
                <w:color w:val="auto"/>
              </w:rPr>
            </w:pPr>
            <w:r>
              <w:rPr>
                <w:rFonts w:ascii="Arial" w:cs="Arial" w:eastAsia="Arial" w:hAnsi="Arial"/>
                <w:sz w:val="16"/>
                <w:szCs w:val="16"/>
                <w:b w:val="1"/>
                <w:bCs w:val="1"/>
                <w:color w:val="62259D"/>
                <w:w w:val="89"/>
              </w:rPr>
              <w:t>31</w:t>
            </w:r>
          </w:p>
        </w:tc>
        <w:tc>
          <w:tcPr>
            <w:tcW w:w="20" w:type="dxa"/>
            <w:vAlign w:val="bottom"/>
          </w:tcPr>
          <w:p>
            <w:pPr>
              <w:spacing w:after="0"/>
              <w:rPr>
                <w:sz w:val="13"/>
                <w:szCs w:val="13"/>
                <w:color w:val="auto"/>
              </w:rPr>
            </w:pPr>
          </w:p>
        </w:tc>
        <w:tc>
          <w:tcPr>
            <w:tcW w:w="340" w:type="dxa"/>
            <w:vAlign w:val="bottom"/>
          </w:tcPr>
          <w:p>
            <w:pPr>
              <w:ind w:left="120"/>
              <w:spacing w:after="0" w:line="155" w:lineRule="exact"/>
              <w:rPr>
                <w:sz w:val="20"/>
                <w:szCs w:val="20"/>
                <w:color w:val="auto"/>
              </w:rPr>
            </w:pPr>
            <w:r>
              <w:rPr>
                <w:rFonts w:ascii="Arial" w:cs="Arial" w:eastAsia="Arial" w:hAnsi="Arial"/>
                <w:sz w:val="16"/>
                <w:szCs w:val="16"/>
                <w:color w:val="auto"/>
              </w:rPr>
              <w:t>​ ​</w:t>
            </w:r>
          </w:p>
        </w:tc>
        <w:tc>
          <w:tcPr>
            <w:tcW w:w="2660" w:type="dxa"/>
            <w:vAlign w:val="bottom"/>
            <w:tcBorders>
              <w:bottom w:val="single" w:sz="8" w:color="62259D"/>
            </w:tcBorders>
            <w:gridSpan w:val="19"/>
          </w:tcPr>
          <w:p>
            <w:pPr>
              <w:spacing w:after="0" w:line="155" w:lineRule="exact"/>
              <w:rPr>
                <w:sz w:val="20"/>
                <w:szCs w:val="20"/>
                <w:color w:val="auto"/>
              </w:rPr>
            </w:pPr>
            <w:r>
              <w:rPr>
                <w:rFonts w:ascii="Arial" w:cs="Arial" w:eastAsia="Arial" w:hAnsi="Arial"/>
                <w:sz w:val="16"/>
                <w:szCs w:val="16"/>
                <w:b w:val="1"/>
                <w:bCs w:val="1"/>
                <w:color w:val="62259D"/>
              </w:rPr>
              <w:t>PROPOSAL 2</w:t>
            </w:r>
            <w:r>
              <w:rPr>
                <w:rFonts w:ascii="Arial" w:cs="Arial" w:eastAsia="Arial" w:hAnsi="Arial"/>
                <w:sz w:val="16"/>
                <w:szCs w:val="16"/>
                <w:color w:val="62259D"/>
              </w:rPr>
              <w:t> — Ratification of the</w:t>
            </w:r>
          </w:p>
        </w:tc>
        <w:tc>
          <w:tcPr>
            <w:tcW w:w="520" w:type="dxa"/>
            <w:vAlign w:val="bottom"/>
            <w:gridSpan w:val="5"/>
          </w:tcPr>
          <w:p>
            <w:pPr>
              <w:spacing w:after="0"/>
              <w:rPr>
                <w:sz w:val="13"/>
                <w:szCs w:val="13"/>
                <w:color w:val="auto"/>
              </w:rPr>
            </w:pPr>
          </w:p>
        </w:tc>
        <w:tc>
          <w:tcPr>
            <w:tcW w:w="380" w:type="dxa"/>
            <w:vAlign w:val="bottom"/>
          </w:tcPr>
          <w:p>
            <w:pPr>
              <w:ind w:left="26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180" w:type="dxa"/>
            <w:vAlign w:val="bottom"/>
            <w:gridSpan w:val="24"/>
          </w:tcPr>
          <w:p>
            <w:pPr>
              <w:spacing w:after="0" w:line="155" w:lineRule="exact"/>
              <w:rPr>
                <w:sz w:val="20"/>
                <w:szCs w:val="20"/>
                <w:color w:val="auto"/>
              </w:rPr>
            </w:pPr>
            <w:r>
              <w:rPr>
                <w:rFonts w:ascii="Arial" w:cs="Arial" w:eastAsia="Arial" w:hAnsi="Arial"/>
                <w:sz w:val="16"/>
                <w:szCs w:val="16"/>
                <w:color w:val="62259D"/>
              </w:rPr>
              <w:t>Appointment of Independent Registered</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Borders>
              <w:top w:val="single" w:sz="8" w:color="62259D"/>
            </w:tcBorders>
            <w:gridSpan w:val="22"/>
          </w:tcPr>
          <w:p>
            <w:pPr>
              <w:spacing w:after="0" w:line="169" w:lineRule="exact"/>
              <w:rPr>
                <w:sz w:val="20"/>
                <w:szCs w:val="20"/>
                <w:color w:val="auto"/>
              </w:rPr>
            </w:pPr>
            <w:r>
              <w:rPr>
                <w:rFonts w:ascii="Arial" w:cs="Arial" w:eastAsia="Arial" w:hAnsi="Arial"/>
                <w:sz w:val="16"/>
                <w:szCs w:val="16"/>
                <w:color w:val="62259D"/>
              </w:rPr>
              <w:t>Public Accounting Firm</w:t>
            </w:r>
          </w:p>
        </w:tc>
        <w:tc>
          <w:tcPr>
            <w:tcW w:w="22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340" w:type="dxa"/>
            <w:vAlign w:val="bottom"/>
            <w:tcBorders>
              <w:bottom w:val="single" w:sz="8" w:color="4C4C4C"/>
            </w:tcBorders>
          </w:tcPr>
          <w:p>
            <w:pPr>
              <w:spacing w:after="0" w:line="20" w:lineRule="exact"/>
              <w:rPr>
                <w:sz w:val="1"/>
                <w:szCs w:val="1"/>
                <w:color w:val="auto"/>
              </w:rPr>
            </w:pPr>
          </w:p>
        </w:tc>
        <w:tc>
          <w:tcPr>
            <w:tcW w:w="820" w:type="dxa"/>
            <w:vAlign w:val="bottom"/>
            <w:tcBorders>
              <w:top w:val="single" w:sz="8" w:color="62259D"/>
              <w:bottom w:val="single" w:sz="8" w:color="4C4C4C"/>
            </w:tcBorders>
          </w:tcPr>
          <w:p>
            <w:pPr>
              <w:spacing w:after="0" w:line="20" w:lineRule="exact"/>
              <w:rPr>
                <w:sz w:val="1"/>
                <w:szCs w:val="1"/>
                <w:color w:val="auto"/>
              </w:rPr>
            </w:pPr>
          </w:p>
        </w:tc>
        <w:tc>
          <w:tcPr>
            <w:tcW w:w="160" w:type="dxa"/>
            <w:vAlign w:val="bottom"/>
            <w:tcBorders>
              <w:top w:val="single" w:sz="8" w:color="62259D"/>
              <w:bottom w:val="single" w:sz="8" w:color="4C4C4C"/>
            </w:tcBorders>
          </w:tcPr>
          <w:p>
            <w:pPr>
              <w:spacing w:after="0" w:line="20" w:lineRule="exact"/>
              <w:rPr>
                <w:sz w:val="1"/>
                <w:szCs w:val="1"/>
                <w:color w:val="auto"/>
              </w:rPr>
            </w:pPr>
          </w:p>
        </w:tc>
        <w:tc>
          <w:tcPr>
            <w:tcW w:w="40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80" w:type="dxa"/>
            <w:vAlign w:val="bottom"/>
            <w:tcBorders>
              <w:top w:val="single" w:sz="8" w:color="62259D"/>
              <w:bottom w:val="single" w:sz="8" w:color="4C4C4C"/>
            </w:tcBorders>
          </w:tcPr>
          <w:p>
            <w:pPr>
              <w:spacing w:after="0" w:line="20" w:lineRule="exact"/>
              <w:rPr>
                <w:sz w:val="1"/>
                <w:szCs w:val="1"/>
                <w:color w:val="auto"/>
              </w:rPr>
            </w:pPr>
          </w:p>
        </w:tc>
        <w:tc>
          <w:tcPr>
            <w:tcW w:w="2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100" w:type="dxa"/>
            <w:vAlign w:val="bottom"/>
            <w:tcBorders>
              <w:top w:val="single" w:sz="8" w:color="62259D"/>
              <w:bottom w:val="single" w:sz="8" w:color="4C4C4C"/>
            </w:tcBorders>
          </w:tcPr>
          <w:p>
            <w:pPr>
              <w:spacing w:after="0" w:line="20" w:lineRule="exact"/>
              <w:rPr>
                <w:sz w:val="1"/>
                <w:szCs w:val="1"/>
                <w:color w:val="auto"/>
              </w:rPr>
            </w:pPr>
          </w:p>
        </w:tc>
        <w:tc>
          <w:tcPr>
            <w:tcW w:w="80" w:type="dxa"/>
            <w:vAlign w:val="bottom"/>
            <w:tcBorders>
              <w:top w:val="single" w:sz="8" w:color="62259D"/>
              <w:bottom w:val="single" w:sz="8" w:color="4C4C4C"/>
            </w:tcBorders>
          </w:tcPr>
          <w:p>
            <w:pPr>
              <w:spacing w:after="0" w:line="20" w:lineRule="exact"/>
              <w:rPr>
                <w:sz w:val="1"/>
                <w:szCs w:val="1"/>
                <w:color w:val="auto"/>
              </w:rPr>
            </w:pPr>
          </w:p>
        </w:tc>
        <w:tc>
          <w:tcPr>
            <w:tcW w:w="24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4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80" w:type="dxa"/>
            <w:vAlign w:val="bottom"/>
            <w:tcBorders>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380" w:type="dxa"/>
            <w:vAlign w:val="bottom"/>
            <w:tcBorders>
              <w:bottom w:val="single" w:sz="8" w:color="4C4C4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0" w:type="dxa"/>
            <w:vAlign w:val="bottom"/>
          </w:tcPr>
          <w:p>
            <w:pPr>
              <w:spacing w:after="0" w:line="156" w:lineRule="exact"/>
              <w:rPr>
                <w:sz w:val="20"/>
                <w:szCs w:val="20"/>
                <w:color w:val="auto"/>
              </w:rPr>
            </w:pPr>
            <w:r>
              <w:rPr>
                <w:rFonts w:ascii="Arial" w:cs="Arial" w:eastAsia="Arial" w:hAnsi="Arial"/>
                <w:sz w:val="16"/>
                <w:szCs w:val="16"/>
                <w:color w:val="auto"/>
              </w:rPr>
              <w:t>​</w:t>
            </w:r>
          </w:p>
        </w:tc>
        <w:tc>
          <w:tcPr>
            <w:tcW w:w="180" w:type="dxa"/>
            <w:vAlign w:val="bottom"/>
            <w:gridSpan w:val="3"/>
          </w:tcPr>
          <w:p>
            <w:pPr>
              <w:spacing w:after="0" w:line="156" w:lineRule="exact"/>
              <w:rPr>
                <w:sz w:val="20"/>
                <w:szCs w:val="20"/>
                <w:color w:val="auto"/>
              </w:rPr>
            </w:pPr>
            <w:r>
              <w:rPr>
                <w:rFonts w:ascii="Arial" w:cs="Arial" w:eastAsia="Arial" w:hAnsi="Arial"/>
                <w:sz w:val="16"/>
                <w:szCs w:val="16"/>
                <w:color w:val="0000EE"/>
                <w:w w:val="89"/>
              </w:rPr>
              <w:t>31</w:t>
            </w:r>
          </w:p>
        </w:tc>
        <w:tc>
          <w:tcPr>
            <w:tcW w:w="20" w:type="dxa"/>
            <w:vAlign w:val="bottom"/>
          </w:tcPr>
          <w:p>
            <w:pPr>
              <w:spacing w:after="0"/>
              <w:rPr>
                <w:sz w:val="13"/>
                <w:szCs w:val="13"/>
                <w:color w:val="auto"/>
              </w:rPr>
            </w:pPr>
          </w:p>
        </w:tc>
        <w:tc>
          <w:tcPr>
            <w:tcW w:w="340" w:type="dxa"/>
            <w:vAlign w:val="bottom"/>
          </w:tcPr>
          <w:p>
            <w:pPr>
              <w:ind w:left="120"/>
              <w:spacing w:after="0" w:line="156" w:lineRule="exact"/>
              <w:rPr>
                <w:sz w:val="20"/>
                <w:szCs w:val="20"/>
                <w:color w:val="auto"/>
              </w:rPr>
            </w:pPr>
            <w:r>
              <w:rPr>
                <w:rFonts w:ascii="Arial" w:cs="Arial" w:eastAsia="Arial" w:hAnsi="Arial"/>
                <w:sz w:val="16"/>
                <w:szCs w:val="16"/>
                <w:color w:val="auto"/>
              </w:rPr>
              <w:t>​ ​</w:t>
            </w:r>
          </w:p>
        </w:tc>
        <w:tc>
          <w:tcPr>
            <w:tcW w:w="3180" w:type="dxa"/>
            <w:vAlign w:val="bottom"/>
            <w:gridSpan w:val="24"/>
          </w:tcPr>
          <w:p>
            <w:pPr>
              <w:spacing w:after="0" w:line="156" w:lineRule="exact"/>
              <w:rPr>
                <w:sz w:val="20"/>
                <w:szCs w:val="20"/>
                <w:color w:val="auto"/>
              </w:rPr>
            </w:pPr>
            <w:r>
              <w:rPr>
                <w:rFonts w:ascii="Arial" w:cs="Arial" w:eastAsia="Arial" w:hAnsi="Arial"/>
                <w:sz w:val="16"/>
                <w:szCs w:val="16"/>
                <w:color w:val="0000EE"/>
              </w:rPr>
              <w:t>Deloitte Fees</w:t>
            </w:r>
          </w:p>
        </w:tc>
        <w:tc>
          <w:tcPr>
            <w:tcW w:w="380" w:type="dxa"/>
            <w:vAlign w:val="bottom"/>
          </w:tcPr>
          <w:p>
            <w:pPr>
              <w:ind w:left="260"/>
              <w:spacing w:after="0" w:line="15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175" w:lineRule="exact"/>
              <w:rPr>
                <w:sz w:val="20"/>
                <w:szCs w:val="20"/>
                <w:color w:val="auto"/>
              </w:rPr>
            </w:pPr>
            <w:r>
              <w:rPr>
                <w:rFonts w:ascii="Arial" w:cs="Arial" w:eastAsia="Arial" w:hAnsi="Arial"/>
                <w:sz w:val="16"/>
                <w:szCs w:val="16"/>
                <w:color w:val="auto"/>
              </w:rPr>
              <w:t>​</w:t>
            </w:r>
          </w:p>
        </w:tc>
        <w:tc>
          <w:tcPr>
            <w:tcW w:w="1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vMerge w:val="restart"/>
          </w:tcPr>
          <w:p>
            <w:pPr>
              <w:ind w:left="120"/>
              <w:spacing w:after="0" w:line="175" w:lineRule="exact"/>
              <w:rPr>
                <w:sz w:val="20"/>
                <w:szCs w:val="20"/>
                <w:color w:val="auto"/>
              </w:rPr>
            </w:pPr>
            <w:r>
              <w:rPr>
                <w:rFonts w:ascii="Arial" w:cs="Arial" w:eastAsia="Arial" w:hAnsi="Arial"/>
                <w:sz w:val="16"/>
                <w:szCs w:val="16"/>
                <w:color w:val="auto"/>
              </w:rPr>
              <w:t>​ ​</w:t>
            </w:r>
          </w:p>
        </w:tc>
        <w:tc>
          <w:tcPr>
            <w:tcW w:w="980" w:type="dxa"/>
            <w:vAlign w:val="bottom"/>
            <w:gridSpan w:val="2"/>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380" w:type="dxa"/>
            <w:vAlign w:val="bottom"/>
            <w:vMerge w:val="restart"/>
          </w:tcPr>
          <w:p>
            <w:pPr>
              <w:ind w:left="26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56"/>
        </w:trPr>
        <w:tc>
          <w:tcPr>
            <w:tcW w:w="120" w:type="dxa"/>
            <w:vAlign w:val="bottom"/>
            <w:vMerge w:val="continue"/>
          </w:tcPr>
          <w:p>
            <w:pPr>
              <w:spacing w:after="0"/>
              <w:rPr>
                <w:sz w:val="13"/>
                <w:szCs w:val="13"/>
                <w:color w:val="auto"/>
              </w:rPr>
            </w:pPr>
          </w:p>
        </w:tc>
        <w:tc>
          <w:tcPr>
            <w:tcW w:w="180" w:type="dxa"/>
            <w:vAlign w:val="bottom"/>
            <w:tcBorders>
              <w:bottom w:val="single" w:sz="8" w:color="0000EE"/>
            </w:tcBorders>
            <w:gridSpan w:val="3"/>
          </w:tcPr>
          <w:p>
            <w:pPr>
              <w:spacing w:after="0" w:line="155" w:lineRule="exact"/>
              <w:rPr>
                <w:sz w:val="20"/>
                <w:szCs w:val="20"/>
                <w:color w:val="auto"/>
              </w:rPr>
            </w:pPr>
            <w:r>
              <w:rPr>
                <w:rFonts w:ascii="Arial" w:cs="Arial" w:eastAsia="Arial" w:hAnsi="Arial"/>
                <w:sz w:val="16"/>
                <w:szCs w:val="16"/>
                <w:color w:val="0000EE"/>
                <w:w w:val="89"/>
              </w:rPr>
              <w:t>32</w:t>
            </w:r>
          </w:p>
        </w:tc>
        <w:tc>
          <w:tcPr>
            <w:tcW w:w="20" w:type="dxa"/>
            <w:vAlign w:val="bottom"/>
          </w:tcPr>
          <w:p>
            <w:pPr>
              <w:spacing w:after="0"/>
              <w:rPr>
                <w:sz w:val="13"/>
                <w:szCs w:val="13"/>
                <w:color w:val="auto"/>
              </w:rPr>
            </w:pPr>
          </w:p>
        </w:tc>
        <w:tc>
          <w:tcPr>
            <w:tcW w:w="340" w:type="dxa"/>
            <w:vAlign w:val="bottom"/>
            <w:vMerge w:val="continue"/>
          </w:tcPr>
          <w:p>
            <w:pPr>
              <w:spacing w:after="0"/>
              <w:rPr>
                <w:sz w:val="13"/>
                <w:szCs w:val="13"/>
                <w:color w:val="auto"/>
              </w:rPr>
            </w:pPr>
          </w:p>
        </w:tc>
        <w:tc>
          <w:tcPr>
            <w:tcW w:w="3180" w:type="dxa"/>
            <w:vAlign w:val="bottom"/>
            <w:tcBorders>
              <w:bottom w:val="single" w:sz="8" w:color="0000EE"/>
            </w:tcBorders>
            <w:gridSpan w:val="24"/>
          </w:tcPr>
          <w:p>
            <w:pPr>
              <w:spacing w:after="0" w:line="155" w:lineRule="exact"/>
              <w:rPr>
                <w:sz w:val="20"/>
                <w:szCs w:val="20"/>
                <w:color w:val="auto"/>
              </w:rPr>
            </w:pPr>
            <w:r>
              <w:rPr>
                <w:rFonts w:ascii="Arial" w:cs="Arial" w:eastAsia="Arial" w:hAnsi="Arial"/>
                <w:sz w:val="16"/>
                <w:szCs w:val="16"/>
                <w:color w:val="0000EE"/>
              </w:rPr>
              <w:t>Policy on Audit Committee Pre-Approval of</w:t>
            </w:r>
          </w:p>
        </w:tc>
        <w:tc>
          <w:tcPr>
            <w:tcW w:w="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vMerge w:val="restart"/>
          </w:tcPr>
          <w:p>
            <w:pPr>
              <w:ind w:left="120"/>
              <w:spacing w:after="0"/>
              <w:rPr>
                <w:sz w:val="20"/>
                <w:szCs w:val="20"/>
                <w:color w:val="auto"/>
              </w:rPr>
            </w:pPr>
            <w:r>
              <w:rPr>
                <w:rFonts w:ascii="Arial" w:cs="Arial" w:eastAsia="Arial" w:hAnsi="Arial"/>
                <w:sz w:val="16"/>
                <w:szCs w:val="16"/>
                <w:color w:val="auto"/>
              </w:rPr>
              <w:t>​ ​</w:t>
            </w:r>
          </w:p>
        </w:tc>
        <w:tc>
          <w:tcPr>
            <w:tcW w:w="2200" w:type="dxa"/>
            <w:vAlign w:val="bottom"/>
            <w:tcBorders>
              <w:bottom w:val="single" w:sz="8" w:color="0000EE"/>
            </w:tcBorders>
            <w:gridSpan w:val="14"/>
          </w:tcPr>
          <w:p>
            <w:pPr>
              <w:spacing w:after="0" w:line="155" w:lineRule="exact"/>
              <w:rPr>
                <w:sz w:val="20"/>
                <w:szCs w:val="20"/>
                <w:color w:val="auto"/>
              </w:rPr>
            </w:pPr>
            <w:r>
              <w:rPr>
                <w:rFonts w:ascii="Arial" w:cs="Arial" w:eastAsia="Arial" w:hAnsi="Arial"/>
                <w:sz w:val="16"/>
                <w:szCs w:val="16"/>
                <w:color w:val="0000EE"/>
              </w:rPr>
              <w:t>Audit and Non-Audit Services</w:t>
            </w:r>
          </w:p>
        </w:tc>
        <w:tc>
          <w:tcPr>
            <w:tcW w:w="980" w:type="dxa"/>
            <w:vAlign w:val="bottom"/>
            <w:gridSpan w:val="10"/>
          </w:tcPr>
          <w:p>
            <w:pPr>
              <w:spacing w:after="0"/>
              <w:rPr>
                <w:sz w:val="13"/>
                <w:szCs w:val="13"/>
                <w:color w:val="auto"/>
              </w:rPr>
            </w:pPr>
          </w:p>
        </w:tc>
        <w:tc>
          <w:tcPr>
            <w:tcW w:w="38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 w:type="dxa"/>
            <w:vAlign w:val="bottom"/>
            <w:vMerge w:val="continue"/>
          </w:tcPr>
          <w:p>
            <w:pPr>
              <w:spacing w:after="0"/>
              <w:rPr>
                <w:sz w:val="15"/>
                <w:szCs w:val="15"/>
                <w:color w:val="auto"/>
              </w:rPr>
            </w:pPr>
          </w:p>
        </w:tc>
        <w:tc>
          <w:tcPr>
            <w:tcW w:w="180" w:type="dxa"/>
            <w:vAlign w:val="bottom"/>
            <w:gridSpan w:val="3"/>
          </w:tcPr>
          <w:p>
            <w:pPr>
              <w:spacing w:after="0" w:line="183" w:lineRule="exact"/>
              <w:rPr>
                <w:sz w:val="20"/>
                <w:szCs w:val="20"/>
                <w:color w:val="auto"/>
              </w:rPr>
            </w:pPr>
            <w:r>
              <w:rPr>
                <w:rFonts w:ascii="Arial" w:cs="Arial" w:eastAsia="Arial" w:hAnsi="Arial"/>
                <w:sz w:val="16"/>
                <w:szCs w:val="16"/>
                <w:color w:val="0000EE"/>
                <w:w w:val="89"/>
              </w:rPr>
              <w:t>33</w:t>
            </w:r>
          </w:p>
        </w:tc>
        <w:tc>
          <w:tcPr>
            <w:tcW w:w="2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3180" w:type="dxa"/>
            <w:vAlign w:val="bottom"/>
            <w:gridSpan w:val="24"/>
          </w:tcPr>
          <w:p>
            <w:pPr>
              <w:spacing w:after="0" w:line="183" w:lineRule="exact"/>
              <w:rPr>
                <w:sz w:val="20"/>
                <w:szCs w:val="20"/>
                <w:color w:val="auto"/>
              </w:rPr>
            </w:pPr>
            <w:r>
              <w:rPr>
                <w:rFonts w:ascii="Arial" w:cs="Arial" w:eastAsia="Arial" w:hAnsi="Arial"/>
                <w:sz w:val="16"/>
                <w:szCs w:val="16"/>
                <w:color w:val="0000EE"/>
              </w:rPr>
              <w:t>Audit Committee Report</w:t>
            </w: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0" w:type="dxa"/>
            <w:vAlign w:val="bottom"/>
            <w:vMerge w:val="restart"/>
          </w:tcPr>
          <w:p>
            <w:pPr>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vMerge w:val="restart"/>
          </w:tcPr>
          <w:p>
            <w:pPr>
              <w:ind w:left="120"/>
              <w:spacing w:after="0"/>
              <w:rPr>
                <w:sz w:val="20"/>
                <w:szCs w:val="20"/>
                <w:color w:val="auto"/>
              </w:rPr>
            </w:pPr>
            <w:r>
              <w:rPr>
                <w:rFonts w:ascii="Arial" w:cs="Arial" w:eastAsia="Arial" w:hAnsi="Arial"/>
                <w:sz w:val="17"/>
                <w:szCs w:val="17"/>
                <w:b w:val="1"/>
                <w:bCs w:val="1"/>
                <w:color w:val="auto"/>
              </w:rPr>
              <w:t>​ ​</w:t>
            </w:r>
          </w:p>
        </w:tc>
        <w:tc>
          <w:tcPr>
            <w:tcW w:w="8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vMerge w:val="restart"/>
          </w:tcPr>
          <w:p>
            <w:pPr>
              <w:ind w:left="26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line="20" w:lineRule="exact"/>
              <w:rPr>
                <w:sz w:val="1"/>
                <w:szCs w:val="1"/>
                <w:color w:val="auto"/>
              </w:rPr>
            </w:pPr>
          </w:p>
        </w:tc>
      </w:tr>
      <w:tr>
        <w:trPr>
          <w:trHeight w:val="208"/>
        </w:trPr>
        <w:tc>
          <w:tcPr>
            <w:tcW w:w="120" w:type="dxa"/>
            <w:vAlign w:val="bottom"/>
            <w:vMerge w:val="continue"/>
          </w:tcPr>
          <w:p>
            <w:pPr>
              <w:spacing w:after="0"/>
              <w:rPr>
                <w:sz w:val="18"/>
                <w:szCs w:val="18"/>
                <w:color w:val="auto"/>
              </w:rPr>
            </w:pPr>
          </w:p>
        </w:tc>
        <w:tc>
          <w:tcPr>
            <w:tcW w:w="200" w:type="dxa"/>
            <w:vAlign w:val="bottom"/>
            <w:gridSpan w:val="4"/>
            <w:vMerge w:val="restart"/>
          </w:tcPr>
          <w:p>
            <w:pPr>
              <w:spacing w:after="0"/>
              <w:rPr>
                <w:sz w:val="20"/>
                <w:szCs w:val="20"/>
                <w:color w:val="auto"/>
              </w:rPr>
            </w:pPr>
            <w:r>
              <w:rPr>
                <w:rFonts w:ascii="Arial" w:cs="Arial" w:eastAsia="Arial" w:hAnsi="Arial"/>
                <w:sz w:val="17"/>
                <w:szCs w:val="17"/>
                <w:b w:val="1"/>
                <w:bCs w:val="1"/>
                <w:color w:val="0000EE"/>
                <w:w w:val="94"/>
              </w:rPr>
              <w:t>34</w:t>
            </w:r>
          </w:p>
        </w:tc>
        <w:tc>
          <w:tcPr>
            <w:tcW w:w="340" w:type="dxa"/>
            <w:vAlign w:val="bottom"/>
            <w:vMerge w:val="continue"/>
          </w:tcPr>
          <w:p>
            <w:pPr>
              <w:spacing w:after="0"/>
              <w:rPr>
                <w:sz w:val="18"/>
                <w:szCs w:val="18"/>
                <w:color w:val="auto"/>
              </w:rPr>
            </w:pPr>
          </w:p>
        </w:tc>
        <w:tc>
          <w:tcPr>
            <w:tcW w:w="3180" w:type="dxa"/>
            <w:vAlign w:val="bottom"/>
            <w:gridSpan w:val="24"/>
            <w:vMerge w:val="restart"/>
          </w:tcPr>
          <w:p>
            <w:pPr>
              <w:spacing w:after="0"/>
              <w:rPr>
                <w:sz w:val="20"/>
                <w:szCs w:val="20"/>
                <w:color w:val="auto"/>
              </w:rPr>
            </w:pPr>
            <w:r>
              <w:rPr>
                <w:rFonts w:ascii="Arial" w:cs="Arial" w:eastAsia="Arial" w:hAnsi="Arial"/>
                <w:sz w:val="17"/>
                <w:szCs w:val="17"/>
                <w:b w:val="1"/>
                <w:bCs w:val="1"/>
                <w:color w:val="0000EE"/>
              </w:rPr>
              <w:t>EXECUTIVE OFFICERS</w:t>
            </w:r>
          </w:p>
        </w:tc>
        <w:tc>
          <w:tcPr>
            <w:tcW w:w="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20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3180" w:type="dxa"/>
            <w:vAlign w:val="bottom"/>
            <w:gridSpan w:val="24"/>
            <w:vMerge w:val="continue"/>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bottom w:val="single" w:sz="8" w:color="E7417A"/>
            </w:tcBorders>
          </w:tcPr>
          <w:p>
            <w:pPr>
              <w:spacing w:after="0" w:line="20" w:lineRule="exact"/>
              <w:rPr>
                <w:sz w:val="1"/>
                <w:szCs w:val="1"/>
                <w:color w:val="auto"/>
              </w:rPr>
            </w:pPr>
          </w:p>
        </w:tc>
        <w:tc>
          <w:tcPr>
            <w:tcW w:w="820" w:type="dxa"/>
            <w:vAlign w:val="bottom"/>
            <w:tcBorders>
              <w:top w:val="single" w:sz="8" w:color="0000EE"/>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40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2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3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line="163" w:lineRule="exact"/>
              <w:rPr>
                <w:sz w:val="20"/>
                <w:szCs w:val="20"/>
                <w:color w:val="auto"/>
              </w:rPr>
            </w:pPr>
            <w:r>
              <w:rPr>
                <w:rFonts w:ascii="Arial" w:cs="Arial" w:eastAsia="Arial" w:hAnsi="Arial"/>
                <w:sz w:val="17"/>
                <w:szCs w:val="17"/>
                <w:b w:val="1"/>
                <w:bCs w:val="1"/>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ind w:left="120"/>
              <w:spacing w:after="0" w:line="163" w:lineRule="exact"/>
              <w:rPr>
                <w:sz w:val="20"/>
                <w:szCs w:val="20"/>
                <w:color w:val="auto"/>
              </w:rPr>
            </w:pPr>
            <w:r>
              <w:rPr>
                <w:rFonts w:ascii="Arial" w:cs="Arial" w:eastAsia="Arial" w:hAnsi="Arial"/>
                <w:sz w:val="17"/>
                <w:szCs w:val="17"/>
                <w:b w:val="1"/>
                <w:bCs w:val="1"/>
                <w:color w:val="auto"/>
              </w:rPr>
              <w:t>​ ​</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ind w:left="260"/>
              <w:spacing w:after="0" w:line="163"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ind w:left="1580" w:hanging="548"/>
        <w:spacing w:after="0"/>
        <w:tabs>
          <w:tab w:leader="none" w:pos="1580" w:val="left"/>
        </w:tabs>
        <w:numPr>
          <w:ilvl w:val="1"/>
          <w:numId w:val="7"/>
        </w:numPr>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t>EXECUTIVE COMPENSATION</w:t>
      </w:r>
    </w:p>
    <w:p>
      <w:pPr>
        <w:spacing w:after="0" w:line="23" w:lineRule="exact"/>
        <w:rPr>
          <w:rFonts w:ascii="Arial" w:cs="Arial" w:eastAsia="Arial" w:hAnsi="Arial"/>
          <w:sz w:val="17"/>
          <w:szCs w:val="17"/>
          <w:b w:val="1"/>
          <w:bCs w:val="1"/>
          <w:u w:val="single" w:color="auto"/>
          <w:color w:val="0000EE"/>
        </w:rPr>
      </w:pPr>
    </w:p>
    <w:p>
      <w:pPr>
        <w:ind w:left="1580" w:right="60" w:hanging="656"/>
        <w:spacing w:after="0" w:line="22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62259D"/>
        </w:rPr>
        <w:t>36</w:t>
      </w:r>
      <w:r>
        <w:rPr>
          <w:rFonts w:ascii="Arial" w:cs="Arial" w:eastAsia="Arial" w:hAnsi="Arial"/>
          <w:sz w:val="16"/>
          <w:szCs w:val="16"/>
          <w:color w:val="62259D"/>
        </w:rPr>
        <w:t xml:space="preserve"> </w:t>
      </w:r>
      <w:r>
        <w:rPr>
          <w:rFonts w:ascii="Arial" w:cs="Arial" w:eastAsia="Arial" w:hAnsi="Arial"/>
          <w:sz w:val="16"/>
          <w:szCs w:val="16"/>
          <w:color w:val="000000"/>
        </w:rPr>
        <w:t>​ ​</w:t>
      </w:r>
      <w:r>
        <w:rPr>
          <w:rFonts w:ascii="Arial" w:cs="Arial" w:eastAsia="Arial" w:hAnsi="Arial"/>
          <w:sz w:val="16"/>
          <w:szCs w:val="16"/>
          <w:color w:val="62259D"/>
        </w:rPr>
        <w:t xml:space="preserve"> </w:t>
      </w:r>
      <w:r>
        <w:rPr>
          <w:rFonts w:ascii="Arial" w:cs="Arial" w:eastAsia="Arial" w:hAnsi="Arial"/>
          <w:sz w:val="16"/>
          <w:szCs w:val="16"/>
          <w:b w:val="1"/>
          <w:bCs w:val="1"/>
          <w:u w:val="single" w:color="auto"/>
          <w:color w:val="62259D"/>
        </w:rPr>
        <w:t>PROPOSAL 3</w:t>
      </w:r>
      <w:r>
        <w:rPr>
          <w:rFonts w:ascii="Arial" w:cs="Arial" w:eastAsia="Arial" w:hAnsi="Arial"/>
          <w:sz w:val="16"/>
          <w:szCs w:val="16"/>
          <w:u w:val="single" w:color="auto"/>
          <w:color w:val="62259D"/>
        </w:rPr>
        <w:t> — Approval, on a Non-Binding</w:t>
      </w:r>
      <w:r>
        <w:rPr>
          <w:rFonts w:ascii="Arial" w:cs="Arial" w:eastAsia="Arial" w:hAnsi="Arial"/>
          <w:sz w:val="16"/>
          <w:szCs w:val="16"/>
          <w:color w:val="62259D"/>
        </w:rPr>
        <w:t xml:space="preserve"> </w:t>
      </w:r>
      <w:r>
        <w:rPr>
          <w:rFonts w:ascii="Arial" w:cs="Arial" w:eastAsia="Arial" w:hAnsi="Arial"/>
          <w:sz w:val="16"/>
          <w:szCs w:val="16"/>
          <w:color w:val="000000"/>
        </w:rPr>
        <w:t>​</w:t>
      </w:r>
      <w:r>
        <w:rPr>
          <w:rFonts w:ascii="Arial" w:cs="Arial" w:eastAsia="Arial" w:hAnsi="Arial"/>
          <w:sz w:val="16"/>
          <w:szCs w:val="16"/>
          <w:color w:val="62259D"/>
        </w:rPr>
        <w:t xml:space="preserve"> Advisory Basis,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-221615</wp:posOffset>
            </wp:positionV>
            <wp:extent cx="2674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20"/>
                <w:szCs w:val="20"/>
                <w:color w:val="auto"/>
              </w:rPr>
            </w:pPr>
            <w:r>
              <w:rPr>
                <w:rFonts w:ascii="Arial" w:cs="Arial" w:eastAsia="Arial" w:hAnsi="Arial"/>
                <w:sz w:val="16"/>
                <w:szCs w:val="16"/>
                <w:i w:val="1"/>
                <w:iCs w:val="1"/>
                <w:color w:val="auto"/>
              </w:rPr>
              <w:t>​</w:t>
            </w:r>
          </w:p>
        </w:tc>
        <w:tc>
          <w:tcPr>
            <w:tcW w:w="180" w:type="dxa"/>
            <w:vAlign w:val="bottom"/>
            <w:tcBorders>
              <w:bottom w:val="single" w:sz="8" w:color="0000EE"/>
            </w:tcBorders>
          </w:tcPr>
          <w:p>
            <w:pPr>
              <w:spacing w:after="0"/>
              <w:rPr>
                <w:sz w:val="20"/>
                <w:szCs w:val="20"/>
                <w:color w:val="auto"/>
              </w:rPr>
            </w:pPr>
            <w:r>
              <w:rPr>
                <w:rFonts w:ascii="Arial" w:cs="Arial" w:eastAsia="Arial" w:hAnsi="Arial"/>
                <w:sz w:val="16"/>
                <w:szCs w:val="16"/>
                <w:i w:val="1"/>
                <w:iCs w:val="1"/>
                <w:color w:val="0000EE"/>
                <w:w w:val="89"/>
              </w:rPr>
              <w:t>59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rPr>
                <w:sz w:val="16"/>
                <w:szCs w:val="16"/>
                <w:color w:val="auto"/>
              </w:rPr>
            </w:pPr>
          </w:p>
        </w:tc>
        <w:tc>
          <w:tcPr>
            <w:tcW w:w="140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i w:val="1"/>
                <w:iCs w:val="1"/>
                <w:color w:val="0000EE"/>
              </w:rPr>
              <w:t>2025 Stock Vested</w:t>
            </w:r>
          </w:p>
        </w:tc>
        <w:tc>
          <w:tcPr>
            <w:tcW w:w="1800" w:type="dxa"/>
            <w:vAlign w:val="bottom"/>
            <w:gridSpan w:val="13"/>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156"/>
        </w:trPr>
        <w:tc>
          <w:tcPr>
            <w:tcW w:w="120" w:type="dxa"/>
            <w:vAlign w:val="bottom"/>
          </w:tcPr>
          <w:p>
            <w:pPr>
              <w:spacing w:after="0" w:line="155" w:lineRule="exact"/>
              <w:rPr>
                <w:sz w:val="20"/>
                <w:szCs w:val="20"/>
                <w:color w:val="auto"/>
              </w:rPr>
            </w:pPr>
            <w:r>
              <w:rPr>
                <w:rFonts w:ascii="Arial" w:cs="Arial" w:eastAsia="Arial" w:hAnsi="Arial"/>
                <w:sz w:val="16"/>
                <w:szCs w:val="16"/>
                <w:i w:val="1"/>
                <w:iCs w:val="1"/>
                <w:color w:val="auto"/>
              </w:rPr>
              <w:t>​</w:t>
            </w:r>
          </w:p>
        </w:tc>
        <w:tc>
          <w:tcPr>
            <w:tcW w:w="180" w:type="dxa"/>
            <w:vAlign w:val="bottom"/>
            <w:tcBorders>
              <w:bottom w:val="single" w:sz="8" w:color="0000EE"/>
            </w:tcBorders>
          </w:tcPr>
          <w:p>
            <w:pPr>
              <w:spacing w:after="0" w:line="155" w:lineRule="exact"/>
              <w:rPr>
                <w:sz w:val="20"/>
                <w:szCs w:val="20"/>
                <w:color w:val="auto"/>
              </w:rPr>
            </w:pPr>
            <w:r>
              <w:rPr>
                <w:rFonts w:ascii="Arial" w:cs="Arial" w:eastAsia="Arial" w:hAnsi="Arial"/>
                <w:sz w:val="16"/>
                <w:szCs w:val="16"/>
                <w:i w:val="1"/>
                <w:iCs w:val="1"/>
                <w:color w:val="0000EE"/>
                <w:w w:val="89"/>
              </w:rPr>
              <w:t>60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rPr>
                <w:sz w:val="13"/>
                <w:szCs w:val="13"/>
                <w:color w:val="auto"/>
              </w:rPr>
            </w:pPr>
          </w:p>
        </w:tc>
        <w:tc>
          <w:tcPr>
            <w:tcW w:w="3200" w:type="dxa"/>
            <w:vAlign w:val="bottom"/>
            <w:tcBorders>
              <w:bottom w:val="single" w:sz="8" w:color="0000EE"/>
            </w:tcBorders>
            <w:gridSpan w:val="19"/>
          </w:tcPr>
          <w:p>
            <w:pPr>
              <w:spacing w:after="0" w:line="155" w:lineRule="exact"/>
              <w:rPr>
                <w:sz w:val="20"/>
                <w:szCs w:val="20"/>
                <w:color w:val="auto"/>
              </w:rPr>
            </w:pPr>
            <w:r>
              <w:rPr>
                <w:rFonts w:ascii="Arial" w:cs="Arial" w:eastAsia="Arial" w:hAnsi="Arial"/>
                <w:sz w:val="16"/>
                <w:szCs w:val="16"/>
                <w:i w:val="1"/>
                <w:iCs w:val="1"/>
                <w:color w:val="0000EE"/>
              </w:rPr>
              <w:t>Severance and Change of Control Benefits</w:t>
            </w:r>
          </w:p>
        </w:tc>
        <w:tc>
          <w:tcPr>
            <w:tcW w:w="200" w:type="dxa"/>
            <w:vAlign w:val="bottom"/>
          </w:tcPr>
          <w:p>
            <w:pPr>
              <w:ind w:left="100"/>
              <w:spacing w:after="0" w:line="155" w:lineRule="exact"/>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i w:val="1"/>
                <w:iCs w:val="1"/>
                <w:color w:val="auto"/>
              </w:rPr>
              <w:t>​</w:t>
            </w:r>
          </w:p>
        </w:tc>
        <w:tc>
          <w:tcPr>
            <w:tcW w:w="180" w:type="dxa"/>
            <w:vAlign w:val="bottom"/>
          </w:tcPr>
          <w:p>
            <w:pPr>
              <w:spacing w:after="0" w:line="169" w:lineRule="exact"/>
              <w:rPr>
                <w:sz w:val="20"/>
                <w:szCs w:val="20"/>
                <w:color w:val="auto"/>
              </w:rPr>
            </w:pPr>
            <w:r>
              <w:rPr>
                <w:rFonts w:ascii="Arial" w:cs="Arial" w:eastAsia="Arial" w:hAnsi="Arial"/>
                <w:sz w:val="16"/>
                <w:szCs w:val="16"/>
                <w:i w:val="1"/>
                <w:iCs w:val="1"/>
                <w:color w:val="0000EE"/>
                <w:w w:val="89"/>
              </w:rPr>
              <w:t>63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rPr>
                <w:sz w:val="14"/>
                <w:szCs w:val="14"/>
                <w:color w:val="auto"/>
              </w:rPr>
            </w:pPr>
          </w:p>
        </w:tc>
        <w:tc>
          <w:tcPr>
            <w:tcW w:w="3200" w:type="dxa"/>
            <w:vAlign w:val="bottom"/>
            <w:gridSpan w:val="19"/>
          </w:tcPr>
          <w:p>
            <w:pPr>
              <w:spacing w:after="0" w:line="169" w:lineRule="exact"/>
              <w:rPr>
                <w:sz w:val="20"/>
                <w:szCs w:val="20"/>
                <w:color w:val="auto"/>
              </w:rPr>
            </w:pPr>
            <w:r>
              <w:rPr>
                <w:rFonts w:ascii="Arial" w:cs="Arial" w:eastAsia="Arial" w:hAnsi="Arial"/>
                <w:sz w:val="16"/>
                <w:szCs w:val="16"/>
                <w:i w:val="1"/>
                <w:iCs w:val="1"/>
                <w:color w:val="0000EE"/>
              </w:rPr>
              <w:t>Potential Payments Upon Termination or</w:t>
            </w:r>
          </w:p>
        </w:tc>
        <w:tc>
          <w:tcPr>
            <w:tcW w:w="200" w:type="dxa"/>
            <w:vAlign w:val="bottom"/>
          </w:tcPr>
          <w:p>
            <w:pPr>
              <w:ind w:left="100"/>
              <w:spacing w:after="0" w:line="169" w:lineRule="exact"/>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155"/>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13"/>
                <w:szCs w:val="13"/>
                <w:color w:val="auto"/>
              </w:rPr>
            </w:pPr>
          </w:p>
        </w:tc>
        <w:tc>
          <w:tcPr>
            <w:tcW w:w="1800" w:type="dxa"/>
            <w:vAlign w:val="bottom"/>
            <w:tcBorders>
              <w:top w:val="single" w:sz="8" w:color="0000EE"/>
              <w:bottom w:val="single" w:sz="8" w:color="0000EE"/>
            </w:tcBorders>
            <w:gridSpan w:val="7"/>
          </w:tcPr>
          <w:p>
            <w:pPr>
              <w:spacing w:after="0" w:line="155" w:lineRule="exact"/>
              <w:rPr>
                <w:sz w:val="20"/>
                <w:szCs w:val="20"/>
                <w:color w:val="auto"/>
              </w:rPr>
            </w:pPr>
            <w:r>
              <w:rPr>
                <w:rFonts w:ascii="Arial" w:cs="Arial" w:eastAsia="Arial" w:hAnsi="Arial"/>
                <w:sz w:val="16"/>
                <w:szCs w:val="16"/>
                <w:i w:val="1"/>
                <w:iCs w:val="1"/>
                <w:color w:val="0000EE"/>
              </w:rPr>
              <w:t>Upon Change in Control</w:t>
            </w:r>
          </w:p>
        </w:tc>
        <w:tc>
          <w:tcPr>
            <w:tcW w:w="1220" w:type="dxa"/>
            <w:vAlign w:val="bottom"/>
            <w:tcBorders>
              <w:top w:val="single" w:sz="8" w:color="0000EE"/>
            </w:tcBorders>
            <w:gridSpan w:val="8"/>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20" w:type="dxa"/>
            <w:vAlign w:val="bottom"/>
            <w:vMerge w:val="continue"/>
          </w:tcPr>
          <w:p>
            <w:pPr>
              <w:spacing w:after="0"/>
              <w:rPr>
                <w:sz w:val="17"/>
                <w:szCs w:val="17"/>
                <w:color w:val="auto"/>
              </w:rPr>
            </w:pPr>
          </w:p>
        </w:tc>
        <w:tc>
          <w:tcPr>
            <w:tcW w:w="18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89"/>
              </w:rPr>
              <w:t>64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114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rPr>
              <w:t>CEO Pay Ratio</w:t>
            </w:r>
          </w:p>
        </w:tc>
        <w:tc>
          <w:tcPr>
            <w:tcW w:w="2220" w:type="dxa"/>
            <w:vAlign w:val="bottom"/>
            <w:gridSpan w:val="16"/>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0000EE"/>
            </w:tcBorders>
          </w:tcPr>
          <w:p>
            <w:pPr>
              <w:spacing w:after="0" w:line="155" w:lineRule="exact"/>
              <w:rPr>
                <w:sz w:val="20"/>
                <w:szCs w:val="20"/>
                <w:color w:val="auto"/>
              </w:rPr>
            </w:pPr>
            <w:r>
              <w:rPr>
                <w:rFonts w:ascii="Arial" w:cs="Arial" w:eastAsia="Arial" w:hAnsi="Arial"/>
                <w:sz w:val="16"/>
                <w:szCs w:val="16"/>
                <w:color w:val="0000EE"/>
                <w:w w:val="89"/>
              </w:rPr>
              <w:t>65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6"/>
                <w:szCs w:val="16"/>
                <w:color w:val="auto"/>
              </w:rPr>
              <w:t>​ ​</w:t>
            </w:r>
          </w:p>
        </w:tc>
        <w:tc>
          <w:tcPr>
            <w:tcW w:w="2780" w:type="dxa"/>
            <w:vAlign w:val="bottom"/>
            <w:tcBorders>
              <w:bottom w:val="single" w:sz="8" w:color="0000EE"/>
            </w:tcBorders>
            <w:gridSpan w:val="12"/>
          </w:tcPr>
          <w:p>
            <w:pPr>
              <w:spacing w:after="0" w:line="155" w:lineRule="exact"/>
              <w:rPr>
                <w:sz w:val="20"/>
                <w:szCs w:val="20"/>
                <w:color w:val="auto"/>
              </w:rPr>
            </w:pPr>
            <w:r>
              <w:rPr>
                <w:rFonts w:ascii="Arial" w:cs="Arial" w:eastAsia="Arial" w:hAnsi="Arial"/>
                <w:sz w:val="16"/>
                <w:szCs w:val="16"/>
                <w:color w:val="0000EE"/>
              </w:rPr>
              <w:t>Pay Versus Performance Disclosures</w:t>
            </w:r>
          </w:p>
        </w:tc>
        <w:tc>
          <w:tcPr>
            <w:tcW w:w="580" w:type="dxa"/>
            <w:vAlign w:val="bottom"/>
            <w:gridSpan w:val="8"/>
          </w:tcPr>
          <w:p>
            <w:pPr>
              <w:spacing w:after="0"/>
              <w:rPr>
                <w:sz w:val="14"/>
                <w:szCs w:val="14"/>
                <w:color w:val="auto"/>
              </w:rPr>
            </w:pPr>
          </w:p>
        </w:tc>
        <w:tc>
          <w:tcPr>
            <w:tcW w:w="200" w:type="dxa"/>
            <w:vAlign w:val="bottom"/>
          </w:tcPr>
          <w:p>
            <w:pPr>
              <w:ind w:left="10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200" w:type="dxa"/>
            <w:vAlign w:val="bottom"/>
            <w:gridSpan w:val="2"/>
            <w:vMerge w:val="restart"/>
          </w:tcPr>
          <w:p>
            <w:pPr>
              <w:spacing w:after="0"/>
              <w:rPr>
                <w:sz w:val="20"/>
                <w:szCs w:val="20"/>
                <w:color w:val="auto"/>
              </w:rPr>
            </w:pPr>
            <w:r>
              <w:rPr>
                <w:rFonts w:ascii="Arial" w:cs="Arial" w:eastAsia="Arial" w:hAnsi="Arial"/>
                <w:sz w:val="17"/>
                <w:szCs w:val="17"/>
                <w:b w:val="1"/>
                <w:bCs w:val="1"/>
                <w:color w:val="0000EE"/>
                <w:w w:val="94"/>
              </w:rPr>
              <w:t>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3360" w:type="dxa"/>
            <w:vAlign w:val="bottom"/>
            <w:gridSpan w:val="20"/>
            <w:vMerge w:val="restart"/>
          </w:tcPr>
          <w:p>
            <w:pPr>
              <w:spacing w:after="0"/>
              <w:rPr>
                <w:sz w:val="20"/>
                <w:szCs w:val="20"/>
                <w:color w:val="auto"/>
              </w:rPr>
            </w:pPr>
            <w:r>
              <w:rPr>
                <w:rFonts w:ascii="Arial" w:cs="Arial" w:eastAsia="Arial" w:hAnsi="Arial"/>
                <w:sz w:val="17"/>
                <w:szCs w:val="17"/>
                <w:b w:val="1"/>
                <w:bCs w:val="1"/>
                <w:color w:val="0000EE"/>
              </w:rPr>
              <w:t>STOCK INFORMATION</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60" w:type="dxa"/>
            <w:vAlign w:val="bottom"/>
            <w:gridSpan w:val="20"/>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4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620" w:type="dxa"/>
            <w:vAlign w:val="bottom"/>
            <w:tcBorders>
              <w:top w:val="single" w:sz="8" w:color="0000EE"/>
              <w:bottom w:val="single" w:sz="8" w:color="E7417A"/>
            </w:tcBorders>
          </w:tcPr>
          <w:p>
            <w:pPr>
              <w:spacing w:after="0" w:line="20" w:lineRule="exact"/>
              <w:rPr>
                <w:sz w:val="1"/>
                <w:szCs w:val="1"/>
                <w:color w:val="auto"/>
              </w:rPr>
            </w:pPr>
          </w:p>
        </w:tc>
        <w:tc>
          <w:tcPr>
            <w:tcW w:w="24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20" w:type="dxa"/>
            <w:vAlign w:val="bottom"/>
            <w:tcBorders>
              <w:top w:val="single" w:sz="8" w:color="0000EE"/>
              <w:bottom w:val="single" w:sz="8" w:color="E7417A"/>
            </w:tcBorders>
          </w:tcPr>
          <w:p>
            <w:pPr>
              <w:spacing w:after="0" w:line="20" w:lineRule="exact"/>
              <w:rPr>
                <w:sz w:val="1"/>
                <w:szCs w:val="1"/>
                <w:color w:val="auto"/>
              </w:rPr>
            </w:pPr>
          </w:p>
        </w:tc>
        <w:tc>
          <w:tcPr>
            <w:tcW w:w="40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50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20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0000EE"/>
            </w:tcBorders>
          </w:tcPr>
          <w:p>
            <w:pPr>
              <w:spacing w:after="0" w:line="155" w:lineRule="exact"/>
              <w:rPr>
                <w:sz w:val="20"/>
                <w:szCs w:val="20"/>
                <w:color w:val="auto"/>
              </w:rPr>
            </w:pPr>
            <w:r>
              <w:rPr>
                <w:rFonts w:ascii="Arial" w:cs="Arial" w:eastAsia="Arial" w:hAnsi="Arial"/>
                <w:sz w:val="16"/>
                <w:szCs w:val="16"/>
                <w:color w:val="0000EE"/>
                <w:w w:val="89"/>
              </w:rPr>
              <w:t>69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6"/>
                <w:szCs w:val="16"/>
                <w:color w:val="auto"/>
              </w:rPr>
              <w:t>​ ​</w:t>
            </w:r>
          </w:p>
        </w:tc>
        <w:tc>
          <w:tcPr>
            <w:tcW w:w="3280" w:type="dxa"/>
            <w:vAlign w:val="bottom"/>
            <w:tcBorders>
              <w:bottom w:val="single" w:sz="8" w:color="0000EE"/>
            </w:tcBorders>
            <w:gridSpan w:val="19"/>
          </w:tcPr>
          <w:p>
            <w:pPr>
              <w:spacing w:after="0" w:line="155" w:lineRule="exact"/>
              <w:rPr>
                <w:sz w:val="20"/>
                <w:szCs w:val="20"/>
                <w:color w:val="auto"/>
              </w:rPr>
            </w:pPr>
            <w:r>
              <w:rPr>
                <w:rFonts w:ascii="Arial" w:cs="Arial" w:eastAsia="Arial" w:hAnsi="Arial"/>
                <w:sz w:val="16"/>
                <w:szCs w:val="16"/>
                <w:color w:val="0000EE"/>
              </w:rPr>
              <w:t>Beneficial Ownership of Our Common Stock</w:t>
            </w:r>
          </w:p>
        </w:tc>
        <w:tc>
          <w:tcPr>
            <w:tcW w:w="80" w:type="dxa"/>
            <w:vAlign w:val="bottom"/>
          </w:tcPr>
          <w:p>
            <w:pPr>
              <w:spacing w:after="0"/>
              <w:rPr>
                <w:sz w:val="13"/>
                <w:szCs w:val="13"/>
                <w:color w:val="auto"/>
              </w:rPr>
            </w:pPr>
          </w:p>
        </w:tc>
        <w:tc>
          <w:tcPr>
            <w:tcW w:w="200" w:type="dxa"/>
            <w:vAlign w:val="bottom"/>
          </w:tcPr>
          <w:p>
            <w:pPr>
              <w:ind w:left="10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20"/>
                <w:szCs w:val="20"/>
                <w:color w:val="auto"/>
              </w:rPr>
            </w:pPr>
            <w:r>
              <w:rPr>
                <w:rFonts w:ascii="Arial" w:cs="Arial" w:eastAsia="Arial" w:hAnsi="Arial"/>
                <w:sz w:val="17"/>
                <w:szCs w:val="17"/>
                <w:b w:val="1"/>
                <w:bCs w:val="1"/>
                <w:color w:val="auto"/>
              </w:rPr>
              <w:t>​</w:t>
            </w:r>
          </w:p>
        </w:tc>
        <w:tc>
          <w:tcPr>
            <w:tcW w:w="200" w:type="dxa"/>
            <w:vAlign w:val="bottom"/>
            <w:gridSpan w:val="2"/>
            <w:vMerge w:val="restart"/>
          </w:tcPr>
          <w:p>
            <w:pPr>
              <w:spacing w:after="0"/>
              <w:rPr>
                <w:sz w:val="20"/>
                <w:szCs w:val="20"/>
                <w:color w:val="auto"/>
              </w:rPr>
            </w:pPr>
            <w:r>
              <w:rPr>
                <w:rFonts w:ascii="Arial" w:cs="Arial" w:eastAsia="Arial" w:hAnsi="Arial"/>
                <w:sz w:val="17"/>
                <w:szCs w:val="17"/>
                <w:b w:val="1"/>
                <w:bCs w:val="1"/>
                <w:color w:val="0000EE"/>
                <w:w w:val="94"/>
              </w:rPr>
              <w:t>72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3360" w:type="dxa"/>
            <w:vAlign w:val="bottom"/>
            <w:gridSpan w:val="20"/>
            <w:vMerge w:val="restart"/>
          </w:tcPr>
          <w:p>
            <w:pPr>
              <w:spacing w:after="0"/>
              <w:rPr>
                <w:sz w:val="20"/>
                <w:szCs w:val="20"/>
                <w:color w:val="auto"/>
              </w:rPr>
            </w:pPr>
            <w:r>
              <w:rPr>
                <w:rFonts w:ascii="Arial" w:cs="Arial" w:eastAsia="Arial" w:hAnsi="Arial"/>
                <w:sz w:val="17"/>
                <w:szCs w:val="17"/>
                <w:b w:val="1"/>
                <w:bCs w:val="1"/>
                <w:color w:val="0000EE"/>
              </w:rPr>
              <w:t>ADDITIONAL INFORMATION</w:t>
            </w:r>
          </w:p>
        </w:tc>
        <w:tc>
          <w:tcPr>
            <w:tcW w:w="20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60" w:type="dxa"/>
            <w:vAlign w:val="bottom"/>
            <w:gridSpan w:val="20"/>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4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620" w:type="dxa"/>
            <w:vAlign w:val="bottom"/>
            <w:tcBorders>
              <w:top w:val="single" w:sz="8" w:color="0000EE"/>
              <w:bottom w:val="single" w:sz="8" w:color="E7417A"/>
            </w:tcBorders>
          </w:tcPr>
          <w:p>
            <w:pPr>
              <w:spacing w:after="0" w:line="20" w:lineRule="exact"/>
              <w:rPr>
                <w:sz w:val="1"/>
                <w:szCs w:val="1"/>
                <w:color w:val="auto"/>
              </w:rPr>
            </w:pPr>
          </w:p>
        </w:tc>
        <w:tc>
          <w:tcPr>
            <w:tcW w:w="24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20" w:type="dxa"/>
            <w:vAlign w:val="bottom"/>
            <w:tcBorders>
              <w:top w:val="single" w:sz="8" w:color="0000EE"/>
              <w:bottom w:val="single" w:sz="8" w:color="E7417A"/>
            </w:tcBorders>
          </w:tcPr>
          <w:p>
            <w:pPr>
              <w:spacing w:after="0" w:line="20" w:lineRule="exact"/>
              <w:rPr>
                <w:sz w:val="1"/>
                <w:szCs w:val="1"/>
                <w:color w:val="auto"/>
              </w:rPr>
            </w:pPr>
          </w:p>
        </w:tc>
        <w:tc>
          <w:tcPr>
            <w:tcW w:w="40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500" w:type="dxa"/>
            <w:vAlign w:val="bottom"/>
            <w:tcBorders>
              <w:top w:val="single" w:sz="8" w:color="0000EE"/>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20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Pr>
          <w:p>
            <w:pPr>
              <w:spacing w:after="0" w:line="169" w:lineRule="exact"/>
              <w:rPr>
                <w:sz w:val="20"/>
                <w:szCs w:val="20"/>
                <w:color w:val="auto"/>
              </w:rPr>
            </w:pPr>
            <w:r>
              <w:rPr>
                <w:rFonts w:ascii="Arial" w:cs="Arial" w:eastAsia="Arial" w:hAnsi="Arial"/>
                <w:sz w:val="16"/>
                <w:szCs w:val="16"/>
                <w:color w:val="0000EE"/>
                <w:w w:val="89"/>
              </w:rPr>
              <w:t>72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 ​</w:t>
            </w:r>
          </w:p>
        </w:tc>
        <w:tc>
          <w:tcPr>
            <w:tcW w:w="3360" w:type="dxa"/>
            <w:vAlign w:val="bottom"/>
            <w:gridSpan w:val="20"/>
          </w:tcPr>
          <w:p>
            <w:pPr>
              <w:spacing w:after="0" w:line="169" w:lineRule="exact"/>
              <w:rPr>
                <w:sz w:val="20"/>
                <w:szCs w:val="20"/>
                <w:color w:val="auto"/>
              </w:rPr>
            </w:pPr>
            <w:r>
              <w:rPr>
                <w:rFonts w:ascii="Arial" w:cs="Arial" w:eastAsia="Arial" w:hAnsi="Arial"/>
                <w:sz w:val="16"/>
                <w:szCs w:val="16"/>
                <w:color w:val="0000EE"/>
              </w:rPr>
              <w:t>Information about the Annual Meeting</w:t>
            </w:r>
          </w:p>
        </w:tc>
        <w:tc>
          <w:tcPr>
            <w:tcW w:w="200" w:type="dxa"/>
            <w:vAlign w:val="bottom"/>
          </w:tcPr>
          <w:p>
            <w:pPr>
              <w:ind w:left="10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bottom w:val="single" w:sz="8" w:color="0000EE"/>
            </w:tcBorders>
          </w:tcPr>
          <w:p>
            <w:pPr>
              <w:spacing w:after="0" w:line="155" w:lineRule="exact"/>
              <w:rPr>
                <w:sz w:val="20"/>
                <w:szCs w:val="20"/>
                <w:color w:val="auto"/>
              </w:rPr>
            </w:pPr>
            <w:r>
              <w:rPr>
                <w:rFonts w:ascii="Arial" w:cs="Arial" w:eastAsia="Arial" w:hAnsi="Arial"/>
                <w:sz w:val="16"/>
                <w:szCs w:val="16"/>
                <w:color w:val="0000EE"/>
                <w:w w:val="89"/>
              </w:rPr>
              <w:t>77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jc w:val="right"/>
              <w:spacing w:after="0" w:line="155" w:lineRule="exact"/>
              <w:rPr>
                <w:sz w:val="20"/>
                <w:szCs w:val="20"/>
                <w:color w:val="auto"/>
              </w:rPr>
            </w:pPr>
            <w:r>
              <w:rPr>
                <w:rFonts w:ascii="Arial" w:cs="Arial" w:eastAsia="Arial" w:hAnsi="Arial"/>
                <w:sz w:val="16"/>
                <w:szCs w:val="16"/>
                <w:color w:val="auto"/>
              </w:rPr>
              <w:t>​ ​</w:t>
            </w:r>
          </w:p>
        </w:tc>
        <w:tc>
          <w:tcPr>
            <w:tcW w:w="2800" w:type="dxa"/>
            <w:vAlign w:val="bottom"/>
            <w:tcBorders>
              <w:top w:val="single" w:sz="8" w:color="0000EE"/>
              <w:bottom w:val="single" w:sz="8" w:color="0000EE"/>
            </w:tcBorders>
            <w:gridSpan w:val="13"/>
          </w:tcPr>
          <w:p>
            <w:pPr>
              <w:spacing w:after="0" w:line="155" w:lineRule="exact"/>
              <w:rPr>
                <w:sz w:val="20"/>
                <w:szCs w:val="20"/>
                <w:color w:val="auto"/>
              </w:rPr>
            </w:pPr>
            <w:r>
              <w:rPr>
                <w:rFonts w:ascii="Arial" w:cs="Arial" w:eastAsia="Arial" w:hAnsi="Arial"/>
                <w:sz w:val="16"/>
                <w:szCs w:val="16"/>
                <w:color w:val="0000EE"/>
              </w:rPr>
              <w:t>Stockholder Proposals for Inclusion in</w:t>
            </w:r>
          </w:p>
        </w:tc>
        <w:tc>
          <w:tcPr>
            <w:tcW w:w="460" w:type="dxa"/>
            <w:vAlign w:val="bottom"/>
            <w:tcBorders>
              <w:bottom w:val="single" w:sz="8" w:color="0000EE"/>
            </w:tcBorders>
            <w:gridSpan w:val="5"/>
          </w:tcPr>
          <w:p>
            <w:pPr>
              <w:jc w:val="right"/>
              <w:ind w:right="20"/>
              <w:spacing w:after="0" w:line="155" w:lineRule="exact"/>
              <w:rPr>
                <w:sz w:val="20"/>
                <w:szCs w:val="20"/>
                <w:color w:val="auto"/>
              </w:rPr>
            </w:pPr>
            <w:r>
              <w:rPr>
                <w:rFonts w:ascii="Arial" w:cs="Arial" w:eastAsia="Arial" w:hAnsi="Arial"/>
                <w:sz w:val="16"/>
                <w:szCs w:val="16"/>
                <w:color w:val="0000EE"/>
              </w:rPr>
              <w:t>2027</w:t>
            </w:r>
          </w:p>
        </w:tc>
        <w:tc>
          <w:tcPr>
            <w:tcW w:w="100" w:type="dxa"/>
            <w:vAlign w:val="bottom"/>
            <w:gridSpan w:val="2"/>
          </w:tcPr>
          <w:p>
            <w:pPr>
              <w:spacing w:after="0"/>
              <w:rPr>
                <w:sz w:val="13"/>
                <w:szCs w:val="13"/>
                <w:color w:val="auto"/>
              </w:rPr>
            </w:pPr>
          </w:p>
        </w:tc>
        <w:tc>
          <w:tcPr>
            <w:tcW w:w="200" w:type="dxa"/>
            <w:vAlign w:val="bottom"/>
          </w:tcPr>
          <w:p>
            <w:pPr>
              <w:ind w:left="10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0000EE"/>
            </w:tcBorders>
            <w:gridSpan w:val="6"/>
          </w:tcPr>
          <w:p>
            <w:pPr>
              <w:spacing w:after="0" w:line="155" w:lineRule="exact"/>
              <w:rPr>
                <w:sz w:val="20"/>
                <w:szCs w:val="20"/>
                <w:color w:val="auto"/>
              </w:rPr>
            </w:pPr>
            <w:r>
              <w:rPr>
                <w:rFonts w:ascii="Arial" w:cs="Arial" w:eastAsia="Arial" w:hAnsi="Arial"/>
                <w:sz w:val="16"/>
                <w:szCs w:val="16"/>
                <w:color w:val="0000EE"/>
              </w:rPr>
              <w:t>Proxy Statement</w:t>
            </w:r>
          </w:p>
        </w:tc>
        <w:tc>
          <w:tcPr>
            <w:tcW w:w="2020" w:type="dxa"/>
            <w:vAlign w:val="bottom"/>
            <w:gridSpan w:val="12"/>
          </w:tcPr>
          <w:p>
            <w:pPr>
              <w:spacing w:after="0"/>
              <w:rPr>
                <w:sz w:val="13"/>
                <w:szCs w:val="13"/>
                <w:color w:val="auto"/>
              </w:rPr>
            </w:pPr>
          </w:p>
        </w:tc>
        <w:tc>
          <w:tcPr>
            <w:tcW w:w="100" w:type="dxa"/>
            <w:vAlign w:val="bottom"/>
            <w:gridSpan w:val="2"/>
          </w:tcPr>
          <w:p>
            <w:pPr>
              <w:spacing w:after="0"/>
              <w:rPr>
                <w:sz w:val="13"/>
                <w:szCs w:val="13"/>
                <w:color w:val="auto"/>
              </w:rPr>
            </w:pP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20" w:type="dxa"/>
            <w:vAlign w:val="bottom"/>
            <w:vMerge w:val="continue"/>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0000EE"/>
                <w:w w:val="89"/>
              </w:rPr>
              <w:t>77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3360" w:type="dxa"/>
            <w:vAlign w:val="bottom"/>
            <w:gridSpan w:val="20"/>
          </w:tcPr>
          <w:p>
            <w:pPr>
              <w:spacing w:after="0" w:line="183" w:lineRule="exact"/>
              <w:rPr>
                <w:sz w:val="20"/>
                <w:szCs w:val="20"/>
                <w:color w:val="auto"/>
              </w:rPr>
            </w:pPr>
            <w:r>
              <w:rPr>
                <w:rFonts w:ascii="Arial" w:cs="Arial" w:eastAsia="Arial" w:hAnsi="Arial"/>
                <w:sz w:val="16"/>
                <w:szCs w:val="16"/>
                <w:color w:val="0000EE"/>
              </w:rPr>
              <w:t>Stockholder Nominations and Proposals for</w:t>
            </w: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3240" w:type="dxa"/>
            <w:vAlign w:val="bottom"/>
            <w:tcBorders>
              <w:top w:val="single" w:sz="8" w:color="0000EE"/>
            </w:tcBorders>
            <w:gridSpan w:val="17"/>
          </w:tcPr>
          <w:p>
            <w:pPr>
              <w:spacing w:after="0" w:line="155" w:lineRule="exact"/>
              <w:rPr>
                <w:sz w:val="20"/>
                <w:szCs w:val="20"/>
                <w:color w:val="auto"/>
              </w:rPr>
            </w:pPr>
            <w:r>
              <w:rPr>
                <w:rFonts w:ascii="Arial" w:cs="Arial" w:eastAsia="Arial" w:hAnsi="Arial"/>
                <w:sz w:val="16"/>
                <w:szCs w:val="16"/>
                <w:color w:val="0000EE"/>
              </w:rPr>
              <w:t>Presentation at 2027 Annual Meeting</w:t>
            </w:r>
          </w:p>
        </w:tc>
        <w:tc>
          <w:tcPr>
            <w:tcW w:w="120" w:type="dxa"/>
            <w:vAlign w:val="bottom"/>
            <w:gridSpan w:val="3"/>
          </w:tcPr>
          <w:p>
            <w:pPr>
              <w:spacing w:after="0"/>
              <w:rPr>
                <w:sz w:val="13"/>
                <w:szCs w:val="13"/>
                <w:color w:val="auto"/>
              </w:rPr>
            </w:pPr>
          </w:p>
        </w:tc>
        <w:tc>
          <w:tcPr>
            <w:tcW w:w="200" w:type="dxa"/>
            <w:vAlign w:val="bottom"/>
            <w:vMerge w:val="restart"/>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vMerge w:val="continue"/>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0000EE"/>
                <w:w w:val="89"/>
              </w:rPr>
              <w:t>78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3360" w:type="dxa"/>
            <w:vAlign w:val="bottom"/>
            <w:gridSpan w:val="20"/>
          </w:tcPr>
          <w:p>
            <w:pPr>
              <w:spacing w:after="0"/>
              <w:rPr>
                <w:sz w:val="20"/>
                <w:szCs w:val="20"/>
                <w:color w:val="auto"/>
              </w:rPr>
            </w:pPr>
            <w:r>
              <w:rPr>
                <w:rFonts w:ascii="Arial" w:cs="Arial" w:eastAsia="Arial" w:hAnsi="Arial"/>
                <w:sz w:val="16"/>
                <w:szCs w:val="16"/>
                <w:color w:val="0000EE"/>
              </w:rPr>
              <w:t>Stockholders Sharing the Same Address</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tcPr>
          <w:p>
            <w:pPr>
              <w:spacing w:after="0" w:line="169" w:lineRule="exact"/>
              <w:rPr>
                <w:sz w:val="20"/>
                <w:szCs w:val="20"/>
                <w:color w:val="auto"/>
              </w:rPr>
            </w:pPr>
            <w:r>
              <w:rPr>
                <w:rFonts w:ascii="Arial" w:cs="Arial" w:eastAsia="Arial" w:hAnsi="Arial"/>
                <w:sz w:val="16"/>
                <w:szCs w:val="16"/>
                <w:color w:val="0000EE"/>
                <w:w w:val="89"/>
              </w:rPr>
              <w:t>78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 ​</w:t>
            </w:r>
          </w:p>
        </w:tc>
        <w:tc>
          <w:tcPr>
            <w:tcW w:w="3020" w:type="dxa"/>
            <w:vAlign w:val="bottom"/>
            <w:tcBorders>
              <w:top w:val="single" w:sz="8" w:color="0000EE"/>
            </w:tcBorders>
            <w:gridSpan w:val="15"/>
          </w:tcPr>
          <w:p>
            <w:pPr>
              <w:spacing w:after="0" w:line="169" w:lineRule="exact"/>
              <w:rPr>
                <w:sz w:val="20"/>
                <w:szCs w:val="20"/>
                <w:color w:val="auto"/>
              </w:rPr>
            </w:pPr>
            <w:r>
              <w:rPr>
                <w:rFonts w:ascii="Arial" w:cs="Arial" w:eastAsia="Arial" w:hAnsi="Arial"/>
                <w:sz w:val="16"/>
                <w:szCs w:val="16"/>
                <w:color w:val="0000EE"/>
              </w:rPr>
              <w:t>Form 10-K</w:t>
            </w:r>
          </w:p>
        </w:tc>
        <w:tc>
          <w:tcPr>
            <w:tcW w:w="340" w:type="dxa"/>
            <w:vAlign w:val="bottom"/>
            <w:gridSpan w:val="5"/>
          </w:tcPr>
          <w:p>
            <w:pPr>
              <w:spacing w:after="0"/>
              <w:rPr>
                <w:sz w:val="14"/>
                <w:szCs w:val="14"/>
                <w:color w:val="auto"/>
              </w:rPr>
            </w:pPr>
          </w:p>
        </w:tc>
        <w:tc>
          <w:tcPr>
            <w:tcW w:w="200" w:type="dxa"/>
            <w:vAlign w:val="bottom"/>
          </w:tcPr>
          <w:p>
            <w:pPr>
              <w:ind w:left="10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line="175" w:lineRule="exact"/>
              <w:rPr>
                <w:sz w:val="20"/>
                <w:szCs w:val="20"/>
                <w:color w:val="auto"/>
              </w:rPr>
            </w:pPr>
            <w:r>
              <w:rPr>
                <w:rFonts w:ascii="Arial" w:cs="Arial" w:eastAsia="Arial" w:hAnsi="Arial"/>
                <w:sz w:val="16"/>
                <w:szCs w:val="16"/>
                <w:color w:val="auto"/>
              </w:rPr>
              <w:t>​</w:t>
            </w: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vMerge w:val="restart"/>
          </w:tcPr>
          <w:p>
            <w:pPr>
              <w:jc w:val="right"/>
              <w:spacing w:after="0" w:line="175" w:lineRule="exact"/>
              <w:rPr>
                <w:sz w:val="20"/>
                <w:szCs w:val="20"/>
                <w:color w:val="auto"/>
              </w:rPr>
            </w:pPr>
            <w:r>
              <w:rPr>
                <w:rFonts w:ascii="Arial" w:cs="Arial" w:eastAsia="Arial" w:hAnsi="Arial"/>
                <w:sz w:val="16"/>
                <w:szCs w:val="16"/>
                <w:color w:val="auto"/>
              </w:rPr>
              <w:t>​ ​</w:t>
            </w:r>
          </w:p>
        </w:tc>
        <w:tc>
          <w:tcPr>
            <w:tcW w:w="78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200" w:type="dxa"/>
            <w:vAlign w:val="bottom"/>
            <w:vMerge w:val="restart"/>
          </w:tcPr>
          <w:p>
            <w:pPr>
              <w:ind w:left="100"/>
              <w:spacing w:after="0" w:line="175" w:lineRule="exact"/>
              <w:rPr>
                <w:sz w:val="20"/>
                <w:szCs w:val="20"/>
                <w:color w:val="auto"/>
              </w:rPr>
            </w:pPr>
            <w:r>
              <w:rPr>
                <w:rFonts w:ascii="Arial" w:cs="Arial" w:eastAsia="Arial" w:hAnsi="Arial"/>
                <w:sz w:val="16"/>
                <w:szCs w:val="16"/>
                <w:color w:val="auto"/>
              </w:rPr>
              <w:t>​</w:t>
            </w:r>
          </w:p>
        </w:tc>
        <w:tc>
          <w:tcPr>
            <w:tcW w:w="0" w:type="dxa"/>
            <w:vAlign w:val="bottom"/>
          </w:tcPr>
          <w:p>
            <w:pPr>
              <w:spacing w:after="0" w:line="20" w:lineRule="exact"/>
              <w:rPr>
                <w:sz w:val="1"/>
                <w:szCs w:val="1"/>
                <w:color w:val="auto"/>
              </w:rPr>
            </w:pPr>
          </w:p>
        </w:tc>
      </w:tr>
      <w:tr>
        <w:trPr>
          <w:trHeight w:val="156"/>
        </w:trPr>
        <w:tc>
          <w:tcPr>
            <w:tcW w:w="120" w:type="dxa"/>
            <w:vAlign w:val="bottom"/>
            <w:vMerge w:val="continue"/>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6"/>
                <w:szCs w:val="16"/>
                <w:color w:val="0000EE"/>
                <w:w w:val="89"/>
              </w:rPr>
              <w:t>78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3360" w:type="dxa"/>
            <w:vAlign w:val="bottom"/>
            <w:gridSpan w:val="20"/>
          </w:tcPr>
          <w:p>
            <w:pPr>
              <w:spacing w:after="0" w:line="155" w:lineRule="exact"/>
              <w:rPr>
                <w:sz w:val="20"/>
                <w:szCs w:val="20"/>
                <w:color w:val="auto"/>
              </w:rPr>
            </w:pPr>
            <w:r>
              <w:rPr>
                <w:rFonts w:ascii="Arial" w:cs="Arial" w:eastAsia="Arial" w:hAnsi="Arial"/>
                <w:sz w:val="16"/>
                <w:szCs w:val="16"/>
                <w:color w:val="0000EE"/>
              </w:rPr>
              <w:t>Other Matters</w:t>
            </w: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vMerge w:val="restart"/>
          </w:tcPr>
          <w:p>
            <w:pPr>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 ​</w:t>
            </w:r>
          </w:p>
        </w:tc>
        <w:tc>
          <w:tcPr>
            <w:tcW w:w="16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line="20" w:lineRule="exact"/>
              <w:rPr>
                <w:sz w:val="1"/>
                <w:szCs w:val="1"/>
                <w:color w:val="auto"/>
              </w:rPr>
            </w:pPr>
          </w:p>
        </w:tc>
      </w:tr>
      <w:tr>
        <w:trPr>
          <w:trHeight w:val="208"/>
        </w:trPr>
        <w:tc>
          <w:tcPr>
            <w:tcW w:w="120" w:type="dxa"/>
            <w:vAlign w:val="bottom"/>
            <w:vMerge w:val="continue"/>
          </w:tcPr>
          <w:p>
            <w:pPr>
              <w:spacing w:after="0"/>
              <w:rPr>
                <w:sz w:val="18"/>
                <w:szCs w:val="18"/>
                <w:color w:val="auto"/>
              </w:rPr>
            </w:pPr>
          </w:p>
        </w:tc>
        <w:tc>
          <w:tcPr>
            <w:tcW w:w="300" w:type="dxa"/>
            <w:vAlign w:val="bottom"/>
            <w:gridSpan w:val="4"/>
            <w:vMerge w:val="restart"/>
          </w:tcPr>
          <w:p>
            <w:pPr>
              <w:spacing w:after="0"/>
              <w:rPr>
                <w:sz w:val="20"/>
                <w:szCs w:val="20"/>
                <w:color w:val="auto"/>
              </w:rPr>
            </w:pPr>
            <w:r>
              <w:rPr>
                <w:rFonts w:ascii="Arial" w:cs="Arial" w:eastAsia="Arial" w:hAnsi="Arial"/>
                <w:sz w:val="17"/>
                <w:szCs w:val="17"/>
                <w:b w:val="1"/>
                <w:bCs w:val="1"/>
                <w:color w:val="0000EE"/>
              </w:rPr>
              <w:t>A-1</w:t>
            </w:r>
          </w:p>
        </w:tc>
        <w:tc>
          <w:tcPr>
            <w:tcW w:w="240" w:type="dxa"/>
            <w:vAlign w:val="bottom"/>
            <w:vMerge w:val="continue"/>
          </w:tcPr>
          <w:p>
            <w:pPr>
              <w:spacing w:after="0"/>
              <w:rPr>
                <w:sz w:val="18"/>
                <w:szCs w:val="18"/>
                <w:color w:val="auto"/>
              </w:rPr>
            </w:pPr>
          </w:p>
        </w:tc>
        <w:tc>
          <w:tcPr>
            <w:tcW w:w="3360" w:type="dxa"/>
            <w:vAlign w:val="bottom"/>
            <w:gridSpan w:val="20"/>
            <w:vMerge w:val="restart"/>
          </w:tcPr>
          <w:p>
            <w:pPr>
              <w:spacing w:after="0"/>
              <w:rPr>
                <w:sz w:val="20"/>
                <w:szCs w:val="20"/>
                <w:color w:val="auto"/>
              </w:rPr>
            </w:pPr>
            <w:r>
              <w:rPr>
                <w:rFonts w:ascii="Arial" w:cs="Arial" w:eastAsia="Arial" w:hAnsi="Arial"/>
                <w:sz w:val="17"/>
                <w:szCs w:val="17"/>
                <w:b w:val="1"/>
                <w:bCs w:val="1"/>
                <w:color w:val="0000EE"/>
              </w:rPr>
              <w:t>APPENDICES</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30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3360" w:type="dxa"/>
            <w:vAlign w:val="bottom"/>
            <w:gridSpan w:val="20"/>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24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620" w:type="dxa"/>
            <w:vAlign w:val="bottom"/>
            <w:tcBorders>
              <w:top w:val="single" w:sz="8" w:color="0000EE"/>
              <w:bottom w:val="single" w:sz="8" w:color="E7417A"/>
            </w:tcBorders>
          </w:tcPr>
          <w:p>
            <w:pPr>
              <w:spacing w:after="0" w:line="20" w:lineRule="exact"/>
              <w:rPr>
                <w:sz w:val="1"/>
                <w:szCs w:val="1"/>
                <w:color w:val="auto"/>
              </w:rPr>
            </w:pPr>
          </w:p>
        </w:tc>
        <w:tc>
          <w:tcPr>
            <w:tcW w:w="24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40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50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20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540" w:type="dxa"/>
            <w:vAlign w:val="bottom"/>
            <w:gridSpan w:val="5"/>
          </w:tcPr>
          <w:p>
            <w:pPr>
              <w:jc w:val="right"/>
              <w:spacing w:after="0" w:line="155" w:lineRule="exact"/>
              <w:rPr>
                <w:sz w:val="20"/>
                <w:szCs w:val="20"/>
                <w:color w:val="auto"/>
              </w:rPr>
            </w:pPr>
            <w:r>
              <w:rPr>
                <w:rFonts w:ascii="Arial" w:cs="Arial" w:eastAsia="Arial" w:hAnsi="Arial"/>
                <w:sz w:val="16"/>
                <w:szCs w:val="16"/>
                <w:color w:val="0000EE"/>
              </w:rPr>
              <w:t xml:space="preserve">A-1 </w:t>
            </w:r>
            <w:r>
              <w:rPr>
                <w:rFonts w:ascii="Arial" w:cs="Arial" w:eastAsia="Arial" w:hAnsi="Arial"/>
                <w:sz w:val="16"/>
                <w:szCs w:val="16"/>
                <w:color w:val="000000"/>
              </w:rPr>
              <w:t>​ ​</w:t>
            </w:r>
          </w:p>
        </w:tc>
        <w:tc>
          <w:tcPr>
            <w:tcW w:w="3360" w:type="dxa"/>
            <w:vAlign w:val="bottom"/>
            <w:gridSpan w:val="20"/>
          </w:tcPr>
          <w:p>
            <w:pPr>
              <w:spacing w:after="0" w:line="155" w:lineRule="exact"/>
              <w:rPr>
                <w:sz w:val="20"/>
                <w:szCs w:val="20"/>
                <w:color w:val="auto"/>
              </w:rPr>
            </w:pPr>
            <w:r>
              <w:rPr>
                <w:rFonts w:ascii="Arial" w:cs="Arial" w:eastAsia="Arial" w:hAnsi="Arial"/>
                <w:sz w:val="16"/>
                <w:szCs w:val="16"/>
                <w:b w:val="1"/>
                <w:bCs w:val="1"/>
                <w:color w:val="0000EE"/>
              </w:rPr>
              <w:t>APPENDIX A</w:t>
            </w:r>
            <w:r>
              <w:rPr>
                <w:rFonts w:ascii="Arial" w:cs="Arial" w:eastAsia="Arial" w:hAnsi="Arial"/>
                <w:sz w:val="16"/>
                <w:szCs w:val="16"/>
                <w:color w:val="0000EE"/>
              </w:rPr>
              <w:t> — Reconciliation of Non-</w:t>
            </w:r>
          </w:p>
        </w:tc>
        <w:tc>
          <w:tcPr>
            <w:tcW w:w="200" w:type="dxa"/>
            <w:vAlign w:val="bottom"/>
          </w:tcPr>
          <w:p>
            <w:pPr>
              <w:ind w:left="10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60" w:type="dxa"/>
            <w:vAlign w:val="bottom"/>
            <w:tcBorders>
              <w:top w:val="single" w:sz="8" w:color="0000EE"/>
            </w:tcBorders>
            <w:gridSpan w:val="14"/>
          </w:tcPr>
          <w:p>
            <w:pPr>
              <w:spacing w:after="0" w:line="155" w:lineRule="exact"/>
              <w:rPr>
                <w:sz w:val="20"/>
                <w:szCs w:val="20"/>
                <w:color w:val="auto"/>
              </w:rPr>
            </w:pPr>
            <w:r>
              <w:rPr>
                <w:rFonts w:ascii="Arial" w:cs="Arial" w:eastAsia="Arial" w:hAnsi="Arial"/>
                <w:sz w:val="16"/>
                <w:szCs w:val="16"/>
                <w:color w:val="0000EE"/>
              </w:rPr>
              <w:t>GAAP Financial Measures</w:t>
            </w:r>
          </w:p>
        </w:tc>
        <w:tc>
          <w:tcPr>
            <w:tcW w:w="400" w:type="dxa"/>
            <w:vAlign w:val="bottom"/>
            <w:gridSpan w:val="6"/>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20" w:lineRule="exact"/>
        <w:rPr>
          <w:sz w:val="20"/>
          <w:szCs w:val="20"/>
          <w:color w:val="auto"/>
        </w:rPr>
      </w:pPr>
    </w:p>
    <w:p>
      <w:pPr>
        <w:sectPr>
          <w:pgSz w:w="11900" w:h="16838" w:orient="portrait"/>
          <w:cols w:equalWidth="0" w:num="2">
            <w:col w:w="5140" w:space="420"/>
            <w:col w:w="5160"/>
          </w:cols>
          <w:pgMar w:left="580" w:top="97" w:right="599" w:bottom="1440" w:gutter="0" w:footer="0" w:header="0"/>
          <w:type w:val="continuous"/>
        </w:sectPr>
      </w:pPr>
    </w:p>
    <w:tbl>
      <w:tblPr>
        <w:tblLayout w:type="fixed"/>
        <w:tblInd w:w="920" w:type="dxa"/>
        <w:tblCellMar>
          <w:top w:w="0" w:type="dxa"/>
          <w:left w:w="0" w:type="dxa"/>
          <w:bottom w:w="0" w:type="dxa"/>
          <w:right w:w="0" w:type="dxa"/>
        </w:tblCellMar>
      </w:tblP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62259D"/>
          </w:tcPr>
          <w:p>
            <w:pPr>
              <w:spacing w:after="0" w:line="20" w:lineRule="exact"/>
              <w:rPr>
                <w:sz w:val="1"/>
                <w:szCs w:val="1"/>
                <w:color w:val="auto"/>
              </w:rPr>
            </w:pPr>
          </w:p>
        </w:tc>
        <w:tc>
          <w:tcPr>
            <w:tcW w:w="300" w:type="dxa"/>
            <w:vAlign w:val="bottom"/>
            <w:shd w:val="clear" w:color="auto" w:fill="62259D"/>
          </w:tcPr>
          <w:p>
            <w:pPr>
              <w:spacing w:after="0" w:line="20" w:lineRule="exact"/>
              <w:rPr>
                <w:sz w:val="1"/>
                <w:szCs w:val="1"/>
                <w:color w:val="auto"/>
              </w:rPr>
            </w:pPr>
          </w:p>
        </w:tc>
        <w:tc>
          <w:tcPr>
            <w:tcW w:w="120" w:type="dxa"/>
            <w:vAlign w:val="bottom"/>
            <w:shd w:val="clear" w:color="auto" w:fill="62259D"/>
          </w:tcPr>
          <w:p>
            <w:pPr>
              <w:spacing w:after="0" w:line="20" w:lineRule="exact"/>
              <w:rPr>
                <w:sz w:val="1"/>
                <w:szCs w:val="1"/>
                <w:color w:val="auto"/>
              </w:rPr>
            </w:pPr>
          </w:p>
        </w:tc>
        <w:tc>
          <w:tcPr>
            <w:tcW w:w="1080" w:type="dxa"/>
            <w:vAlign w:val="bottom"/>
            <w:shd w:val="clear" w:color="auto" w:fill="62259D"/>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300" w:type="dxa"/>
            <w:vAlign w:val="bottom"/>
            <w:gridSpan w:val="11"/>
          </w:tcPr>
          <w:p>
            <w:pPr>
              <w:spacing w:after="0" w:line="149" w:lineRule="exact"/>
              <w:rPr>
                <w:sz w:val="20"/>
                <w:szCs w:val="20"/>
                <w:color w:val="auto"/>
              </w:rPr>
            </w:pPr>
            <w:r>
              <w:rPr>
                <w:rFonts w:ascii="Arial" w:cs="Arial" w:eastAsia="Arial" w:hAnsi="Arial"/>
                <w:sz w:val="16"/>
                <w:szCs w:val="16"/>
                <w:color w:val="62259D"/>
              </w:rPr>
              <w:t>Compensation of our Named Executive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20" w:type="dxa"/>
            <w:vAlign w:val="bottom"/>
            <w:tcBorders>
              <w:top w:val="single" w:sz="8" w:color="62259D"/>
            </w:tcBorders>
            <w:gridSpan w:val="8"/>
          </w:tcPr>
          <w:p>
            <w:pPr>
              <w:spacing w:after="0" w:line="155" w:lineRule="exact"/>
              <w:rPr>
                <w:sz w:val="20"/>
                <w:szCs w:val="20"/>
                <w:color w:val="auto"/>
              </w:rPr>
            </w:pPr>
            <w:r>
              <w:rPr>
                <w:rFonts w:ascii="Arial" w:cs="Arial" w:eastAsia="Arial" w:hAnsi="Arial"/>
                <w:sz w:val="16"/>
                <w:szCs w:val="16"/>
                <w:color w:val="62259D"/>
              </w:rPr>
              <w:t>Officers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4C4C4C"/>
            </w:tcBorders>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360" w:type="dxa"/>
            <w:vAlign w:val="bottom"/>
            <w:tcBorders>
              <w:bottom w:val="single" w:sz="8" w:color="4C4C4C"/>
            </w:tcBorders>
          </w:tcPr>
          <w:p>
            <w:pPr>
              <w:spacing w:after="0" w:line="20" w:lineRule="exact"/>
              <w:rPr>
                <w:sz w:val="1"/>
                <w:szCs w:val="1"/>
                <w:color w:val="auto"/>
              </w:rPr>
            </w:pPr>
          </w:p>
        </w:tc>
        <w:tc>
          <w:tcPr>
            <w:tcW w:w="160" w:type="dxa"/>
            <w:vAlign w:val="bottom"/>
            <w:tcBorders>
              <w:top w:val="single" w:sz="8" w:color="62259D"/>
              <w:bottom w:val="single" w:sz="8" w:color="4C4C4C"/>
            </w:tcBorders>
          </w:tcPr>
          <w:p>
            <w:pPr>
              <w:spacing w:after="0" w:line="20" w:lineRule="exact"/>
              <w:rPr>
                <w:sz w:val="1"/>
                <w:szCs w:val="1"/>
                <w:color w:val="auto"/>
              </w:rPr>
            </w:pPr>
          </w:p>
        </w:tc>
        <w:tc>
          <w:tcPr>
            <w:tcW w:w="300" w:type="dxa"/>
            <w:vAlign w:val="bottom"/>
            <w:tcBorders>
              <w:top w:val="single" w:sz="8" w:color="62259D"/>
              <w:bottom w:val="single" w:sz="8" w:color="4C4C4C"/>
            </w:tcBorders>
          </w:tcPr>
          <w:p>
            <w:pPr>
              <w:spacing w:after="0" w:line="20" w:lineRule="exact"/>
              <w:rPr>
                <w:sz w:val="1"/>
                <w:szCs w:val="1"/>
                <w:color w:val="auto"/>
              </w:rPr>
            </w:pPr>
          </w:p>
        </w:tc>
        <w:tc>
          <w:tcPr>
            <w:tcW w:w="120" w:type="dxa"/>
            <w:vAlign w:val="bottom"/>
            <w:tcBorders>
              <w:top w:val="single" w:sz="8" w:color="62259D"/>
              <w:bottom w:val="single" w:sz="8" w:color="4C4C4C"/>
            </w:tcBorders>
          </w:tcPr>
          <w:p>
            <w:pPr>
              <w:spacing w:after="0" w:line="20" w:lineRule="exact"/>
              <w:rPr>
                <w:sz w:val="1"/>
                <w:szCs w:val="1"/>
                <w:color w:val="auto"/>
              </w:rPr>
            </w:pPr>
          </w:p>
        </w:tc>
        <w:tc>
          <w:tcPr>
            <w:tcW w:w="1080" w:type="dxa"/>
            <w:vAlign w:val="bottom"/>
            <w:tcBorders>
              <w:bottom w:val="single" w:sz="8" w:color="4C4C4C"/>
            </w:tcBorders>
          </w:tcPr>
          <w:p>
            <w:pPr>
              <w:spacing w:after="0" w:line="20" w:lineRule="exact"/>
              <w:rPr>
                <w:sz w:val="1"/>
                <w:szCs w:val="1"/>
                <w:color w:val="auto"/>
              </w:rPr>
            </w:pPr>
          </w:p>
        </w:tc>
        <w:tc>
          <w:tcPr>
            <w:tcW w:w="720" w:type="dxa"/>
            <w:vAlign w:val="bottom"/>
            <w:tcBorders>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38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20" w:type="dxa"/>
            <w:vAlign w:val="bottom"/>
            <w:tcBorders>
              <w:bottom w:val="single" w:sz="8" w:color="4C4C4C"/>
            </w:tcBorders>
          </w:tcPr>
          <w:p>
            <w:pPr>
              <w:spacing w:after="0" w:line="20" w:lineRule="exact"/>
              <w:rPr>
                <w:sz w:val="1"/>
                <w:szCs w:val="1"/>
                <w:color w:val="auto"/>
              </w:rPr>
            </w:pPr>
          </w:p>
        </w:tc>
        <w:tc>
          <w:tcPr>
            <w:tcW w:w="340" w:type="dxa"/>
            <w:vAlign w:val="bottom"/>
            <w:tcBorders>
              <w:bottom w:val="single" w:sz="8" w:color="4C4C4C"/>
            </w:tcBorders>
          </w:tcPr>
          <w:p>
            <w:pPr>
              <w:spacing w:after="0" w:line="20" w:lineRule="exact"/>
              <w:rPr>
                <w:sz w:val="1"/>
                <w:szCs w:val="1"/>
                <w:color w:val="auto"/>
              </w:rPr>
            </w:pPr>
          </w:p>
        </w:tc>
        <w:tc>
          <w:tcPr>
            <w:tcW w:w="260" w:type="dxa"/>
            <w:vAlign w:val="bottom"/>
            <w:tcBorders>
              <w:bottom w:val="single" w:sz="8" w:color="4C4C4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gridSpan w:val="2"/>
          </w:tcPr>
          <w:p>
            <w:pPr>
              <w:jc w:val="right"/>
              <w:spacing w:after="0" w:line="156"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37</w:t>
            </w:r>
          </w:p>
        </w:tc>
        <w:tc>
          <w:tcPr>
            <w:tcW w:w="3660" w:type="dxa"/>
            <w:vAlign w:val="bottom"/>
            <w:gridSpan w:val="12"/>
          </w:tcPr>
          <w:p>
            <w:pPr>
              <w:ind w:left="140"/>
              <w:spacing w:after="0" w:line="156" w:lineRule="exact"/>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0000EE"/>
              </w:rPr>
              <w:t>Compensation Discussion and Analysis</w:t>
            </w:r>
          </w:p>
        </w:tc>
        <w:tc>
          <w:tcPr>
            <w:tcW w:w="260" w:type="dxa"/>
            <w:vAlign w:val="bottom"/>
          </w:tcPr>
          <w:p>
            <w:pPr>
              <w:ind w:left="140"/>
              <w:spacing w:after="0" w:line="15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6"/>
                <w:szCs w:val="16"/>
                <w:color w:val="0000EE"/>
                <w:w w:val="89"/>
              </w:rPr>
              <w:t>53</w:t>
            </w:r>
          </w:p>
        </w:tc>
        <w:tc>
          <w:tcPr>
            <w:tcW w:w="360" w:type="dxa"/>
            <w:vAlign w:val="bottom"/>
          </w:tcPr>
          <w:p>
            <w:pPr>
              <w:ind w:left="140"/>
              <w:spacing w:after="0" w:line="169" w:lineRule="exact"/>
              <w:rPr>
                <w:sz w:val="20"/>
                <w:szCs w:val="20"/>
                <w:color w:val="auto"/>
              </w:rPr>
            </w:pPr>
            <w:r>
              <w:rPr>
                <w:rFonts w:ascii="Arial" w:cs="Arial" w:eastAsia="Arial" w:hAnsi="Arial"/>
                <w:sz w:val="16"/>
                <w:szCs w:val="16"/>
                <w:color w:val="auto"/>
              </w:rPr>
              <w:t>​ ​</w:t>
            </w:r>
          </w:p>
        </w:tc>
        <w:tc>
          <w:tcPr>
            <w:tcW w:w="2940" w:type="dxa"/>
            <w:vAlign w:val="bottom"/>
            <w:tcBorders>
              <w:top w:val="single" w:sz="8" w:color="0000EE"/>
            </w:tcBorders>
            <w:gridSpan w:val="9"/>
          </w:tcPr>
          <w:p>
            <w:pPr>
              <w:spacing w:after="0" w:line="169" w:lineRule="exact"/>
              <w:rPr>
                <w:sz w:val="20"/>
                <w:szCs w:val="20"/>
                <w:color w:val="auto"/>
              </w:rPr>
            </w:pPr>
            <w:r>
              <w:rPr>
                <w:rFonts w:ascii="Arial" w:cs="Arial" w:eastAsia="Arial" w:hAnsi="Arial"/>
                <w:sz w:val="16"/>
                <w:szCs w:val="16"/>
                <w:color w:val="0000EE"/>
              </w:rPr>
              <w:t>Compensation Committee Report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ind w:left="14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0000EE"/>
              <w:bottom w:val="single" w:sz="8" w:color="0000EE"/>
            </w:tcBorders>
          </w:tcPr>
          <w:p>
            <w:pPr>
              <w:jc w:val="right"/>
              <w:spacing w:after="0" w:line="169" w:lineRule="exact"/>
              <w:rPr>
                <w:sz w:val="20"/>
                <w:szCs w:val="20"/>
                <w:color w:val="auto"/>
              </w:rPr>
            </w:pPr>
            <w:r>
              <w:rPr>
                <w:rFonts w:ascii="Arial" w:cs="Arial" w:eastAsia="Arial" w:hAnsi="Arial"/>
                <w:sz w:val="16"/>
                <w:szCs w:val="16"/>
                <w:color w:val="0000EE"/>
                <w:w w:val="89"/>
              </w:rPr>
              <w:t>54</w:t>
            </w:r>
          </w:p>
        </w:tc>
        <w:tc>
          <w:tcPr>
            <w:tcW w:w="360" w:type="dxa"/>
            <w:vAlign w:val="bottom"/>
          </w:tcPr>
          <w:p>
            <w:pPr>
              <w:ind w:left="140"/>
              <w:spacing w:after="0" w:line="169" w:lineRule="exact"/>
              <w:rPr>
                <w:sz w:val="20"/>
                <w:szCs w:val="20"/>
                <w:color w:val="auto"/>
              </w:rPr>
            </w:pPr>
            <w:r>
              <w:rPr>
                <w:rFonts w:ascii="Arial" w:cs="Arial" w:eastAsia="Arial" w:hAnsi="Arial"/>
                <w:sz w:val="16"/>
                <w:szCs w:val="16"/>
                <w:color w:val="auto"/>
              </w:rPr>
              <w:t>​ ​</w:t>
            </w:r>
          </w:p>
        </w:tc>
        <w:tc>
          <w:tcPr>
            <w:tcW w:w="2380" w:type="dxa"/>
            <w:vAlign w:val="bottom"/>
            <w:tcBorders>
              <w:top w:val="single" w:sz="8" w:color="0000EE"/>
              <w:bottom w:val="single" w:sz="8" w:color="0000EE"/>
            </w:tcBorders>
            <w:gridSpan w:val="5"/>
          </w:tcPr>
          <w:p>
            <w:pPr>
              <w:spacing w:after="0" w:line="169" w:lineRule="exact"/>
              <w:rPr>
                <w:sz w:val="20"/>
                <w:szCs w:val="20"/>
                <w:color w:val="auto"/>
              </w:rPr>
            </w:pPr>
            <w:r>
              <w:rPr>
                <w:rFonts w:ascii="Arial" w:cs="Arial" w:eastAsia="Arial" w:hAnsi="Arial"/>
                <w:sz w:val="16"/>
                <w:szCs w:val="16"/>
                <w:color w:val="0000EE"/>
              </w:rPr>
              <w:t>Executive Compensation Tables</w:t>
            </w:r>
          </w:p>
        </w:tc>
        <w:tc>
          <w:tcPr>
            <w:tcW w:w="100" w:type="dxa"/>
            <w:vAlign w:val="bottom"/>
            <w:tcBorders>
              <w:top w:val="single" w:sz="8" w:color="0000EE"/>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ind w:left="140"/>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6"/>
                <w:szCs w:val="16"/>
                <w:i w:val="1"/>
                <w:iCs w:val="1"/>
                <w:color w:val="auto"/>
              </w:rPr>
              <w:t>​</w:t>
            </w:r>
          </w:p>
        </w:tc>
        <w:tc>
          <w:tcPr>
            <w:tcW w:w="180" w:type="dxa"/>
            <w:vAlign w:val="bottom"/>
          </w:tcPr>
          <w:p>
            <w:pPr>
              <w:jc w:val="right"/>
              <w:spacing w:after="0" w:line="169" w:lineRule="exact"/>
              <w:rPr>
                <w:sz w:val="20"/>
                <w:szCs w:val="20"/>
                <w:color w:val="auto"/>
              </w:rPr>
            </w:pPr>
            <w:r>
              <w:rPr>
                <w:rFonts w:ascii="Arial" w:cs="Arial" w:eastAsia="Arial" w:hAnsi="Arial"/>
                <w:sz w:val="16"/>
                <w:szCs w:val="16"/>
                <w:i w:val="1"/>
                <w:iCs w:val="1"/>
                <w:color w:val="0000EE"/>
                <w:w w:val="89"/>
              </w:rPr>
              <w:t>54</w:t>
            </w:r>
          </w:p>
        </w:tc>
        <w:tc>
          <w:tcPr>
            <w:tcW w:w="360" w:type="dxa"/>
            <w:vAlign w:val="bottom"/>
          </w:tcPr>
          <w:p>
            <w:pPr>
              <w:ind w:left="140"/>
              <w:spacing w:after="0" w:line="169" w:lineRule="exact"/>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rPr>
                <w:sz w:val="14"/>
                <w:szCs w:val="14"/>
                <w:color w:val="auto"/>
              </w:rPr>
            </w:pPr>
          </w:p>
        </w:tc>
        <w:tc>
          <w:tcPr>
            <w:tcW w:w="3140" w:type="dxa"/>
            <w:vAlign w:val="bottom"/>
            <w:gridSpan w:val="10"/>
          </w:tcPr>
          <w:p>
            <w:pPr>
              <w:spacing w:after="0" w:line="169" w:lineRule="exact"/>
              <w:rPr>
                <w:sz w:val="20"/>
                <w:szCs w:val="20"/>
                <w:color w:val="auto"/>
              </w:rPr>
            </w:pPr>
            <w:r>
              <w:rPr>
                <w:rFonts w:ascii="Arial" w:cs="Arial" w:eastAsia="Arial" w:hAnsi="Arial"/>
                <w:sz w:val="16"/>
                <w:szCs w:val="16"/>
                <w:i w:val="1"/>
                <w:iCs w:val="1"/>
                <w:color w:val="0000EE"/>
              </w:rPr>
              <w:t>2025 Summary Compensation Table</w:t>
            </w:r>
          </w:p>
        </w:tc>
        <w:tc>
          <w:tcPr>
            <w:tcW w:w="260" w:type="dxa"/>
            <w:vAlign w:val="bottom"/>
          </w:tcPr>
          <w:p>
            <w:pPr>
              <w:ind w:left="140"/>
              <w:spacing w:after="0" w:line="169" w:lineRule="exact"/>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rPr>
                <w:sz w:val="20"/>
                <w:szCs w:val="20"/>
                <w:color w:val="auto"/>
              </w:rPr>
            </w:pPr>
            <w:r>
              <w:rPr>
                <w:rFonts w:ascii="Arial" w:cs="Arial" w:eastAsia="Arial" w:hAnsi="Arial"/>
                <w:sz w:val="16"/>
                <w:szCs w:val="16"/>
                <w:i w:val="1"/>
                <w:iCs w:val="1"/>
                <w:color w:val="auto"/>
              </w:rPr>
              <w:t>​</w:t>
            </w:r>
          </w:p>
        </w:tc>
        <w:tc>
          <w:tcPr>
            <w:tcW w:w="180" w:type="dxa"/>
            <w:vAlign w:val="bottom"/>
            <w:shd w:val="clear" w:color="auto" w:fill="0000EE"/>
          </w:tcPr>
          <w:p>
            <w:pPr>
              <w:spacing w:after="0" w:line="20" w:lineRule="exact"/>
              <w:rPr>
                <w:sz w:val="1"/>
                <w:szCs w:val="1"/>
                <w:color w:val="auto"/>
              </w:rPr>
            </w:pPr>
          </w:p>
        </w:tc>
        <w:tc>
          <w:tcPr>
            <w:tcW w:w="360" w:type="dxa"/>
            <w:vAlign w:val="bottom"/>
            <w:vMerge w:val="restart"/>
          </w:tcPr>
          <w:p>
            <w:pPr>
              <w:ind w:left="140"/>
              <w:spacing w:after="0"/>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vMerge w:val="restart"/>
          </w:tcPr>
          <w:p>
            <w:pPr>
              <w:ind w:left="140"/>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line="20" w:lineRule="exact"/>
              <w:rPr>
                <w:sz w:val="1"/>
                <w:szCs w:val="1"/>
                <w:color w:val="auto"/>
              </w:rPr>
            </w:pPr>
          </w:p>
        </w:tc>
      </w:tr>
      <w:tr>
        <w:trPr>
          <w:trHeight w:val="169"/>
        </w:trPr>
        <w:tc>
          <w:tcPr>
            <w:tcW w:w="120" w:type="dxa"/>
            <w:vAlign w:val="bottom"/>
            <w:vMerge w:val="continue"/>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Arial" w:cs="Arial" w:eastAsia="Arial" w:hAnsi="Arial"/>
                <w:sz w:val="16"/>
                <w:szCs w:val="16"/>
                <w:i w:val="1"/>
                <w:iCs w:val="1"/>
                <w:color w:val="0000EE"/>
                <w:w w:val="89"/>
              </w:rPr>
              <w:t>55</w:t>
            </w:r>
          </w:p>
        </w:tc>
        <w:tc>
          <w:tcPr>
            <w:tcW w:w="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140" w:type="dxa"/>
            <w:vAlign w:val="bottom"/>
            <w:gridSpan w:val="10"/>
          </w:tcPr>
          <w:p>
            <w:pPr>
              <w:spacing w:after="0" w:line="169" w:lineRule="exact"/>
              <w:rPr>
                <w:sz w:val="20"/>
                <w:szCs w:val="20"/>
                <w:color w:val="auto"/>
              </w:rPr>
            </w:pPr>
            <w:r>
              <w:rPr>
                <w:rFonts w:ascii="Arial" w:cs="Arial" w:eastAsia="Arial" w:hAnsi="Arial"/>
                <w:sz w:val="16"/>
                <w:szCs w:val="16"/>
                <w:i w:val="1"/>
                <w:iCs w:val="1"/>
                <w:color w:val="0000EE"/>
              </w:rPr>
              <w:t>Grants of Plan-Based Awards in 2025</w:t>
            </w:r>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5" w:lineRule="exact"/>
              <w:rPr>
                <w:sz w:val="20"/>
                <w:szCs w:val="20"/>
                <w:color w:val="auto"/>
              </w:rPr>
            </w:pPr>
            <w:r>
              <w:rPr>
                <w:rFonts w:ascii="Arial" w:cs="Arial" w:eastAsia="Arial" w:hAnsi="Arial"/>
                <w:sz w:val="16"/>
                <w:szCs w:val="16"/>
                <w:i w:val="1"/>
                <w:iCs w:val="1"/>
                <w:color w:val="auto"/>
              </w:rPr>
              <w:t>​</w:t>
            </w:r>
          </w:p>
        </w:tc>
        <w:tc>
          <w:tcPr>
            <w:tcW w:w="180" w:type="dxa"/>
            <w:vAlign w:val="bottom"/>
            <w:tcBorders>
              <w:top w:val="single" w:sz="8" w:color="0000EE"/>
              <w:bottom w:val="single" w:sz="8" w:color="0000EE"/>
            </w:tcBorders>
          </w:tcPr>
          <w:p>
            <w:pPr>
              <w:jc w:val="right"/>
              <w:spacing w:after="0" w:line="155" w:lineRule="exact"/>
              <w:rPr>
                <w:sz w:val="20"/>
                <w:szCs w:val="20"/>
                <w:color w:val="auto"/>
              </w:rPr>
            </w:pPr>
            <w:r>
              <w:rPr>
                <w:rFonts w:ascii="Arial" w:cs="Arial" w:eastAsia="Arial" w:hAnsi="Arial"/>
                <w:sz w:val="16"/>
                <w:szCs w:val="16"/>
                <w:i w:val="1"/>
                <w:iCs w:val="1"/>
                <w:color w:val="0000EE"/>
                <w:w w:val="89"/>
              </w:rPr>
              <w:t>57</w:t>
            </w:r>
          </w:p>
        </w:tc>
        <w:tc>
          <w:tcPr>
            <w:tcW w:w="360" w:type="dxa"/>
            <w:vAlign w:val="bottom"/>
          </w:tcPr>
          <w:p>
            <w:pPr>
              <w:ind w:left="140"/>
              <w:spacing w:after="0" w:line="155" w:lineRule="exact"/>
              <w:rPr>
                <w:sz w:val="20"/>
                <w:szCs w:val="20"/>
                <w:color w:val="auto"/>
              </w:rPr>
            </w:pPr>
            <w:r>
              <w:rPr>
                <w:rFonts w:ascii="Arial" w:cs="Arial" w:eastAsia="Arial" w:hAnsi="Arial"/>
                <w:sz w:val="16"/>
                <w:szCs w:val="16"/>
                <w:i w:val="1"/>
                <w:iCs w:val="1"/>
                <w:color w:val="auto"/>
              </w:rPr>
              <w:t>​ ​</w:t>
            </w:r>
          </w:p>
        </w:tc>
        <w:tc>
          <w:tcPr>
            <w:tcW w:w="160" w:type="dxa"/>
            <w:vAlign w:val="bottom"/>
          </w:tcPr>
          <w:p>
            <w:pPr>
              <w:spacing w:after="0"/>
              <w:rPr>
                <w:sz w:val="13"/>
                <w:szCs w:val="13"/>
                <w:color w:val="auto"/>
              </w:rPr>
            </w:pPr>
          </w:p>
        </w:tc>
        <w:tc>
          <w:tcPr>
            <w:tcW w:w="2800" w:type="dxa"/>
            <w:vAlign w:val="bottom"/>
            <w:tcBorders>
              <w:top w:val="single" w:sz="8" w:color="0000EE"/>
              <w:bottom w:val="single" w:sz="8" w:color="0000EE"/>
            </w:tcBorders>
            <w:gridSpan w:val="9"/>
          </w:tcPr>
          <w:p>
            <w:pPr>
              <w:spacing w:after="0" w:line="155" w:lineRule="exact"/>
              <w:rPr>
                <w:sz w:val="20"/>
                <w:szCs w:val="20"/>
                <w:color w:val="auto"/>
              </w:rPr>
            </w:pPr>
            <w:r>
              <w:rPr>
                <w:rFonts w:ascii="Arial" w:cs="Arial" w:eastAsia="Arial" w:hAnsi="Arial"/>
                <w:sz w:val="16"/>
                <w:szCs w:val="16"/>
                <w:i w:val="1"/>
                <w:iCs w:val="1"/>
                <w:color w:val="0000EE"/>
              </w:rPr>
              <w:t>Outstanding Equity Awards at Fiscal</w:t>
            </w:r>
          </w:p>
        </w:tc>
        <w:tc>
          <w:tcPr>
            <w:tcW w:w="340" w:type="dxa"/>
            <w:vAlign w:val="bottom"/>
            <w:tcBorders>
              <w:bottom w:val="single" w:sz="8" w:color="0000EE"/>
            </w:tcBorders>
          </w:tcPr>
          <w:p>
            <w:pPr>
              <w:spacing w:after="0" w:line="155" w:lineRule="exact"/>
              <w:rPr>
                <w:sz w:val="20"/>
                <w:szCs w:val="20"/>
                <w:color w:val="auto"/>
              </w:rPr>
            </w:pPr>
            <w:r>
              <w:rPr>
                <w:rFonts w:ascii="Arial" w:cs="Arial" w:eastAsia="Arial" w:hAnsi="Arial"/>
                <w:sz w:val="16"/>
                <w:szCs w:val="16"/>
                <w:i w:val="1"/>
                <w:iCs w:val="1"/>
                <w:color w:val="0000EE"/>
                <w:w w:val="81"/>
              </w:rPr>
              <w:t>Year-</w:t>
            </w:r>
          </w:p>
        </w:tc>
        <w:tc>
          <w:tcPr>
            <w:tcW w:w="260" w:type="dxa"/>
            <w:vAlign w:val="bottom"/>
          </w:tcPr>
          <w:p>
            <w:pPr>
              <w:ind w:left="140"/>
              <w:spacing w:after="0" w:line="155" w:lineRule="exact"/>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0000EE"/>
            </w:tcBorders>
          </w:tcPr>
          <w:p>
            <w:pPr>
              <w:spacing w:after="0" w:line="155" w:lineRule="exact"/>
              <w:rPr>
                <w:sz w:val="20"/>
                <w:szCs w:val="20"/>
                <w:color w:val="auto"/>
              </w:rPr>
            </w:pPr>
            <w:r>
              <w:rPr>
                <w:rFonts w:ascii="Arial" w:cs="Arial" w:eastAsia="Arial" w:hAnsi="Arial"/>
                <w:sz w:val="16"/>
                <w:szCs w:val="16"/>
                <w:i w:val="1"/>
                <w:iCs w:val="1"/>
                <w:color w:val="0000EE"/>
                <w:w w:val="98"/>
              </w:rPr>
              <w:t>End</w:t>
            </w:r>
          </w:p>
        </w:tc>
        <w:tc>
          <w:tcPr>
            <w:tcW w:w="2840" w:type="dxa"/>
            <w:vAlign w:val="bottom"/>
            <w:gridSpan w:val="9"/>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436880</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300" w:type="dxa"/>
            <w:vAlign w:val="bottom"/>
            <w:tcBorders>
              <w:right w:val="single" w:sz="8" w:color="62259D"/>
            </w:tcBorders>
          </w:tcPr>
          <w:p>
            <w:pPr>
              <w:spacing w:after="0"/>
              <w:rPr>
                <w:sz w:val="24"/>
                <w:szCs w:val="24"/>
                <w:color w:val="auto"/>
              </w:rPr>
            </w:pPr>
          </w:p>
        </w:tc>
        <w:tc>
          <w:tcPr>
            <w:tcW w:w="420" w:type="dxa"/>
            <w:vAlign w:val="bottom"/>
            <w:shd w:val="clear" w:color="auto" w:fill="62259D"/>
          </w:tcPr>
          <w:p>
            <w:pPr>
              <w:ind w:left="200"/>
              <w:spacing w:after="0"/>
              <w:rPr>
                <w:sz w:val="20"/>
                <w:szCs w:val="20"/>
                <w:color w:val="auto"/>
              </w:rPr>
            </w:pPr>
            <w:r>
              <w:rPr>
                <w:rFonts w:ascii="Arial" w:cs="Arial" w:eastAsia="Arial" w:hAnsi="Arial"/>
                <w:sz w:val="16"/>
                <w:szCs w:val="16"/>
                <w:b w:val="1"/>
                <w:bCs w:val="1"/>
                <w:color w:val="FEFEFE"/>
              </w:rPr>
              <w:t>​</w:t>
            </w:r>
          </w:p>
        </w:tc>
        <w:tc>
          <w:tcPr>
            <w:tcW w:w="726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IMPORTANT NOTICE REGARDING AVAILABILITY OF PROXY MATERIALS FOR THE</w:t>
            </w:r>
          </w:p>
        </w:tc>
        <w:tc>
          <w:tcPr>
            <w:tcW w:w="440" w:type="dxa"/>
            <w:vAlign w:val="bottom"/>
            <w:tcBorders>
              <w:right w:val="single" w:sz="8" w:color="62259D"/>
            </w:tcBorders>
            <w:shd w:val="clear" w:color="auto" w:fill="62259D"/>
          </w:tcPr>
          <w:p>
            <w:pPr>
              <w:ind w:left="200"/>
              <w:spacing w:after="0"/>
              <w:rPr>
                <w:sz w:val="20"/>
                <w:szCs w:val="20"/>
                <w:color w:val="auto"/>
              </w:rPr>
            </w:pPr>
            <w:r>
              <w:rPr>
                <w:rFonts w:ascii="Arial" w:cs="Arial" w:eastAsia="Arial" w:hAnsi="Arial"/>
                <w:sz w:val="16"/>
                <w:szCs w:val="16"/>
                <w:b w:val="1"/>
                <w:bCs w:val="1"/>
                <w:color w:val="FEFEFE"/>
              </w:rPr>
              <w:t>​</w:t>
            </w:r>
          </w:p>
        </w:tc>
        <w:tc>
          <w:tcPr>
            <w:tcW w:w="1300" w:type="dxa"/>
            <w:vAlign w:val="bottom"/>
          </w:tcPr>
          <w:p>
            <w:pPr>
              <w:spacing w:after="0"/>
              <w:rPr>
                <w:sz w:val="24"/>
                <w:szCs w:val="24"/>
                <w:color w:val="auto"/>
              </w:rPr>
            </w:pPr>
          </w:p>
        </w:tc>
      </w:tr>
      <w:tr>
        <w:trPr>
          <w:trHeight w:val="251"/>
        </w:trPr>
        <w:tc>
          <w:tcPr>
            <w:tcW w:w="1300" w:type="dxa"/>
            <w:vAlign w:val="bottom"/>
            <w:tcBorders>
              <w:right w:val="single" w:sz="8" w:color="62259D"/>
            </w:tcBorders>
          </w:tcPr>
          <w:p>
            <w:pPr>
              <w:spacing w:after="0"/>
              <w:rPr>
                <w:sz w:val="21"/>
                <w:szCs w:val="21"/>
                <w:color w:val="auto"/>
              </w:rPr>
            </w:pPr>
          </w:p>
        </w:tc>
        <w:tc>
          <w:tcPr>
            <w:tcW w:w="420" w:type="dxa"/>
            <w:vAlign w:val="bottom"/>
            <w:tcBorders>
              <w:bottom w:val="single" w:sz="8" w:color="62259D"/>
            </w:tcBorders>
            <w:shd w:val="clear" w:color="auto" w:fill="62259D"/>
          </w:tcPr>
          <w:p>
            <w:pPr>
              <w:spacing w:after="0"/>
              <w:rPr>
                <w:sz w:val="21"/>
                <w:szCs w:val="21"/>
                <w:color w:val="auto"/>
              </w:rPr>
            </w:pPr>
          </w:p>
        </w:tc>
        <w:tc>
          <w:tcPr>
            <w:tcW w:w="7260" w:type="dxa"/>
            <w:vAlign w:val="bottom"/>
            <w:tcBorders>
              <w:bottom w:val="single" w:sz="8" w:color="62259D"/>
            </w:tcBorders>
            <w:shd w:val="clear" w:color="auto" w:fill="62259D"/>
          </w:tcPr>
          <w:p>
            <w:pPr>
              <w:jc w:val="center"/>
              <w:spacing w:after="0"/>
              <w:rPr>
                <w:sz w:val="20"/>
                <w:szCs w:val="20"/>
                <w:color w:val="auto"/>
              </w:rPr>
            </w:pPr>
            <w:r>
              <w:rPr>
                <w:rFonts w:ascii="Arial" w:cs="Arial" w:eastAsia="Arial" w:hAnsi="Arial"/>
                <w:sz w:val="16"/>
                <w:szCs w:val="16"/>
                <w:b w:val="1"/>
                <w:bCs w:val="1"/>
                <w:color w:val="FEFEFE"/>
              </w:rPr>
              <w:t>STOCKHOLDER MEETING TO BE HELD ON JUNE 3, 2026</w:t>
            </w:r>
          </w:p>
        </w:tc>
        <w:tc>
          <w:tcPr>
            <w:tcW w:w="440" w:type="dxa"/>
            <w:vAlign w:val="bottom"/>
            <w:tcBorders>
              <w:bottom w:val="single" w:sz="8" w:color="62259D"/>
              <w:right w:val="single" w:sz="8" w:color="62259D"/>
            </w:tcBorders>
            <w:shd w:val="clear" w:color="auto" w:fill="62259D"/>
          </w:tcPr>
          <w:p>
            <w:pPr>
              <w:spacing w:after="0"/>
              <w:rPr>
                <w:sz w:val="21"/>
                <w:szCs w:val="21"/>
                <w:color w:val="auto"/>
              </w:rPr>
            </w:pPr>
          </w:p>
        </w:tc>
        <w:tc>
          <w:tcPr>
            <w:tcW w:w="1300" w:type="dxa"/>
            <w:vAlign w:val="bottom"/>
          </w:tcPr>
          <w:p>
            <w:pPr>
              <w:spacing w:after="0"/>
              <w:rPr>
                <w:sz w:val="21"/>
                <w:szCs w:val="21"/>
                <w:color w:val="auto"/>
              </w:rPr>
            </w:pPr>
          </w:p>
        </w:tc>
      </w:tr>
      <w:tr>
        <w:trPr>
          <w:trHeight w:val="255"/>
        </w:trPr>
        <w:tc>
          <w:tcPr>
            <w:tcW w:w="1300" w:type="dxa"/>
            <w:vAlign w:val="bottom"/>
            <w:tcBorders>
              <w:right w:val="single" w:sz="8" w:color="62259D"/>
            </w:tcBorders>
          </w:tcPr>
          <w:p>
            <w:pPr>
              <w:spacing w:after="0"/>
              <w:rPr>
                <w:sz w:val="22"/>
                <w:szCs w:val="22"/>
                <w:color w:val="auto"/>
              </w:rPr>
            </w:pPr>
          </w:p>
        </w:tc>
        <w:tc>
          <w:tcPr>
            <w:tcW w:w="420" w:type="dxa"/>
            <w:vAlign w:val="bottom"/>
          </w:tcPr>
          <w:p>
            <w:pPr>
              <w:ind w:left="200"/>
              <w:spacing w:after="0"/>
              <w:rPr>
                <w:sz w:val="20"/>
                <w:szCs w:val="20"/>
                <w:color w:val="auto"/>
              </w:rPr>
            </w:pPr>
            <w:r>
              <w:rPr>
                <w:rFonts w:ascii="Arial" w:cs="Arial" w:eastAsia="Arial" w:hAnsi="Arial"/>
                <w:sz w:val="16"/>
                <w:szCs w:val="16"/>
                <w:color w:val="auto"/>
              </w:rPr>
              <w:t>​</w:t>
            </w:r>
          </w:p>
        </w:tc>
        <w:tc>
          <w:tcPr>
            <w:tcW w:w="7260" w:type="dxa"/>
            <w:vAlign w:val="bottom"/>
          </w:tcPr>
          <w:p>
            <w:pPr>
              <w:jc w:val="center"/>
              <w:spacing w:after="0"/>
              <w:rPr>
                <w:sz w:val="20"/>
                <w:szCs w:val="20"/>
                <w:color w:val="auto"/>
              </w:rPr>
            </w:pPr>
            <w:r>
              <w:rPr>
                <w:rFonts w:ascii="Arial" w:cs="Arial" w:eastAsia="Arial" w:hAnsi="Arial"/>
                <w:sz w:val="16"/>
                <w:szCs w:val="16"/>
                <w:color w:val="auto"/>
              </w:rPr>
              <w:t>This Proxy Statement and the 2025 Annual Report to Stockholders are available for viewing,</w:t>
            </w:r>
          </w:p>
        </w:tc>
        <w:tc>
          <w:tcPr>
            <w:tcW w:w="440" w:type="dxa"/>
            <w:vAlign w:val="bottom"/>
            <w:tcBorders>
              <w:right w:val="single" w:sz="8" w:color="62259D"/>
            </w:tcBorders>
          </w:tcPr>
          <w:p>
            <w:pPr>
              <w:ind w:left="200"/>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22"/>
                <w:szCs w:val="22"/>
                <w:color w:val="auto"/>
              </w:rPr>
            </w:pPr>
          </w:p>
        </w:tc>
      </w:tr>
      <w:tr>
        <w:trPr>
          <w:trHeight w:val="216"/>
        </w:trPr>
        <w:tc>
          <w:tcPr>
            <w:tcW w:w="1300" w:type="dxa"/>
            <w:vAlign w:val="bottom"/>
            <w:tcBorders>
              <w:right w:val="single" w:sz="8" w:color="62259D"/>
            </w:tcBorders>
          </w:tcPr>
          <w:p>
            <w:pPr>
              <w:spacing w:after="0"/>
              <w:rPr>
                <w:sz w:val="18"/>
                <w:szCs w:val="18"/>
                <w:color w:val="auto"/>
              </w:rPr>
            </w:pPr>
          </w:p>
        </w:tc>
        <w:tc>
          <w:tcPr>
            <w:tcW w:w="420" w:type="dxa"/>
            <w:vAlign w:val="bottom"/>
          </w:tcPr>
          <w:p>
            <w:pPr>
              <w:spacing w:after="0"/>
              <w:rPr>
                <w:sz w:val="18"/>
                <w:szCs w:val="18"/>
                <w:color w:val="auto"/>
              </w:rPr>
            </w:pPr>
          </w:p>
        </w:tc>
        <w:tc>
          <w:tcPr>
            <w:tcW w:w="7260" w:type="dxa"/>
            <w:vAlign w:val="bottom"/>
          </w:tcPr>
          <w:p>
            <w:pPr>
              <w:jc w:val="center"/>
              <w:spacing w:after="0"/>
              <w:rPr>
                <w:sz w:val="20"/>
                <w:szCs w:val="20"/>
                <w:color w:val="auto"/>
              </w:rPr>
            </w:pPr>
            <w:r>
              <w:rPr>
                <w:rFonts w:ascii="Arial" w:cs="Arial" w:eastAsia="Arial" w:hAnsi="Arial"/>
                <w:sz w:val="16"/>
                <w:szCs w:val="16"/>
                <w:color w:val="auto"/>
              </w:rPr>
              <w:t xml:space="preserve">printing and downloading at </w:t>
            </w:r>
            <w:r>
              <w:rPr>
                <w:rFonts w:ascii="Arial" w:cs="Arial" w:eastAsia="Arial" w:hAnsi="Arial"/>
                <w:sz w:val="16"/>
                <w:szCs w:val="16"/>
                <w:color w:val="E7417A"/>
              </w:rPr>
              <w:t>www.proxyvote.com</w:t>
            </w:r>
            <w:r>
              <w:rPr>
                <w:rFonts w:ascii="Arial" w:cs="Arial" w:eastAsia="Arial" w:hAnsi="Arial"/>
                <w:sz w:val="16"/>
                <w:szCs w:val="16"/>
                <w:color w:val="auto"/>
              </w:rPr>
              <w:t>.</w:t>
            </w:r>
          </w:p>
        </w:tc>
        <w:tc>
          <w:tcPr>
            <w:tcW w:w="440" w:type="dxa"/>
            <w:vAlign w:val="bottom"/>
            <w:tcBorders>
              <w:right w:val="single" w:sz="8" w:color="62259D"/>
            </w:tcBorders>
          </w:tcPr>
          <w:p>
            <w:pPr>
              <w:spacing w:after="0"/>
              <w:rPr>
                <w:sz w:val="18"/>
                <w:szCs w:val="18"/>
                <w:color w:val="auto"/>
              </w:rPr>
            </w:pPr>
          </w:p>
        </w:tc>
        <w:tc>
          <w:tcPr>
            <w:tcW w:w="1300" w:type="dxa"/>
            <w:vAlign w:val="bottom"/>
          </w:tcPr>
          <w:p>
            <w:pPr>
              <w:spacing w:after="0"/>
              <w:rPr>
                <w:sz w:val="18"/>
                <w:szCs w:val="18"/>
                <w:color w:val="auto"/>
              </w:rPr>
            </w:pPr>
          </w:p>
        </w:tc>
      </w:tr>
      <w:tr>
        <w:trPr>
          <w:trHeight w:val="69"/>
        </w:trPr>
        <w:tc>
          <w:tcPr>
            <w:tcW w:w="1300" w:type="dxa"/>
            <w:vAlign w:val="bottom"/>
            <w:tcBorders>
              <w:right w:val="single" w:sz="8" w:color="62259D"/>
            </w:tcBorders>
          </w:tcPr>
          <w:p>
            <w:pPr>
              <w:spacing w:after="0"/>
              <w:rPr>
                <w:sz w:val="6"/>
                <w:szCs w:val="6"/>
                <w:color w:val="auto"/>
              </w:rPr>
            </w:pPr>
          </w:p>
        </w:tc>
        <w:tc>
          <w:tcPr>
            <w:tcW w:w="420" w:type="dxa"/>
            <w:vAlign w:val="bottom"/>
            <w:tcBorders>
              <w:bottom w:val="single" w:sz="8" w:color="62259D"/>
            </w:tcBorders>
          </w:tcPr>
          <w:p>
            <w:pPr>
              <w:spacing w:after="0"/>
              <w:rPr>
                <w:sz w:val="6"/>
                <w:szCs w:val="6"/>
                <w:color w:val="auto"/>
              </w:rPr>
            </w:pPr>
          </w:p>
        </w:tc>
        <w:tc>
          <w:tcPr>
            <w:tcW w:w="7700" w:type="dxa"/>
            <w:vAlign w:val="bottom"/>
            <w:tcBorders>
              <w:bottom w:val="single" w:sz="8" w:color="62259D"/>
              <w:right w:val="single" w:sz="8" w:color="62259D"/>
            </w:tcBorders>
            <w:gridSpan w:val="2"/>
          </w:tcPr>
          <w:p>
            <w:pPr>
              <w:spacing w:after="0"/>
              <w:rPr>
                <w:sz w:val="6"/>
                <w:szCs w:val="6"/>
                <w:color w:val="auto"/>
              </w:rPr>
            </w:pPr>
          </w:p>
        </w:tc>
        <w:tc>
          <w:tcPr>
            <w:tcW w:w="1300" w:type="dxa"/>
            <w:vAlign w:val="bottom"/>
          </w:tcPr>
          <w:p>
            <w:pPr>
              <w:spacing w:after="0"/>
              <w:rPr>
                <w:sz w:val="6"/>
                <w:szCs w:val="6"/>
                <w:color w:val="auto"/>
              </w:rPr>
            </w:pPr>
          </w:p>
        </w:tc>
      </w:tr>
      <w:tr>
        <w:trPr>
          <w:trHeight w:val="424"/>
        </w:trPr>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0" w:type="dxa"/>
            <w:vAlign w:val="bottom"/>
            <w:gridSpan w:val="3"/>
          </w:tcPr>
          <w:p>
            <w:pPr>
              <w:ind w:left="354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i</w:t>
            </w:r>
          </w:p>
        </w:tc>
      </w:tr>
      <w:tr>
        <w:trPr>
          <w:trHeight w:val="238"/>
        </w:trPr>
        <w:tc>
          <w:tcPr>
            <w:tcW w:w="130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7260" w:type="dxa"/>
            <w:vAlign w:val="bottom"/>
            <w:tcBorders>
              <w:bottom w:val="single" w:sz="8" w:color="9A9A9A"/>
            </w:tcBorders>
          </w:tcPr>
          <w:p>
            <w:pPr>
              <w:spacing w:after="0"/>
              <w:rPr>
                <w:sz w:val="20"/>
                <w:szCs w:val="20"/>
                <w:color w:val="auto"/>
              </w:rPr>
            </w:pPr>
          </w:p>
        </w:tc>
        <w:tc>
          <w:tcPr>
            <w:tcW w:w="4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20"/>
        <w:spacing w:after="0"/>
        <w:tabs>
          <w:tab w:leader="none" w:pos="95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-118110</wp:posOffset>
            </wp:positionV>
            <wp:extent cx="5623560" cy="6009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23560" cy="6009005"/>
                    </a:xfrm>
                    <a:prstGeom prst="rect">
                      <a:avLst/>
                    </a:prstGeom>
                    <a:noFill/>
                  </pic:spPr>
                </pic:pic>
              </a:graphicData>
            </a:graphic>
          </wp:anchor>
        </w:drawing>
      </w:r>
    </w:p>
    <w:p>
      <w:pPr>
        <w:spacing w:after="0" w:line="31" w:lineRule="exact"/>
        <w:rPr>
          <w:sz w:val="20"/>
          <w:szCs w:val="20"/>
          <w:color w:val="auto"/>
        </w:rPr>
      </w:pPr>
    </w:p>
    <w:p>
      <w:pPr>
        <w:ind w:left="1140"/>
        <w:spacing w:after="0"/>
        <w:rPr>
          <w:sz w:val="20"/>
          <w:szCs w:val="20"/>
          <w:color w:val="auto"/>
        </w:rPr>
      </w:pPr>
      <w:r>
        <w:rPr>
          <w:rFonts w:ascii="Arial" w:cs="Arial" w:eastAsia="Arial" w:hAnsi="Arial"/>
          <w:sz w:val="29"/>
          <w:szCs w:val="29"/>
          <w:color w:val="62259D"/>
        </w:rPr>
        <w:t>Cautionary Note Regarding Forward-Looking Statements</w:t>
      </w:r>
    </w:p>
    <w:p>
      <w:pPr>
        <w:spacing w:after="0" w:line="149" w:lineRule="exact"/>
        <w:rPr>
          <w:sz w:val="20"/>
          <w:szCs w:val="20"/>
          <w:color w:val="auto"/>
        </w:rPr>
      </w:pPr>
    </w:p>
    <w:p>
      <w:pPr>
        <w:ind w:left="1140" w:right="339"/>
        <w:spacing w:after="0" w:line="246" w:lineRule="auto"/>
        <w:rPr>
          <w:sz w:val="20"/>
          <w:szCs w:val="20"/>
          <w:color w:val="auto"/>
        </w:rPr>
      </w:pPr>
      <w:r>
        <w:rPr>
          <w:rFonts w:ascii="Arial" w:cs="Arial" w:eastAsia="Arial" w:hAnsi="Arial"/>
          <w:sz w:val="17"/>
          <w:szCs w:val="17"/>
          <w:color w:val="auto"/>
        </w:rPr>
        <w:t>This proxy statement (this “Proxy Statement”) contains “forward -looking statements” within the meaning of the U.S. Private Securities Litigation Reform Act of 1995, which are subject to a number of risks and uncertainties. All statements other than statements of historical facts contained in this proxy statement, including without limitation statements regarding projected financial results, customer engagement and momentum, and plans for future product development and manufacturing, are forward-looking statements. Without limiting the foregoing, the words “believes,” “estimates,” “expects,” “expectations,” “intends,” “may,” “plans,” “projects” and other similar language, are intended to identify forward-looking statements.</w:t>
      </w:r>
    </w:p>
    <w:p>
      <w:pPr>
        <w:spacing w:after="0" w:line="109" w:lineRule="exact"/>
        <w:rPr>
          <w:sz w:val="20"/>
          <w:szCs w:val="20"/>
          <w:color w:val="auto"/>
        </w:rPr>
      </w:pPr>
    </w:p>
    <w:p>
      <w:pPr>
        <w:ind w:left="1140" w:right="319"/>
        <w:spacing w:after="0" w:line="242"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unknown and/or difficult to predict and that may cause our actual results, performance or achievements to be materially different from those expressed or implied by the forward-looking statements. Such risks and uncertainties include, but are not limited to, unpredictable fluctuations in quarterly revenue and operating results; the impact of restructuring and cost- containment activities; delayed purchases by U.S. federal customers as a result of a new or prolonged U.S. government shutdown; increases in tariffs, trade restrictions or taxes on our products; supply chain disruptions resulting from component availability and/or geopolitical instabilities and disputes (including those related to the wars in the Middle East and Ukraine); material litigation; the impact of fluctuations in interest rates; material cybersecurity and data intrusion incidents, including any security breaches resulting in the theft, transfer, or unauthorized disclosure of customer, employee, or company information such as the incident that occurred in 2025 related to a nation-state actor gaining access to the Company’s IT network, which was subsequently contained and remediated successfully; our ability to comply with applicable domestic and foreign information security and privacy laws, regulations and technology platform rules or other obligations related to data privacy and security; failure to compete successfully against telecommunications equipment and networking companies; failure to grow our customer base or generate recurring business from our existing customers; credit risks; the timing of customer purchasing decisions and our recognition of revenues; macroeconomic conditions, including inflation; our ability to adapt to rapid technological and market changes; our ability to generate positive returns on our research and development; our ability to protect our intellectual property rights and obtain necessary licenses; our ability to maintain partner, reseller, distribution and vendor support and supply relationships; the potential for defects in our products; risks related to the terms of our credit agreement; higher risks in international operations and markets; currency fluctuations; unanticipated adverse changes in legal, regulatory or tax laws; future accounting pronouncements or changes in our accounting policies; and/or failure or circumvention of our controls and procedures. We therefore caution you against relying on any of these forward-looking statements.</w:t>
      </w:r>
    </w:p>
    <w:p>
      <w:pPr>
        <w:spacing w:after="0" w:line="329" w:lineRule="exact"/>
        <w:rPr>
          <w:sz w:val="20"/>
          <w:szCs w:val="20"/>
          <w:color w:val="auto"/>
        </w:rPr>
      </w:pPr>
    </w:p>
    <w:p>
      <w:pPr>
        <w:ind w:left="1140" w:right="399"/>
        <w:spacing w:after="0" w:line="253" w:lineRule="auto"/>
        <w:rPr>
          <w:sz w:val="20"/>
          <w:szCs w:val="20"/>
          <w:color w:val="auto"/>
        </w:rPr>
      </w:pPr>
      <w:r>
        <w:rPr>
          <w:rFonts w:ascii="Arial" w:cs="Arial" w:eastAsia="Arial" w:hAnsi="Arial"/>
          <w:sz w:val="17"/>
          <w:szCs w:val="17"/>
          <w:color w:val="auto"/>
        </w:rPr>
        <w:t>Additional information regarding these and other factors can be found in our reports filed with the Securities and Exchange Commission (the “SEC”), including, without limitation, our Form 10-K for the year ended December 31, 2025 (the “2025 Annual Report”). In providing forward-looking statements, we expressly disclaim any obligation to update these statements publicly or otherwise, whether as a result of new information, future events or otherwise, except as required by law.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ii</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E7417A"/>
            </w:tcBorders>
          </w:tcPr>
          <w:p>
            <w:pPr>
              <w:spacing w:after="0"/>
              <w:rPr>
                <w:sz w:val="20"/>
                <w:szCs w:val="20"/>
                <w:color w:val="auto"/>
              </w:rPr>
            </w:pPr>
            <w:r>
              <w:rPr>
                <w:rFonts w:ascii="Arial" w:cs="Arial" w:eastAsia="Arial" w:hAnsi="Arial"/>
                <w:sz w:val="13"/>
                <w:szCs w:val="13"/>
                <w:b w:val="1"/>
                <w:bCs w:val="1"/>
                <w:color w:val="9166BA"/>
              </w:rPr>
              <w:t>​</w:t>
            </w:r>
          </w:p>
        </w:tc>
        <w:tc>
          <w:tcPr>
            <w:tcW w:w="840" w:type="dxa"/>
            <w:vAlign w:val="bottom"/>
            <w:tcBorders>
              <w:bottom w:val="single" w:sz="8" w:color="E7417A"/>
            </w:tcBorders>
          </w:tcPr>
          <w:p>
            <w:pPr>
              <w:ind w:left="38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40" w:type="dxa"/>
            <w:vAlign w:val="bottom"/>
          </w:tcPr>
          <w:p>
            <w:pPr>
              <w:spacing w:after="0"/>
              <w:rPr>
                <w:sz w:val="20"/>
                <w:szCs w:val="20"/>
                <w:color w:val="auto"/>
              </w:rPr>
            </w:pPr>
            <w:r>
              <w:rPr>
                <w:rFonts w:ascii="Arial" w:cs="Arial" w:eastAsia="Arial" w:hAnsi="Arial"/>
                <w:sz w:val="13"/>
                <w:szCs w:val="13"/>
                <w:b w:val="1"/>
                <w:bCs w:val="1"/>
                <w:color w:val="9166BA"/>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9166BA"/>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SUMMARY INFORMATION</w:t>
      </w:r>
    </w:p>
    <w:p>
      <w:pPr>
        <w:spacing w:after="0" w:line="124" w:lineRule="exact"/>
        <w:rPr>
          <w:sz w:val="20"/>
          <w:szCs w:val="20"/>
          <w:color w:val="auto"/>
        </w:rPr>
      </w:pPr>
    </w:p>
    <w:p>
      <w:pPr>
        <w:ind w:left="920" w:right="179"/>
        <w:spacing w:after="0" w:line="247" w:lineRule="auto"/>
        <w:rPr>
          <w:sz w:val="20"/>
          <w:szCs w:val="20"/>
          <w:color w:val="auto"/>
        </w:rPr>
      </w:pPr>
      <w:r>
        <w:rPr>
          <w:rFonts w:ascii="Arial" w:cs="Arial" w:eastAsia="Arial" w:hAnsi="Arial"/>
          <w:sz w:val="18"/>
          <w:szCs w:val="18"/>
          <w:color w:val="auto"/>
        </w:rPr>
        <w:t>To assist you in reviewing the proposals to be acted upon at our 2026 Annual Meeting of stockholders (the “2026 Annual Meeting”), we would like to call your attention to the following summary information about Ribbon, our 2025 business and financial highlights and corporate governance highlights. It does not include all information necessary to make a voting decision, and you should read this Proxy Statement in its entirety before casting your vote.</w:t>
      </w:r>
    </w:p>
    <w:p>
      <w:pPr>
        <w:spacing w:after="0" w:line="69" w:lineRule="exact"/>
        <w:rPr>
          <w:sz w:val="20"/>
          <w:szCs w:val="20"/>
          <w:color w:val="auto"/>
        </w:rPr>
      </w:pPr>
    </w:p>
    <w:p>
      <w:pPr>
        <w:jc w:val="both"/>
        <w:ind w:left="920" w:right="1099"/>
        <w:spacing w:after="0" w:line="261" w:lineRule="auto"/>
        <w:rPr>
          <w:sz w:val="20"/>
          <w:szCs w:val="20"/>
          <w:color w:val="auto"/>
        </w:rPr>
      </w:pPr>
      <w:r>
        <w:rPr>
          <w:rFonts w:ascii="Arial" w:cs="Arial" w:eastAsia="Arial" w:hAnsi="Arial"/>
          <w:sz w:val="18"/>
          <w:szCs w:val="18"/>
          <w:color w:val="auto"/>
        </w:rPr>
        <w:t>Unless the content otherwise requires, references in this Proxy Statement to “Ribbon,” “Ribbon Communications,” “Company,” “we,” “us” and “our” refer to Ribbon Communications Inc. and its subsidiaries on a consolidated basis.</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2351405</wp:posOffset>
            </wp:positionH>
            <wp:positionV relativeFrom="paragraph">
              <wp:posOffset>112395</wp:posOffset>
            </wp:positionV>
            <wp:extent cx="2091690" cy="565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916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920" w:right="299"/>
        <w:spacing w:after="0" w:line="251" w:lineRule="auto"/>
        <w:rPr>
          <w:sz w:val="20"/>
          <w:szCs w:val="20"/>
          <w:color w:val="auto"/>
        </w:rPr>
      </w:pPr>
      <w:r>
        <w:rPr>
          <w:rFonts w:ascii="Arial" w:cs="Arial" w:eastAsia="Arial" w:hAnsi="Arial"/>
          <w:sz w:val="18"/>
          <w:szCs w:val="18"/>
          <w:color w:val="auto"/>
        </w:rPr>
        <w:t>We are a leading global provider of communications technology to service providers and enterprises. We provide a broad range of software and high-performance hardware products, network solutions, and services that enable the secure delivery of data and voice communications, and high-bandwidth networking and connectivity for residential consumers and for small, medium, and large enterprises and industry verticals such as finance, education, government, utilities, and transportation.</w:t>
      </w:r>
    </w:p>
    <w:p>
      <w:pPr>
        <w:spacing w:after="0" w:line="65" w:lineRule="exact"/>
        <w:rPr>
          <w:sz w:val="20"/>
          <w:szCs w:val="20"/>
          <w:color w:val="auto"/>
        </w:rPr>
      </w:pPr>
    </w:p>
    <w:p>
      <w:pPr>
        <w:ind w:left="920" w:right="139"/>
        <w:spacing w:after="0" w:line="248" w:lineRule="auto"/>
        <w:rPr>
          <w:sz w:val="20"/>
          <w:szCs w:val="20"/>
          <w:color w:val="auto"/>
        </w:rPr>
      </w:pPr>
      <w:r>
        <w:rPr>
          <w:rFonts w:ascii="Arial" w:cs="Arial" w:eastAsia="Arial" w:hAnsi="Arial"/>
          <w:sz w:val="18"/>
          <w:szCs w:val="18"/>
          <w:color w:val="auto"/>
        </w:rPr>
        <w:t>Our mission is to create a recognized global technology leader that provides network solutions that are scalable, elastic and cloud -centric, enabling the secure exchange of information. We are at the intersection of the adoption of Artificial Intelligence (“AI”) by Service Providers and Enterprises addressing the rapid growth in fiber connectivity and integration of voice capabilities into Agentic AI platforms. We are headquartered in Plano, Texas, and have a global presence with research and development or sales and support locations in over 30 countries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140335</wp:posOffset>
            </wp:positionV>
            <wp:extent cx="5212080" cy="31546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315468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158115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E7417A"/>
            </w:tcBorders>
          </w:tcPr>
          <w:p>
            <w:pPr>
              <w:spacing w:after="0"/>
              <w:rPr>
                <w:sz w:val="20"/>
                <w:szCs w:val="20"/>
                <w:color w:val="auto"/>
              </w:rPr>
            </w:pPr>
            <w:r>
              <w:rPr>
                <w:rFonts w:ascii="Arial" w:cs="Arial" w:eastAsia="Arial" w:hAnsi="Arial"/>
                <w:sz w:val="13"/>
                <w:szCs w:val="13"/>
                <w:b w:val="1"/>
                <w:bCs w:val="1"/>
                <w:color w:val="9166BA"/>
              </w:rPr>
              <w:t>​</w:t>
            </w:r>
          </w:p>
        </w:tc>
        <w:tc>
          <w:tcPr>
            <w:tcW w:w="840" w:type="dxa"/>
            <w:vAlign w:val="bottom"/>
            <w:tcBorders>
              <w:bottom w:val="single" w:sz="8" w:color="E7417A"/>
            </w:tcBorders>
          </w:tcPr>
          <w:p>
            <w:pPr>
              <w:ind w:left="38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40" w:type="dxa"/>
            <w:vAlign w:val="bottom"/>
          </w:tcPr>
          <w:p>
            <w:pPr>
              <w:spacing w:after="0"/>
              <w:rPr>
                <w:sz w:val="20"/>
                <w:szCs w:val="20"/>
                <w:color w:val="auto"/>
              </w:rPr>
            </w:pPr>
            <w:r>
              <w:rPr>
                <w:rFonts w:ascii="Arial" w:cs="Arial" w:eastAsia="Arial" w:hAnsi="Arial"/>
                <w:sz w:val="13"/>
                <w:szCs w:val="13"/>
                <w:b w:val="1"/>
                <w:bCs w:val="1"/>
                <w:color w:val="9166BA"/>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9166BA"/>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4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2025 Key Statistics</w:t>
      </w:r>
      <w:r>
        <w:rPr>
          <w:rFonts w:ascii="Arial" w:cs="Arial" w:eastAsia="Arial" w:hAnsi="Arial"/>
          <w:sz w:val="53"/>
          <w:szCs w:val="53"/>
          <w:b w:val="1"/>
          <w:bCs w:val="1"/>
          <w:color w:val="E7417A"/>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120015</wp:posOffset>
            </wp:positionV>
            <wp:extent cx="5212080" cy="25292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40"/>
        <w:spacing w:after="0"/>
        <w:tabs>
          <w:tab w:leader="none" w:pos="1380" w:val="left"/>
        </w:tabs>
        <w:rPr>
          <w:sz w:val="20"/>
          <w:szCs w:val="20"/>
          <w:color w:val="auto"/>
        </w:rPr>
      </w:pPr>
      <w:r>
        <w:rPr>
          <w:rFonts w:ascii="Arial" w:cs="Arial" w:eastAsia="Arial" w:hAnsi="Arial"/>
          <w:sz w:val="16"/>
          <w:szCs w:val="16"/>
          <w:color w:val="auto"/>
        </w:rPr>
        <w:t>(1)</w:t>
        <w:tab/>
        <w:t>See Appendix A for reconciliations of non-GAAP measures</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Embracing AI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180975</wp:posOffset>
            </wp:positionV>
            <wp:extent cx="5469255" cy="27857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69255" cy="27857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E7417A"/>
            </w:tcBorders>
          </w:tcPr>
          <w:p>
            <w:pPr>
              <w:spacing w:after="0"/>
              <w:rPr>
                <w:sz w:val="20"/>
                <w:szCs w:val="20"/>
                <w:color w:val="auto"/>
              </w:rPr>
            </w:pPr>
            <w:r>
              <w:rPr>
                <w:rFonts w:ascii="Arial" w:cs="Arial" w:eastAsia="Arial" w:hAnsi="Arial"/>
                <w:sz w:val="13"/>
                <w:szCs w:val="13"/>
                <w:b w:val="1"/>
                <w:bCs w:val="1"/>
                <w:color w:val="9166BA"/>
              </w:rPr>
              <w:t>​</w:t>
            </w:r>
          </w:p>
        </w:tc>
        <w:tc>
          <w:tcPr>
            <w:tcW w:w="840" w:type="dxa"/>
            <w:vAlign w:val="bottom"/>
            <w:tcBorders>
              <w:bottom w:val="single" w:sz="8" w:color="E7417A"/>
            </w:tcBorders>
          </w:tcPr>
          <w:p>
            <w:pPr>
              <w:ind w:left="38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40" w:type="dxa"/>
            <w:vAlign w:val="bottom"/>
          </w:tcPr>
          <w:p>
            <w:pPr>
              <w:spacing w:after="0"/>
              <w:rPr>
                <w:sz w:val="20"/>
                <w:szCs w:val="20"/>
                <w:color w:val="auto"/>
              </w:rPr>
            </w:pPr>
            <w:r>
              <w:rPr>
                <w:rFonts w:ascii="Arial" w:cs="Arial" w:eastAsia="Arial" w:hAnsi="Arial"/>
                <w:sz w:val="13"/>
                <w:szCs w:val="13"/>
                <w:b w:val="1"/>
                <w:bCs w:val="1"/>
                <w:color w:val="9166BA"/>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9166BA"/>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Executive Compensation</w:t>
      </w:r>
    </w:p>
    <w:p>
      <w:pPr>
        <w:spacing w:after="0" w:line="118" w:lineRule="exact"/>
        <w:rPr>
          <w:sz w:val="20"/>
          <w:szCs w:val="20"/>
          <w:color w:val="auto"/>
        </w:rPr>
      </w:pPr>
    </w:p>
    <w:p>
      <w:pPr>
        <w:ind w:left="920" w:right="139"/>
        <w:spacing w:after="0" w:line="261" w:lineRule="auto"/>
        <w:rPr>
          <w:sz w:val="20"/>
          <w:szCs w:val="20"/>
          <w:color w:val="auto"/>
        </w:rPr>
      </w:pPr>
      <w:r>
        <w:rPr>
          <w:rFonts w:ascii="Arial" w:cs="Arial" w:eastAsia="Arial" w:hAnsi="Arial"/>
          <w:sz w:val="18"/>
          <w:szCs w:val="18"/>
          <w:color w:val="auto"/>
        </w:rPr>
        <w:t>The philosophy behind our executive compensation program is to promote alignment of the interests of our executive officers with the interests of our stockholders. The key factors considered in the creation of our compensation programs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63500</wp:posOffset>
            </wp:positionV>
            <wp:extent cx="5580380" cy="11315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038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920" w:right="179"/>
        <w:spacing w:after="0" w:line="252" w:lineRule="auto"/>
        <w:rPr>
          <w:sz w:val="20"/>
          <w:szCs w:val="20"/>
          <w:color w:val="auto"/>
        </w:rPr>
      </w:pPr>
      <w:r>
        <w:rPr>
          <w:rFonts w:ascii="Arial" w:cs="Arial" w:eastAsia="Arial" w:hAnsi="Arial"/>
          <w:sz w:val="18"/>
          <w:szCs w:val="18"/>
          <w:color w:val="auto"/>
        </w:rPr>
        <w:t>We believe that our executive compensation program supports our business strategies and talent management objectives and is consistent with sound governance practices that are intended to best serve our stockholders’ long-term interests. The targeted components of the named executive officers’ (“NEOs”) compensation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77470</wp:posOffset>
            </wp:positionV>
            <wp:extent cx="3257550" cy="1859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755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920" w:right="4679"/>
        <w:spacing w:after="0" w:line="253" w:lineRule="auto"/>
        <w:rPr>
          <w:sz w:val="20"/>
          <w:szCs w:val="20"/>
          <w:color w:val="auto"/>
        </w:rPr>
      </w:pPr>
      <w:r>
        <w:rPr>
          <w:rFonts w:ascii="Arial" w:cs="Arial" w:eastAsia="Arial" w:hAnsi="Arial"/>
          <w:sz w:val="18"/>
          <w:szCs w:val="18"/>
          <w:color w:val="auto"/>
        </w:rPr>
        <w:t>In making its compensation decisions for 2025, the Compensation Committee considered,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-403225</wp:posOffset>
            </wp:positionV>
            <wp:extent cx="2562860" cy="1619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1619885"/>
                    </a:xfrm>
                    <a:prstGeom prst="rect">
                      <a:avLst/>
                    </a:prstGeom>
                    <a:noFill/>
                  </pic:spPr>
                </pic:pic>
              </a:graphicData>
            </a:graphic>
          </wp:anchor>
        </w:drawing>
      </w:r>
    </w:p>
    <w:p>
      <w:pPr>
        <w:spacing w:after="0" w:line="54" w:lineRule="exact"/>
        <w:rPr>
          <w:sz w:val="20"/>
          <w:szCs w:val="20"/>
          <w:color w:val="auto"/>
        </w:rPr>
      </w:pPr>
    </w:p>
    <w:p>
      <w:pPr>
        <w:ind w:left="1280" w:right="5059" w:hanging="356"/>
        <w:spacing w:after="0" w:line="271" w:lineRule="auto"/>
        <w:tabs>
          <w:tab w:leader="none" w:pos="1280" w:val="left"/>
        </w:tabs>
        <w:numPr>
          <w:ilvl w:val="0"/>
          <w:numId w:val="8"/>
        </w:numPr>
        <w:rPr>
          <w:rFonts w:ascii="Arial" w:cs="Arial" w:eastAsia="Arial" w:hAnsi="Arial"/>
          <w:sz w:val="18"/>
          <w:szCs w:val="18"/>
          <w:color w:val="62259D"/>
        </w:rPr>
      </w:pPr>
      <w:r>
        <w:rPr>
          <w:rFonts w:ascii="Arial" w:cs="Arial" w:eastAsia="Arial" w:hAnsi="Arial"/>
          <w:sz w:val="18"/>
          <w:szCs w:val="18"/>
          <w:color w:val="auto"/>
        </w:rPr>
        <w:t>our financial and operational results for the year,</w:t>
      </w:r>
    </w:p>
    <w:p>
      <w:pPr>
        <w:spacing w:after="0" w:line="18" w:lineRule="exact"/>
        <w:rPr>
          <w:rFonts w:ascii="Arial" w:cs="Arial" w:eastAsia="Arial" w:hAnsi="Arial"/>
          <w:sz w:val="18"/>
          <w:szCs w:val="18"/>
          <w:color w:val="62259D"/>
        </w:rPr>
      </w:pPr>
    </w:p>
    <w:p>
      <w:pPr>
        <w:ind w:left="1280" w:right="4919" w:hanging="356"/>
        <w:spacing w:after="0" w:line="271" w:lineRule="auto"/>
        <w:tabs>
          <w:tab w:leader="none" w:pos="1280" w:val="left"/>
        </w:tabs>
        <w:numPr>
          <w:ilvl w:val="0"/>
          <w:numId w:val="8"/>
        </w:numPr>
        <w:rPr>
          <w:rFonts w:ascii="Arial" w:cs="Arial" w:eastAsia="Arial" w:hAnsi="Arial"/>
          <w:sz w:val="18"/>
          <w:szCs w:val="18"/>
          <w:color w:val="62259D"/>
        </w:rPr>
      </w:pPr>
      <w:r>
        <w:rPr>
          <w:rFonts w:ascii="Arial" w:cs="Arial" w:eastAsia="Arial" w:hAnsi="Arial"/>
          <w:sz w:val="18"/>
          <w:szCs w:val="18"/>
          <w:color w:val="auto"/>
        </w:rPr>
        <w:t>the result of the say-on-pay vote at our 2025 annual meeting of stockholders, and</w:t>
      </w:r>
    </w:p>
    <w:p>
      <w:pPr>
        <w:spacing w:after="0" w:line="18" w:lineRule="exact"/>
        <w:rPr>
          <w:rFonts w:ascii="Arial" w:cs="Arial" w:eastAsia="Arial" w:hAnsi="Arial"/>
          <w:sz w:val="18"/>
          <w:szCs w:val="18"/>
          <w:color w:val="62259D"/>
        </w:rPr>
      </w:pPr>
    </w:p>
    <w:p>
      <w:pPr>
        <w:ind w:left="1280" w:right="4639" w:hanging="356"/>
        <w:spacing w:after="0" w:line="271" w:lineRule="auto"/>
        <w:tabs>
          <w:tab w:leader="none" w:pos="1280" w:val="left"/>
        </w:tabs>
        <w:numPr>
          <w:ilvl w:val="0"/>
          <w:numId w:val="8"/>
        </w:numPr>
        <w:rPr>
          <w:rFonts w:ascii="Arial" w:cs="Arial" w:eastAsia="Arial" w:hAnsi="Arial"/>
          <w:sz w:val="18"/>
          <w:szCs w:val="18"/>
          <w:color w:val="62259D"/>
        </w:rPr>
      </w:pPr>
      <w:r>
        <w:rPr>
          <w:rFonts w:ascii="Arial" w:cs="Arial" w:eastAsia="Arial" w:hAnsi="Arial"/>
          <w:sz w:val="18"/>
          <w:szCs w:val="18"/>
          <w:color w:val="auto"/>
        </w:rPr>
        <w:t>the achievement of the compensation objectives set by the Compensation Committee.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E7417A"/>
            </w:tcBorders>
          </w:tcPr>
          <w:p>
            <w:pPr>
              <w:spacing w:after="0"/>
              <w:rPr>
                <w:sz w:val="20"/>
                <w:szCs w:val="20"/>
                <w:color w:val="auto"/>
              </w:rPr>
            </w:pPr>
            <w:r>
              <w:rPr>
                <w:rFonts w:ascii="Arial" w:cs="Arial" w:eastAsia="Arial" w:hAnsi="Arial"/>
                <w:sz w:val="13"/>
                <w:szCs w:val="13"/>
                <w:b w:val="1"/>
                <w:bCs w:val="1"/>
                <w:color w:val="9166BA"/>
              </w:rPr>
              <w:t>​</w:t>
            </w:r>
          </w:p>
        </w:tc>
        <w:tc>
          <w:tcPr>
            <w:tcW w:w="840" w:type="dxa"/>
            <w:vAlign w:val="bottom"/>
            <w:tcBorders>
              <w:bottom w:val="single" w:sz="8" w:color="E7417A"/>
            </w:tcBorders>
          </w:tcPr>
          <w:p>
            <w:pPr>
              <w:ind w:left="38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40" w:type="dxa"/>
            <w:vAlign w:val="bottom"/>
          </w:tcPr>
          <w:p>
            <w:pPr>
              <w:spacing w:after="0"/>
              <w:rPr>
                <w:sz w:val="20"/>
                <w:szCs w:val="20"/>
                <w:color w:val="auto"/>
              </w:rPr>
            </w:pPr>
            <w:r>
              <w:rPr>
                <w:rFonts w:ascii="Arial" w:cs="Arial" w:eastAsia="Arial" w:hAnsi="Arial"/>
                <w:sz w:val="13"/>
                <w:szCs w:val="13"/>
                <w:b w:val="1"/>
                <w:bCs w:val="1"/>
                <w:color w:val="9166BA"/>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9166BA"/>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Corporate Governance</w:t>
      </w:r>
    </w:p>
    <w:p>
      <w:pPr>
        <w:spacing w:after="0" w:line="118" w:lineRule="exact"/>
        <w:rPr>
          <w:sz w:val="20"/>
          <w:szCs w:val="20"/>
          <w:color w:val="auto"/>
        </w:rPr>
      </w:pPr>
    </w:p>
    <w:p>
      <w:pPr>
        <w:ind w:left="920" w:right="159"/>
        <w:spacing w:after="0" w:line="251" w:lineRule="auto"/>
        <w:rPr>
          <w:sz w:val="20"/>
          <w:szCs w:val="20"/>
          <w:color w:val="auto"/>
        </w:rPr>
      </w:pPr>
      <w:r>
        <w:rPr>
          <w:rFonts w:ascii="Arial" w:cs="Arial" w:eastAsia="Arial" w:hAnsi="Arial"/>
          <w:sz w:val="18"/>
          <w:szCs w:val="18"/>
          <w:color w:val="auto"/>
        </w:rPr>
        <w:t>Ribbon is committed to operating ethically, efficiently and inclusively. It has always been paramount to our way of doing business to act with the utmost integrity, honesty and transparency. Our commitment to ethical business practices guides us in our compliance with national and international laws and regulations and we believe strong corporate governance is critical to our long-term success. Highlights of our corporate governance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70485</wp:posOffset>
            </wp:positionV>
            <wp:extent cx="5623560" cy="240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23560" cy="2400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72" w:lineRule="exact"/>
        <w:rPr>
          <w:sz w:val="20"/>
          <w:szCs w:val="20"/>
          <w:color w:val="auto"/>
        </w:rPr>
      </w:pPr>
    </w:p>
    <w:tbl>
      <w:tblPr>
        <w:tblLayout w:type="fixed"/>
        <w:tblInd w:w="920" w:type="dxa"/>
        <w:tblCellMar>
          <w:top w:w="0" w:type="dxa"/>
          <w:left w:w="0" w:type="dxa"/>
          <w:bottom w:w="0" w:type="dxa"/>
          <w:right w:w="0" w:type="dxa"/>
        </w:tblCellMar>
      </w:tblPr>
      <w:tr>
        <w:trPr>
          <w:trHeight w:val="217"/>
        </w:trPr>
        <w:tc>
          <w:tcPr>
            <w:tcW w:w="3780" w:type="dxa"/>
            <w:vAlign w:val="bottom"/>
          </w:tcPr>
          <w:p>
            <w:pPr>
              <w:ind w:left="60"/>
              <w:spacing w:after="0"/>
              <w:rPr>
                <w:sz w:val="20"/>
                <w:szCs w:val="20"/>
                <w:color w:val="auto"/>
              </w:rPr>
            </w:pPr>
            <w:r>
              <w:rPr>
                <w:rFonts w:ascii="Arial" w:cs="Arial" w:eastAsia="Arial" w:hAnsi="Arial"/>
                <w:sz w:val="16"/>
                <w:szCs w:val="16"/>
                <w:b w:val="1"/>
                <w:bCs w:val="1"/>
                <w:color w:val="FEFEFE"/>
              </w:rPr>
              <w:t>​</w:t>
            </w:r>
          </w:p>
        </w:tc>
        <w:tc>
          <w:tcPr>
            <w:tcW w:w="4600" w:type="dxa"/>
            <w:vAlign w:val="bottom"/>
            <w:gridSpan w:val="3"/>
          </w:tcPr>
          <w:p>
            <w:pPr>
              <w:ind w:left="40"/>
              <w:spacing w:after="0"/>
              <w:rPr>
                <w:sz w:val="20"/>
                <w:szCs w:val="20"/>
                <w:color w:val="auto"/>
              </w:rPr>
            </w:pPr>
            <w:r>
              <w:rPr>
                <w:rFonts w:ascii="Arial" w:cs="Arial" w:eastAsia="Arial" w:hAnsi="Arial"/>
                <w:sz w:val="16"/>
                <w:szCs w:val="16"/>
                <w:b w:val="1"/>
                <w:bCs w:val="1"/>
                <w:color w:val="FEFEFE"/>
              </w:rPr>
              <w:t>Best Practices</w:t>
            </w:r>
          </w:p>
        </w:tc>
        <w:tc>
          <w:tcPr>
            <w:tcW w:w="0" w:type="dxa"/>
            <w:vAlign w:val="bottom"/>
          </w:tcPr>
          <w:p>
            <w:pPr>
              <w:spacing w:after="0"/>
              <w:rPr>
                <w:sz w:val="1"/>
                <w:szCs w:val="1"/>
                <w:color w:val="auto"/>
              </w:rPr>
            </w:pPr>
          </w:p>
        </w:tc>
      </w:tr>
      <w:tr>
        <w:trPr>
          <w:trHeight w:val="229"/>
        </w:trPr>
        <w:tc>
          <w:tcPr>
            <w:tcW w:w="3780" w:type="dxa"/>
            <w:vAlign w:val="bottom"/>
            <w:shd w:val="clear" w:color="auto" w:fill="F2F2F2"/>
          </w:tcPr>
          <w:p>
            <w:pPr>
              <w:spacing w:after="0"/>
              <w:rPr>
                <w:sz w:val="20"/>
                <w:szCs w:val="20"/>
                <w:color w:val="auto"/>
              </w:rPr>
            </w:pPr>
            <w:r>
              <w:rPr>
                <w:rFonts w:ascii="Arial" w:cs="Arial" w:eastAsia="Arial" w:hAnsi="Arial"/>
                <w:sz w:val="26"/>
                <w:szCs w:val="26"/>
                <w:color w:val="auto"/>
                <w:vertAlign w:val="superscript"/>
              </w:rPr>
              <w:t>​</w:t>
            </w:r>
            <w:r>
              <w:rPr>
                <w:rFonts w:ascii="Arial" w:cs="Arial" w:eastAsia="Arial" w:hAnsi="Arial"/>
                <w:sz w:val="16"/>
                <w:szCs w:val="16"/>
                <w:color w:val="auto"/>
              </w:rPr>
              <w:t>Six of nine current directors are independent</w:t>
            </w:r>
          </w:p>
        </w:tc>
        <w:tc>
          <w:tcPr>
            <w:tcW w:w="500" w:type="dxa"/>
            <w:vAlign w:val="bottom"/>
            <w:shd w:val="clear" w:color="auto" w:fill="F2F2F2"/>
          </w:tcPr>
          <w:p>
            <w:pPr>
              <w:spacing w:after="0"/>
              <w:rPr>
                <w:sz w:val="19"/>
                <w:szCs w:val="19"/>
                <w:color w:val="auto"/>
              </w:rPr>
            </w:pPr>
          </w:p>
        </w:tc>
        <w:tc>
          <w:tcPr>
            <w:tcW w:w="160" w:type="dxa"/>
            <w:vAlign w:val="bottom"/>
            <w:tcBorders>
              <w:right w:val="single" w:sz="8" w:color="FEFEFE"/>
            </w:tcBorders>
            <w:shd w:val="clear" w:color="auto" w:fill="F2F2F2"/>
          </w:tcPr>
          <w:p>
            <w:pPr>
              <w:ind w:left="40"/>
              <w:spacing w:after="0"/>
              <w:rPr>
                <w:sz w:val="20"/>
                <w:szCs w:val="20"/>
                <w:color w:val="auto"/>
              </w:rPr>
            </w:pPr>
            <w:r>
              <w:rPr>
                <w:rFonts w:ascii="Arial" w:cs="Arial" w:eastAsia="Arial" w:hAnsi="Arial"/>
                <w:sz w:val="16"/>
                <w:szCs w:val="16"/>
                <w:color w:val="auto"/>
              </w:rPr>
              <w:t>​</w:t>
            </w:r>
          </w:p>
        </w:tc>
        <w:tc>
          <w:tcPr>
            <w:tcW w:w="3940" w:type="dxa"/>
            <w:vAlign w:val="bottom"/>
          </w:tcPr>
          <w:p>
            <w:pPr>
              <w:spacing w:after="0"/>
              <w:rPr>
                <w:sz w:val="20"/>
                <w:szCs w:val="20"/>
                <w:color w:val="auto"/>
              </w:rPr>
            </w:pPr>
            <w:r>
              <w:rPr>
                <w:rFonts w:ascii="Arial" w:cs="Arial" w:eastAsia="Arial" w:hAnsi="Arial"/>
                <w:sz w:val="26"/>
                <w:szCs w:val="26"/>
                <w:color w:val="auto"/>
                <w:vertAlign w:val="superscript"/>
              </w:rPr>
              <w:t>​</w:t>
            </w:r>
            <w:r>
              <w:rPr>
                <w:rFonts w:ascii="Arial" w:cs="Arial" w:eastAsia="Arial" w:hAnsi="Arial"/>
                <w:sz w:val="16"/>
                <w:szCs w:val="16"/>
                <w:color w:val="auto"/>
              </w:rPr>
              <w:t>Annual review of CEO and other executive</w:t>
            </w:r>
          </w:p>
        </w:tc>
        <w:tc>
          <w:tcPr>
            <w:tcW w:w="0" w:type="dxa"/>
            <w:vAlign w:val="bottom"/>
          </w:tcPr>
          <w:p>
            <w:pPr>
              <w:spacing w:after="0"/>
              <w:rPr>
                <w:sz w:val="1"/>
                <w:szCs w:val="1"/>
                <w:color w:val="auto"/>
              </w:rPr>
            </w:pPr>
          </w:p>
        </w:tc>
      </w:tr>
      <w:tr>
        <w:trPr>
          <w:trHeight w:val="215"/>
        </w:trPr>
        <w:tc>
          <w:tcPr>
            <w:tcW w:w="3780" w:type="dxa"/>
            <w:vAlign w:val="bottom"/>
            <w:vMerge w:val="restart"/>
            <w:shd w:val="clear" w:color="auto" w:fill="F2F2F2"/>
          </w:tcPr>
          <w:p>
            <w:pPr>
              <w:ind w:left="420"/>
              <w:spacing w:after="0"/>
              <w:rPr>
                <w:sz w:val="20"/>
                <w:szCs w:val="20"/>
                <w:color w:val="auto"/>
              </w:rPr>
            </w:pPr>
            <w:r>
              <w:rPr>
                <w:rFonts w:ascii="Arial" w:cs="Arial" w:eastAsia="Arial" w:hAnsi="Arial"/>
                <w:sz w:val="16"/>
                <w:szCs w:val="16"/>
                <w:color w:val="auto"/>
              </w:rPr>
              <w:t>Majority voting for director elections</w:t>
            </w:r>
          </w:p>
        </w:tc>
        <w:tc>
          <w:tcPr>
            <w:tcW w:w="500" w:type="dxa"/>
            <w:vAlign w:val="bottom"/>
            <w:shd w:val="clear" w:color="auto" w:fill="F2F2F2"/>
          </w:tcPr>
          <w:p>
            <w:pPr>
              <w:spacing w:after="0"/>
              <w:rPr>
                <w:sz w:val="18"/>
                <w:szCs w:val="18"/>
                <w:color w:val="auto"/>
              </w:rPr>
            </w:pPr>
          </w:p>
        </w:tc>
        <w:tc>
          <w:tcPr>
            <w:tcW w:w="160" w:type="dxa"/>
            <w:vAlign w:val="bottom"/>
            <w:tcBorders>
              <w:right w:val="single" w:sz="8" w:color="FEFEFE"/>
            </w:tcBorders>
            <w:shd w:val="clear" w:color="auto" w:fill="F2F2F2"/>
          </w:tcPr>
          <w:p>
            <w:pPr>
              <w:spacing w:after="0"/>
              <w:rPr>
                <w:sz w:val="18"/>
                <w:szCs w:val="18"/>
                <w:color w:val="auto"/>
              </w:rPr>
            </w:pPr>
          </w:p>
        </w:tc>
        <w:tc>
          <w:tcPr>
            <w:tcW w:w="3940" w:type="dxa"/>
            <w:vAlign w:val="bottom"/>
          </w:tcPr>
          <w:p>
            <w:pPr>
              <w:ind w:left="420"/>
              <w:spacing w:after="0"/>
              <w:rPr>
                <w:sz w:val="20"/>
                <w:szCs w:val="20"/>
                <w:color w:val="auto"/>
              </w:rPr>
            </w:pPr>
            <w:r>
              <w:rPr>
                <w:rFonts w:ascii="Arial" w:cs="Arial" w:eastAsia="Arial" w:hAnsi="Arial"/>
                <w:sz w:val="16"/>
                <w:szCs w:val="16"/>
                <w:color w:val="auto"/>
              </w:rPr>
              <w:t>succession plans</w:t>
            </w:r>
          </w:p>
        </w:tc>
        <w:tc>
          <w:tcPr>
            <w:tcW w:w="0" w:type="dxa"/>
            <w:vAlign w:val="bottom"/>
          </w:tcPr>
          <w:p>
            <w:pPr>
              <w:spacing w:after="0"/>
              <w:rPr>
                <w:sz w:val="1"/>
                <w:szCs w:val="1"/>
                <w:color w:val="auto"/>
              </w:rPr>
            </w:pPr>
          </w:p>
        </w:tc>
      </w:tr>
      <w:tr>
        <w:trPr>
          <w:trHeight w:val="54"/>
        </w:trPr>
        <w:tc>
          <w:tcPr>
            <w:tcW w:w="3780" w:type="dxa"/>
            <w:vAlign w:val="bottom"/>
            <w:vMerge w:val="continue"/>
            <w:shd w:val="clear" w:color="auto" w:fill="F2F2F2"/>
          </w:tcPr>
          <w:p>
            <w:pPr>
              <w:spacing w:after="0"/>
              <w:rPr>
                <w:sz w:val="4"/>
                <w:szCs w:val="4"/>
                <w:color w:val="auto"/>
              </w:rPr>
            </w:pPr>
          </w:p>
        </w:tc>
        <w:tc>
          <w:tcPr>
            <w:tcW w:w="500" w:type="dxa"/>
            <w:vAlign w:val="bottom"/>
            <w:shd w:val="clear" w:color="auto" w:fill="F2F2F2"/>
          </w:tcPr>
          <w:p>
            <w:pPr>
              <w:spacing w:after="0"/>
              <w:rPr>
                <w:sz w:val="4"/>
                <w:szCs w:val="4"/>
                <w:color w:val="auto"/>
              </w:rPr>
            </w:pPr>
          </w:p>
        </w:tc>
        <w:tc>
          <w:tcPr>
            <w:tcW w:w="160" w:type="dxa"/>
            <w:vAlign w:val="bottom"/>
            <w:tcBorders>
              <w:right w:val="single" w:sz="8" w:color="FEFEFE"/>
            </w:tcBorders>
            <w:shd w:val="clear" w:color="auto" w:fill="F2F2F2"/>
          </w:tcPr>
          <w:p>
            <w:pPr>
              <w:spacing w:after="0"/>
              <w:rPr>
                <w:sz w:val="4"/>
                <w:szCs w:val="4"/>
                <w:color w:val="auto"/>
              </w:rPr>
            </w:pPr>
          </w:p>
        </w:tc>
        <w:tc>
          <w:tcPr>
            <w:tcW w:w="3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F2F2F2"/>
          </w:tcPr>
          <w:p>
            <w:pPr>
              <w:ind w:left="420"/>
              <w:spacing w:after="0"/>
              <w:rPr>
                <w:sz w:val="20"/>
                <w:szCs w:val="20"/>
                <w:color w:val="auto"/>
              </w:rPr>
            </w:pPr>
            <w:r>
              <w:rPr>
                <w:rFonts w:ascii="Arial" w:cs="Arial" w:eastAsia="Arial" w:hAnsi="Arial"/>
                <w:sz w:val="16"/>
                <w:szCs w:val="16"/>
                <w:color w:val="auto"/>
              </w:rPr>
              <w:t>No staggered Board</w:t>
            </w:r>
          </w:p>
        </w:tc>
        <w:tc>
          <w:tcPr>
            <w:tcW w:w="500" w:type="dxa"/>
            <w:vAlign w:val="bottom"/>
            <w:shd w:val="clear" w:color="auto" w:fill="F2F2F2"/>
          </w:tcPr>
          <w:p>
            <w:pPr>
              <w:spacing w:after="0"/>
              <w:rPr>
                <w:sz w:val="22"/>
                <w:szCs w:val="22"/>
                <w:color w:val="auto"/>
              </w:rPr>
            </w:pPr>
          </w:p>
        </w:tc>
        <w:tc>
          <w:tcPr>
            <w:tcW w:w="160" w:type="dxa"/>
            <w:vAlign w:val="bottom"/>
            <w:tcBorders>
              <w:right w:val="single" w:sz="8" w:color="FEFEFE"/>
            </w:tcBorders>
            <w:shd w:val="clear" w:color="auto" w:fill="F2F2F2"/>
          </w:tcPr>
          <w:p>
            <w:pPr>
              <w:spacing w:after="0"/>
              <w:rPr>
                <w:sz w:val="22"/>
                <w:szCs w:val="22"/>
                <w:color w:val="auto"/>
              </w:rPr>
            </w:pPr>
          </w:p>
        </w:tc>
        <w:tc>
          <w:tcPr>
            <w:tcW w:w="3940" w:type="dxa"/>
            <w:vAlign w:val="bottom"/>
          </w:tcPr>
          <w:p>
            <w:pPr>
              <w:ind w:left="420"/>
              <w:spacing w:after="0"/>
              <w:rPr>
                <w:sz w:val="20"/>
                <w:szCs w:val="20"/>
                <w:color w:val="auto"/>
              </w:rPr>
            </w:pPr>
            <w:r>
              <w:rPr>
                <w:rFonts w:ascii="Arial" w:cs="Arial" w:eastAsia="Arial" w:hAnsi="Arial"/>
                <w:sz w:val="16"/>
                <w:szCs w:val="16"/>
                <w:color w:val="auto"/>
              </w:rPr>
              <w:t>Code of Conduct applicable to Board</w:t>
            </w:r>
          </w:p>
        </w:tc>
        <w:tc>
          <w:tcPr>
            <w:tcW w:w="0" w:type="dxa"/>
            <w:vAlign w:val="bottom"/>
          </w:tcPr>
          <w:p>
            <w:pPr>
              <w:spacing w:after="0"/>
              <w:rPr>
                <w:sz w:val="1"/>
                <w:szCs w:val="1"/>
                <w:color w:val="auto"/>
              </w:rPr>
            </w:pPr>
          </w:p>
        </w:tc>
      </w:tr>
      <w:tr>
        <w:trPr>
          <w:trHeight w:val="204"/>
        </w:trPr>
        <w:tc>
          <w:tcPr>
            <w:tcW w:w="3780" w:type="dxa"/>
            <w:vAlign w:val="bottom"/>
            <w:shd w:val="clear" w:color="auto" w:fill="F2F2F2"/>
          </w:tcPr>
          <w:p>
            <w:pPr>
              <w:ind w:left="420"/>
              <w:spacing w:after="0"/>
              <w:rPr>
                <w:sz w:val="20"/>
                <w:szCs w:val="20"/>
                <w:color w:val="auto"/>
              </w:rPr>
            </w:pPr>
            <w:r>
              <w:rPr>
                <w:rFonts w:ascii="Arial" w:cs="Arial" w:eastAsia="Arial" w:hAnsi="Arial"/>
                <w:sz w:val="16"/>
                <w:szCs w:val="16"/>
                <w:color w:val="auto"/>
              </w:rPr>
              <w:t>Separate Chairman and CEO roles</w:t>
            </w:r>
          </w:p>
        </w:tc>
        <w:tc>
          <w:tcPr>
            <w:tcW w:w="500" w:type="dxa"/>
            <w:vAlign w:val="bottom"/>
            <w:shd w:val="clear" w:color="auto" w:fill="F2F2F2"/>
          </w:tcPr>
          <w:p>
            <w:pPr>
              <w:spacing w:after="0"/>
              <w:rPr>
                <w:sz w:val="17"/>
                <w:szCs w:val="17"/>
                <w:color w:val="auto"/>
              </w:rPr>
            </w:pPr>
          </w:p>
        </w:tc>
        <w:tc>
          <w:tcPr>
            <w:tcW w:w="160" w:type="dxa"/>
            <w:vAlign w:val="bottom"/>
            <w:tcBorders>
              <w:right w:val="single" w:sz="8" w:color="FEFEFE"/>
            </w:tcBorders>
            <w:shd w:val="clear" w:color="auto" w:fill="F2F2F2"/>
          </w:tcPr>
          <w:p>
            <w:pPr>
              <w:spacing w:after="0"/>
              <w:rPr>
                <w:sz w:val="17"/>
                <w:szCs w:val="17"/>
                <w:color w:val="auto"/>
              </w:rPr>
            </w:pPr>
          </w:p>
        </w:tc>
        <w:tc>
          <w:tcPr>
            <w:tcW w:w="3940" w:type="dxa"/>
            <w:vAlign w:val="bottom"/>
          </w:tcPr>
          <w:p>
            <w:pPr>
              <w:ind w:left="420"/>
              <w:spacing w:after="0"/>
              <w:rPr>
                <w:sz w:val="20"/>
                <w:szCs w:val="20"/>
                <w:color w:val="auto"/>
              </w:rPr>
            </w:pPr>
            <w:r>
              <w:rPr>
                <w:rFonts w:ascii="Arial" w:cs="Arial" w:eastAsia="Arial" w:hAnsi="Arial"/>
                <w:sz w:val="16"/>
                <w:szCs w:val="16"/>
                <w:color w:val="auto"/>
              </w:rPr>
              <w:t>Annual Board and committee self-assessments</w:t>
            </w:r>
          </w:p>
        </w:tc>
        <w:tc>
          <w:tcPr>
            <w:tcW w:w="0" w:type="dxa"/>
            <w:vAlign w:val="bottom"/>
          </w:tcPr>
          <w:p>
            <w:pPr>
              <w:spacing w:after="0"/>
              <w:rPr>
                <w:sz w:val="1"/>
                <w:szCs w:val="1"/>
                <w:color w:val="auto"/>
              </w:rPr>
            </w:pPr>
          </w:p>
        </w:tc>
      </w:tr>
      <w:tr>
        <w:trPr>
          <w:trHeight w:val="189"/>
        </w:trPr>
        <w:tc>
          <w:tcPr>
            <w:tcW w:w="3780" w:type="dxa"/>
            <w:vAlign w:val="bottom"/>
            <w:vMerge w:val="restart"/>
            <w:shd w:val="clear" w:color="auto" w:fill="F2F2F2"/>
          </w:tcPr>
          <w:p>
            <w:pPr>
              <w:ind w:left="420"/>
              <w:spacing w:after="0"/>
              <w:rPr>
                <w:sz w:val="20"/>
                <w:szCs w:val="20"/>
                <w:color w:val="auto"/>
              </w:rPr>
            </w:pPr>
            <w:r>
              <w:rPr>
                <w:rFonts w:ascii="Arial" w:cs="Arial" w:eastAsia="Arial" w:hAnsi="Arial"/>
                <w:sz w:val="16"/>
                <w:szCs w:val="16"/>
                <w:color w:val="auto"/>
              </w:rPr>
              <w:t>Lead independent director</w:t>
            </w:r>
          </w:p>
        </w:tc>
        <w:tc>
          <w:tcPr>
            <w:tcW w:w="500" w:type="dxa"/>
            <w:vAlign w:val="bottom"/>
            <w:shd w:val="clear" w:color="auto" w:fill="F2F2F2"/>
          </w:tcPr>
          <w:p>
            <w:pPr>
              <w:spacing w:after="0"/>
              <w:rPr>
                <w:sz w:val="16"/>
                <w:szCs w:val="16"/>
                <w:color w:val="auto"/>
              </w:rPr>
            </w:pPr>
          </w:p>
        </w:tc>
        <w:tc>
          <w:tcPr>
            <w:tcW w:w="160" w:type="dxa"/>
            <w:vAlign w:val="bottom"/>
            <w:tcBorders>
              <w:right w:val="single" w:sz="8" w:color="FEFEFE"/>
            </w:tcBorders>
            <w:shd w:val="clear" w:color="auto" w:fill="F2F2F2"/>
          </w:tcPr>
          <w:p>
            <w:pPr>
              <w:spacing w:after="0"/>
              <w:rPr>
                <w:sz w:val="16"/>
                <w:szCs w:val="16"/>
                <w:color w:val="auto"/>
              </w:rPr>
            </w:pPr>
          </w:p>
        </w:tc>
        <w:tc>
          <w:tcPr>
            <w:tcW w:w="3940" w:type="dxa"/>
            <w:vAlign w:val="bottom"/>
          </w:tcPr>
          <w:p>
            <w:pPr>
              <w:ind w:left="420"/>
              <w:spacing w:after="0"/>
              <w:rPr>
                <w:sz w:val="20"/>
                <w:szCs w:val="20"/>
                <w:color w:val="auto"/>
              </w:rPr>
            </w:pPr>
            <w:r>
              <w:rPr>
                <w:rFonts w:ascii="Arial" w:cs="Arial" w:eastAsia="Arial" w:hAnsi="Arial"/>
                <w:sz w:val="16"/>
                <w:szCs w:val="16"/>
                <w:color w:val="auto"/>
              </w:rPr>
              <w:t>Share ownership guidelines for directors and</w:t>
            </w:r>
          </w:p>
        </w:tc>
        <w:tc>
          <w:tcPr>
            <w:tcW w:w="0" w:type="dxa"/>
            <w:vAlign w:val="bottom"/>
          </w:tcPr>
          <w:p>
            <w:pPr>
              <w:spacing w:after="0"/>
              <w:rPr>
                <w:sz w:val="1"/>
                <w:szCs w:val="1"/>
                <w:color w:val="auto"/>
              </w:rPr>
            </w:pPr>
          </w:p>
        </w:tc>
      </w:tr>
      <w:tr>
        <w:trPr>
          <w:trHeight w:val="94"/>
        </w:trPr>
        <w:tc>
          <w:tcPr>
            <w:tcW w:w="3780" w:type="dxa"/>
            <w:vAlign w:val="bottom"/>
            <w:vMerge w:val="continue"/>
            <w:shd w:val="clear" w:color="auto" w:fill="F2F2F2"/>
          </w:tcPr>
          <w:p>
            <w:pPr>
              <w:spacing w:after="0"/>
              <w:rPr>
                <w:sz w:val="8"/>
                <w:szCs w:val="8"/>
                <w:color w:val="auto"/>
              </w:rPr>
            </w:pPr>
          </w:p>
        </w:tc>
        <w:tc>
          <w:tcPr>
            <w:tcW w:w="500" w:type="dxa"/>
            <w:vAlign w:val="bottom"/>
            <w:shd w:val="clear" w:color="auto" w:fill="F2F2F2"/>
          </w:tcPr>
          <w:p>
            <w:pPr>
              <w:spacing w:after="0"/>
              <w:rPr>
                <w:sz w:val="8"/>
                <w:szCs w:val="8"/>
                <w:color w:val="auto"/>
              </w:rPr>
            </w:pPr>
          </w:p>
        </w:tc>
        <w:tc>
          <w:tcPr>
            <w:tcW w:w="160" w:type="dxa"/>
            <w:vAlign w:val="bottom"/>
            <w:tcBorders>
              <w:right w:val="single" w:sz="8" w:color="FEFEFE"/>
            </w:tcBorders>
            <w:shd w:val="clear" w:color="auto" w:fill="F2F2F2"/>
          </w:tcPr>
          <w:p>
            <w:pPr>
              <w:spacing w:after="0"/>
              <w:rPr>
                <w:sz w:val="8"/>
                <w:szCs w:val="8"/>
                <w:color w:val="auto"/>
              </w:rPr>
            </w:pPr>
          </w:p>
        </w:tc>
        <w:tc>
          <w:tcPr>
            <w:tcW w:w="3940" w:type="dxa"/>
            <w:vAlign w:val="bottom"/>
            <w:vMerge w:val="restart"/>
          </w:tcPr>
          <w:p>
            <w:pPr>
              <w:ind w:left="420"/>
              <w:spacing w:after="0"/>
              <w:rPr>
                <w:sz w:val="20"/>
                <w:szCs w:val="20"/>
                <w:color w:val="auto"/>
              </w:rPr>
            </w:pPr>
            <w:r>
              <w:rPr>
                <w:rFonts w:ascii="Arial" w:cs="Arial" w:eastAsia="Arial" w:hAnsi="Arial"/>
                <w:sz w:val="16"/>
                <w:szCs w:val="16"/>
                <w:color w:val="auto"/>
              </w:rPr>
              <w:t>Section 16 officers</w:t>
            </w:r>
          </w:p>
        </w:tc>
        <w:tc>
          <w:tcPr>
            <w:tcW w:w="0" w:type="dxa"/>
            <w:vAlign w:val="bottom"/>
          </w:tcPr>
          <w:p>
            <w:pPr>
              <w:spacing w:after="0"/>
              <w:rPr>
                <w:sz w:val="1"/>
                <w:szCs w:val="1"/>
                <w:color w:val="auto"/>
              </w:rPr>
            </w:pPr>
          </w:p>
        </w:tc>
      </w:tr>
      <w:tr>
        <w:trPr>
          <w:trHeight w:val="120"/>
        </w:trPr>
        <w:tc>
          <w:tcPr>
            <w:tcW w:w="3780" w:type="dxa"/>
            <w:vAlign w:val="bottom"/>
            <w:vMerge w:val="restart"/>
            <w:shd w:val="clear" w:color="auto" w:fill="F2F2F2"/>
          </w:tcPr>
          <w:p>
            <w:pPr>
              <w:ind w:left="420"/>
              <w:spacing w:after="0"/>
              <w:rPr>
                <w:sz w:val="20"/>
                <w:szCs w:val="20"/>
                <w:color w:val="auto"/>
              </w:rPr>
            </w:pPr>
            <w:r>
              <w:rPr>
                <w:rFonts w:ascii="Arial" w:cs="Arial" w:eastAsia="Arial" w:hAnsi="Arial"/>
                <w:sz w:val="16"/>
                <w:szCs w:val="16"/>
                <w:color w:val="auto"/>
              </w:rPr>
              <w:t>Independent directors meet regularly without</w:t>
            </w:r>
          </w:p>
        </w:tc>
        <w:tc>
          <w:tcPr>
            <w:tcW w:w="500" w:type="dxa"/>
            <w:vAlign w:val="bottom"/>
            <w:shd w:val="clear" w:color="auto" w:fill="F2F2F2"/>
          </w:tcPr>
          <w:p>
            <w:pPr>
              <w:spacing w:after="0"/>
              <w:rPr>
                <w:sz w:val="10"/>
                <w:szCs w:val="10"/>
                <w:color w:val="auto"/>
              </w:rPr>
            </w:pPr>
          </w:p>
        </w:tc>
        <w:tc>
          <w:tcPr>
            <w:tcW w:w="160" w:type="dxa"/>
            <w:vAlign w:val="bottom"/>
            <w:tcBorders>
              <w:right w:val="single" w:sz="8" w:color="FEFEFE"/>
            </w:tcBorders>
            <w:shd w:val="clear" w:color="auto" w:fill="F2F2F2"/>
          </w:tcPr>
          <w:p>
            <w:pPr>
              <w:spacing w:after="0"/>
              <w:rPr>
                <w:sz w:val="10"/>
                <w:szCs w:val="10"/>
                <w:color w:val="auto"/>
              </w:rPr>
            </w:pPr>
          </w:p>
        </w:tc>
        <w:tc>
          <w:tcPr>
            <w:tcW w:w="3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780" w:type="dxa"/>
            <w:vAlign w:val="bottom"/>
            <w:vMerge w:val="continue"/>
            <w:shd w:val="clear" w:color="auto" w:fill="F2F2F2"/>
          </w:tcPr>
          <w:p>
            <w:pPr>
              <w:spacing w:after="0"/>
              <w:rPr>
                <w:sz w:val="5"/>
                <w:szCs w:val="5"/>
                <w:color w:val="auto"/>
              </w:rPr>
            </w:pPr>
          </w:p>
        </w:tc>
        <w:tc>
          <w:tcPr>
            <w:tcW w:w="500" w:type="dxa"/>
            <w:vAlign w:val="bottom"/>
            <w:shd w:val="clear" w:color="auto" w:fill="F2F2F2"/>
          </w:tcPr>
          <w:p>
            <w:pPr>
              <w:spacing w:after="0"/>
              <w:rPr>
                <w:sz w:val="5"/>
                <w:szCs w:val="5"/>
                <w:color w:val="auto"/>
              </w:rPr>
            </w:pPr>
          </w:p>
        </w:tc>
        <w:tc>
          <w:tcPr>
            <w:tcW w:w="160" w:type="dxa"/>
            <w:vAlign w:val="bottom"/>
            <w:tcBorders>
              <w:right w:val="single" w:sz="8" w:color="FEFEFE"/>
            </w:tcBorders>
            <w:shd w:val="clear" w:color="auto" w:fill="F2F2F2"/>
          </w:tcPr>
          <w:p>
            <w:pPr>
              <w:spacing w:after="0"/>
              <w:rPr>
                <w:sz w:val="5"/>
                <w:szCs w:val="5"/>
                <w:color w:val="auto"/>
              </w:rPr>
            </w:pPr>
          </w:p>
        </w:tc>
        <w:tc>
          <w:tcPr>
            <w:tcW w:w="3940" w:type="dxa"/>
            <w:vAlign w:val="bottom"/>
            <w:vMerge w:val="restart"/>
          </w:tcPr>
          <w:p>
            <w:pPr>
              <w:ind w:left="420"/>
              <w:spacing w:after="0"/>
              <w:rPr>
                <w:sz w:val="20"/>
                <w:szCs w:val="20"/>
                <w:color w:val="auto"/>
              </w:rPr>
            </w:pPr>
            <w:r>
              <w:rPr>
                <w:rFonts w:ascii="Arial" w:cs="Arial" w:eastAsia="Arial" w:hAnsi="Arial"/>
                <w:sz w:val="16"/>
                <w:szCs w:val="16"/>
                <w:color w:val="auto"/>
              </w:rPr>
              <w:t>Standing Audit, Compensation and Nominating,</w:t>
            </w:r>
          </w:p>
        </w:tc>
        <w:tc>
          <w:tcPr>
            <w:tcW w:w="0" w:type="dxa"/>
            <w:vAlign w:val="bottom"/>
          </w:tcPr>
          <w:p>
            <w:pPr>
              <w:spacing w:after="0"/>
              <w:rPr>
                <w:sz w:val="1"/>
                <w:szCs w:val="1"/>
                <w:color w:val="auto"/>
              </w:rPr>
            </w:pPr>
          </w:p>
        </w:tc>
      </w:tr>
      <w:tr>
        <w:trPr>
          <w:trHeight w:val="163"/>
        </w:trPr>
        <w:tc>
          <w:tcPr>
            <w:tcW w:w="3780" w:type="dxa"/>
            <w:vAlign w:val="bottom"/>
            <w:shd w:val="clear" w:color="auto" w:fill="F2F2F2"/>
          </w:tcPr>
          <w:p>
            <w:pPr>
              <w:ind w:left="420"/>
              <w:spacing w:after="0" w:line="163" w:lineRule="exact"/>
              <w:rPr>
                <w:sz w:val="20"/>
                <w:szCs w:val="20"/>
                <w:color w:val="auto"/>
              </w:rPr>
            </w:pPr>
            <w:r>
              <w:rPr>
                <w:rFonts w:ascii="Arial" w:cs="Arial" w:eastAsia="Arial" w:hAnsi="Arial"/>
                <w:sz w:val="16"/>
                <w:szCs w:val="16"/>
                <w:color w:val="auto"/>
              </w:rPr>
              <w:t>management present</w:t>
            </w:r>
          </w:p>
        </w:tc>
        <w:tc>
          <w:tcPr>
            <w:tcW w:w="500" w:type="dxa"/>
            <w:vAlign w:val="bottom"/>
            <w:shd w:val="clear" w:color="auto" w:fill="F2F2F2"/>
          </w:tcPr>
          <w:p>
            <w:pPr>
              <w:spacing w:after="0"/>
              <w:rPr>
                <w:sz w:val="14"/>
                <w:szCs w:val="14"/>
                <w:color w:val="auto"/>
              </w:rPr>
            </w:pPr>
          </w:p>
        </w:tc>
        <w:tc>
          <w:tcPr>
            <w:tcW w:w="160" w:type="dxa"/>
            <w:vAlign w:val="bottom"/>
            <w:tcBorders>
              <w:right w:val="single" w:sz="8" w:color="FEFEFE"/>
            </w:tcBorders>
            <w:shd w:val="clear" w:color="auto" w:fill="F2F2F2"/>
          </w:tcPr>
          <w:p>
            <w:pPr>
              <w:spacing w:after="0"/>
              <w:rPr>
                <w:sz w:val="14"/>
                <w:szCs w:val="14"/>
                <w:color w:val="auto"/>
              </w:rPr>
            </w:pPr>
          </w:p>
        </w:tc>
        <w:tc>
          <w:tcPr>
            <w:tcW w:w="3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80" w:type="dxa"/>
            <w:vAlign w:val="bottom"/>
            <w:gridSpan w:val="2"/>
            <w:vMerge w:val="restart"/>
            <w:shd w:val="clear" w:color="auto" w:fill="F2F2F2"/>
          </w:tcPr>
          <w:p>
            <w:pPr>
              <w:ind w:left="420"/>
              <w:spacing w:after="0"/>
              <w:rPr>
                <w:sz w:val="20"/>
                <w:szCs w:val="20"/>
                <w:color w:val="auto"/>
              </w:rPr>
            </w:pPr>
            <w:r>
              <w:rPr>
                <w:rFonts w:ascii="Arial" w:cs="Arial" w:eastAsia="Arial" w:hAnsi="Arial"/>
                <w:sz w:val="16"/>
                <w:szCs w:val="16"/>
                <w:color w:val="auto"/>
              </w:rPr>
              <w:t>Board review (through its standing committees)</w:t>
            </w:r>
          </w:p>
        </w:tc>
        <w:tc>
          <w:tcPr>
            <w:tcW w:w="160" w:type="dxa"/>
            <w:vAlign w:val="bottom"/>
            <w:tcBorders>
              <w:right w:val="single" w:sz="8" w:color="FEFEFE"/>
            </w:tcBorders>
            <w:shd w:val="clear" w:color="auto" w:fill="F2F2F2"/>
          </w:tcPr>
          <w:p>
            <w:pPr>
              <w:spacing w:after="0"/>
              <w:rPr>
                <w:sz w:val="15"/>
                <w:szCs w:val="15"/>
                <w:color w:val="auto"/>
              </w:rPr>
            </w:pPr>
          </w:p>
        </w:tc>
        <w:tc>
          <w:tcPr>
            <w:tcW w:w="3940" w:type="dxa"/>
            <w:vAlign w:val="bottom"/>
          </w:tcPr>
          <w:p>
            <w:pPr>
              <w:ind w:left="420"/>
              <w:spacing w:after="0" w:line="175" w:lineRule="exact"/>
              <w:rPr>
                <w:sz w:val="20"/>
                <w:szCs w:val="20"/>
                <w:color w:val="auto"/>
              </w:rPr>
            </w:pPr>
            <w:r>
              <w:rPr>
                <w:rFonts w:ascii="Arial" w:cs="Arial" w:eastAsia="Arial" w:hAnsi="Arial"/>
                <w:sz w:val="16"/>
                <w:szCs w:val="16"/>
                <w:color w:val="auto"/>
              </w:rPr>
              <w:t>Sustainability and Corporate Governance</w:t>
            </w:r>
          </w:p>
        </w:tc>
        <w:tc>
          <w:tcPr>
            <w:tcW w:w="0" w:type="dxa"/>
            <w:vAlign w:val="bottom"/>
          </w:tcPr>
          <w:p>
            <w:pPr>
              <w:spacing w:after="0"/>
              <w:rPr>
                <w:sz w:val="1"/>
                <w:szCs w:val="1"/>
                <w:color w:val="auto"/>
              </w:rPr>
            </w:pPr>
          </w:p>
        </w:tc>
      </w:tr>
      <w:tr>
        <w:trPr>
          <w:trHeight w:val="94"/>
        </w:trPr>
        <w:tc>
          <w:tcPr>
            <w:tcW w:w="4280" w:type="dxa"/>
            <w:vAlign w:val="bottom"/>
            <w:gridSpan w:val="2"/>
            <w:vMerge w:val="continue"/>
            <w:shd w:val="clear" w:color="auto" w:fill="F2F2F2"/>
          </w:tcPr>
          <w:p>
            <w:pPr>
              <w:spacing w:after="0"/>
              <w:rPr>
                <w:sz w:val="8"/>
                <w:szCs w:val="8"/>
                <w:color w:val="auto"/>
              </w:rPr>
            </w:pPr>
          </w:p>
        </w:tc>
        <w:tc>
          <w:tcPr>
            <w:tcW w:w="160" w:type="dxa"/>
            <w:vAlign w:val="bottom"/>
            <w:tcBorders>
              <w:right w:val="single" w:sz="8" w:color="FEFEFE"/>
            </w:tcBorders>
            <w:shd w:val="clear" w:color="auto" w:fill="F2F2F2"/>
          </w:tcPr>
          <w:p>
            <w:pPr>
              <w:spacing w:after="0"/>
              <w:rPr>
                <w:sz w:val="8"/>
                <w:szCs w:val="8"/>
                <w:color w:val="auto"/>
              </w:rPr>
            </w:pPr>
          </w:p>
        </w:tc>
        <w:tc>
          <w:tcPr>
            <w:tcW w:w="3940" w:type="dxa"/>
            <w:vAlign w:val="bottom"/>
            <w:vMerge w:val="restart"/>
          </w:tcPr>
          <w:p>
            <w:pPr>
              <w:ind w:left="420"/>
              <w:spacing w:after="0"/>
              <w:rPr>
                <w:sz w:val="20"/>
                <w:szCs w:val="20"/>
                <w:color w:val="auto"/>
              </w:rPr>
            </w:pPr>
            <w:r>
              <w:rPr>
                <w:rFonts w:ascii="Arial" w:cs="Arial" w:eastAsia="Arial" w:hAnsi="Arial"/>
                <w:sz w:val="16"/>
                <w:szCs w:val="16"/>
                <w:color w:val="auto"/>
              </w:rPr>
              <w:t>Committees comprised solely of independent</w:t>
            </w:r>
          </w:p>
        </w:tc>
        <w:tc>
          <w:tcPr>
            <w:tcW w:w="0" w:type="dxa"/>
            <w:vAlign w:val="bottom"/>
          </w:tcPr>
          <w:p>
            <w:pPr>
              <w:spacing w:after="0"/>
              <w:rPr>
                <w:sz w:val="1"/>
                <w:szCs w:val="1"/>
                <w:color w:val="auto"/>
              </w:rPr>
            </w:pPr>
          </w:p>
        </w:tc>
      </w:tr>
      <w:tr>
        <w:trPr>
          <w:trHeight w:val="95"/>
        </w:trPr>
        <w:tc>
          <w:tcPr>
            <w:tcW w:w="4280" w:type="dxa"/>
            <w:vAlign w:val="bottom"/>
            <w:gridSpan w:val="2"/>
            <w:vMerge w:val="restart"/>
            <w:shd w:val="clear" w:color="auto" w:fill="F2F2F2"/>
          </w:tcPr>
          <w:p>
            <w:pPr>
              <w:ind w:left="420"/>
              <w:spacing w:after="0"/>
              <w:rPr>
                <w:sz w:val="20"/>
                <w:szCs w:val="20"/>
                <w:color w:val="auto"/>
              </w:rPr>
            </w:pPr>
            <w:r>
              <w:rPr>
                <w:rFonts w:ascii="Arial" w:cs="Arial" w:eastAsia="Arial" w:hAnsi="Arial"/>
                <w:sz w:val="16"/>
                <w:szCs w:val="16"/>
                <w:color w:val="auto"/>
              </w:rPr>
              <w:t>of sustainability and governance, activities, policies</w:t>
            </w:r>
          </w:p>
        </w:tc>
        <w:tc>
          <w:tcPr>
            <w:tcW w:w="160" w:type="dxa"/>
            <w:vAlign w:val="bottom"/>
            <w:tcBorders>
              <w:right w:val="single" w:sz="8" w:color="FEFEFE"/>
            </w:tcBorders>
            <w:shd w:val="clear" w:color="auto" w:fill="F2F2F2"/>
          </w:tcPr>
          <w:p>
            <w:pPr>
              <w:spacing w:after="0"/>
              <w:rPr>
                <w:sz w:val="8"/>
                <w:szCs w:val="8"/>
                <w:color w:val="auto"/>
              </w:rPr>
            </w:pPr>
          </w:p>
        </w:tc>
        <w:tc>
          <w:tcPr>
            <w:tcW w:w="3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280" w:type="dxa"/>
            <w:vAlign w:val="bottom"/>
            <w:gridSpan w:val="2"/>
            <w:vMerge w:val="continue"/>
            <w:shd w:val="clear" w:color="auto" w:fill="F2F2F2"/>
          </w:tcPr>
          <w:p>
            <w:pPr>
              <w:spacing w:after="0"/>
              <w:rPr>
                <w:sz w:val="8"/>
                <w:szCs w:val="8"/>
                <w:color w:val="auto"/>
              </w:rPr>
            </w:pPr>
          </w:p>
        </w:tc>
        <w:tc>
          <w:tcPr>
            <w:tcW w:w="160" w:type="dxa"/>
            <w:vAlign w:val="bottom"/>
            <w:tcBorders>
              <w:right w:val="single" w:sz="8" w:color="FEFEFE"/>
            </w:tcBorders>
            <w:shd w:val="clear" w:color="auto" w:fill="F2F2F2"/>
          </w:tcPr>
          <w:p>
            <w:pPr>
              <w:spacing w:after="0"/>
              <w:rPr>
                <w:sz w:val="8"/>
                <w:szCs w:val="8"/>
                <w:color w:val="auto"/>
              </w:rPr>
            </w:pPr>
          </w:p>
        </w:tc>
        <w:tc>
          <w:tcPr>
            <w:tcW w:w="3940" w:type="dxa"/>
            <w:vAlign w:val="bottom"/>
            <w:vMerge w:val="restart"/>
          </w:tcPr>
          <w:p>
            <w:pPr>
              <w:ind w:left="420"/>
              <w:spacing w:after="0"/>
              <w:rPr>
                <w:sz w:val="20"/>
                <w:szCs w:val="20"/>
                <w:color w:val="auto"/>
              </w:rPr>
            </w:pPr>
            <w:r>
              <w:rPr>
                <w:rFonts w:ascii="Arial" w:cs="Arial" w:eastAsia="Arial" w:hAnsi="Arial"/>
                <w:sz w:val="16"/>
                <w:szCs w:val="16"/>
                <w:color w:val="auto"/>
              </w:rPr>
              <w:t>directors</w:t>
            </w:r>
          </w:p>
        </w:tc>
        <w:tc>
          <w:tcPr>
            <w:tcW w:w="0" w:type="dxa"/>
            <w:vAlign w:val="bottom"/>
          </w:tcPr>
          <w:p>
            <w:pPr>
              <w:spacing w:after="0"/>
              <w:rPr>
                <w:sz w:val="1"/>
                <w:szCs w:val="1"/>
                <w:color w:val="auto"/>
              </w:rPr>
            </w:pPr>
          </w:p>
        </w:tc>
      </w:tr>
      <w:tr>
        <w:trPr>
          <w:trHeight w:val="120"/>
        </w:trPr>
        <w:tc>
          <w:tcPr>
            <w:tcW w:w="3780" w:type="dxa"/>
            <w:vAlign w:val="bottom"/>
            <w:vMerge w:val="restart"/>
            <w:shd w:val="clear" w:color="auto" w:fill="F2F2F2"/>
          </w:tcPr>
          <w:p>
            <w:pPr>
              <w:ind w:left="420"/>
              <w:spacing w:after="0"/>
              <w:rPr>
                <w:sz w:val="20"/>
                <w:szCs w:val="20"/>
                <w:color w:val="auto"/>
              </w:rPr>
            </w:pPr>
            <w:r>
              <w:rPr>
                <w:rFonts w:ascii="Arial" w:cs="Arial" w:eastAsia="Arial" w:hAnsi="Arial"/>
                <w:sz w:val="16"/>
                <w:szCs w:val="16"/>
                <w:color w:val="auto"/>
              </w:rPr>
              <w:t>and communications</w:t>
            </w:r>
          </w:p>
        </w:tc>
        <w:tc>
          <w:tcPr>
            <w:tcW w:w="500" w:type="dxa"/>
            <w:vAlign w:val="bottom"/>
            <w:shd w:val="clear" w:color="auto" w:fill="F2F2F2"/>
          </w:tcPr>
          <w:p>
            <w:pPr>
              <w:spacing w:after="0"/>
              <w:rPr>
                <w:sz w:val="10"/>
                <w:szCs w:val="10"/>
                <w:color w:val="auto"/>
              </w:rPr>
            </w:pPr>
          </w:p>
        </w:tc>
        <w:tc>
          <w:tcPr>
            <w:tcW w:w="160" w:type="dxa"/>
            <w:vAlign w:val="bottom"/>
            <w:tcBorders>
              <w:right w:val="single" w:sz="8" w:color="FEFEFE"/>
            </w:tcBorders>
            <w:shd w:val="clear" w:color="auto" w:fill="F2F2F2"/>
          </w:tcPr>
          <w:p>
            <w:pPr>
              <w:spacing w:after="0"/>
              <w:rPr>
                <w:sz w:val="10"/>
                <w:szCs w:val="10"/>
                <w:color w:val="auto"/>
              </w:rPr>
            </w:pPr>
          </w:p>
        </w:tc>
        <w:tc>
          <w:tcPr>
            <w:tcW w:w="3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780" w:type="dxa"/>
            <w:vAlign w:val="bottom"/>
            <w:vMerge w:val="continue"/>
            <w:shd w:val="clear" w:color="auto" w:fill="F2F2F2"/>
          </w:tcPr>
          <w:p>
            <w:pPr>
              <w:spacing w:after="0"/>
              <w:rPr>
                <w:sz w:val="8"/>
                <w:szCs w:val="8"/>
                <w:color w:val="auto"/>
              </w:rPr>
            </w:pPr>
          </w:p>
        </w:tc>
        <w:tc>
          <w:tcPr>
            <w:tcW w:w="500" w:type="dxa"/>
            <w:vAlign w:val="bottom"/>
            <w:shd w:val="clear" w:color="auto" w:fill="F2F2F2"/>
          </w:tcPr>
          <w:p>
            <w:pPr>
              <w:spacing w:after="0"/>
              <w:rPr>
                <w:sz w:val="8"/>
                <w:szCs w:val="8"/>
                <w:color w:val="auto"/>
              </w:rPr>
            </w:pPr>
          </w:p>
        </w:tc>
        <w:tc>
          <w:tcPr>
            <w:tcW w:w="160" w:type="dxa"/>
            <w:vAlign w:val="bottom"/>
            <w:tcBorders>
              <w:right w:val="single" w:sz="8" w:color="FEFEFE"/>
            </w:tcBorders>
            <w:shd w:val="clear" w:color="auto" w:fill="F2F2F2"/>
          </w:tcPr>
          <w:p>
            <w:pPr>
              <w:spacing w:after="0"/>
              <w:rPr>
                <w:sz w:val="8"/>
                <w:szCs w:val="8"/>
                <w:color w:val="auto"/>
              </w:rPr>
            </w:pPr>
          </w:p>
        </w:tc>
        <w:tc>
          <w:tcPr>
            <w:tcW w:w="3940" w:type="dxa"/>
            <w:vAlign w:val="bottom"/>
            <w:vMerge w:val="restart"/>
          </w:tcPr>
          <w:p>
            <w:pPr>
              <w:ind w:left="420"/>
              <w:spacing w:after="0"/>
              <w:rPr>
                <w:sz w:val="20"/>
                <w:szCs w:val="20"/>
                <w:color w:val="auto"/>
              </w:rPr>
            </w:pPr>
            <w:r>
              <w:rPr>
                <w:rFonts w:ascii="Arial" w:cs="Arial" w:eastAsia="Arial" w:hAnsi="Arial"/>
                <w:sz w:val="16"/>
                <w:szCs w:val="16"/>
                <w:color w:val="auto"/>
              </w:rPr>
              <w:t>Robust oversight of risk management</w:t>
            </w:r>
          </w:p>
        </w:tc>
        <w:tc>
          <w:tcPr>
            <w:tcW w:w="0" w:type="dxa"/>
            <w:vAlign w:val="bottom"/>
          </w:tcPr>
          <w:p>
            <w:pPr>
              <w:spacing w:after="0"/>
              <w:rPr>
                <w:sz w:val="1"/>
                <w:szCs w:val="1"/>
                <w:color w:val="auto"/>
              </w:rPr>
            </w:pPr>
          </w:p>
        </w:tc>
      </w:tr>
      <w:tr>
        <w:trPr>
          <w:trHeight w:val="176"/>
        </w:trPr>
        <w:tc>
          <w:tcPr>
            <w:tcW w:w="3780" w:type="dxa"/>
            <w:vAlign w:val="bottom"/>
            <w:shd w:val="clear" w:color="auto" w:fill="F2F2F2"/>
          </w:tcPr>
          <w:p>
            <w:pPr>
              <w:spacing w:after="0"/>
              <w:rPr>
                <w:sz w:val="15"/>
                <w:szCs w:val="15"/>
                <w:color w:val="auto"/>
              </w:rPr>
            </w:pPr>
          </w:p>
        </w:tc>
        <w:tc>
          <w:tcPr>
            <w:tcW w:w="500" w:type="dxa"/>
            <w:vAlign w:val="bottom"/>
            <w:shd w:val="clear" w:color="auto" w:fill="F2F2F2"/>
          </w:tcPr>
          <w:p>
            <w:pPr>
              <w:spacing w:after="0"/>
              <w:rPr>
                <w:sz w:val="15"/>
                <w:szCs w:val="15"/>
                <w:color w:val="auto"/>
              </w:rPr>
            </w:pPr>
          </w:p>
        </w:tc>
        <w:tc>
          <w:tcPr>
            <w:tcW w:w="160" w:type="dxa"/>
            <w:vAlign w:val="bottom"/>
            <w:tcBorders>
              <w:right w:val="single" w:sz="8" w:color="FEFEFE"/>
            </w:tcBorders>
            <w:shd w:val="clear" w:color="auto" w:fill="F2F2F2"/>
          </w:tcPr>
          <w:p>
            <w:pPr>
              <w:spacing w:after="0"/>
              <w:rPr>
                <w:sz w:val="15"/>
                <w:szCs w:val="15"/>
                <w:color w:val="auto"/>
              </w:rPr>
            </w:pPr>
          </w:p>
        </w:tc>
        <w:tc>
          <w:tcPr>
            <w:tcW w:w="3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3780" w:type="dxa"/>
            <w:vAlign w:val="bottom"/>
            <w:shd w:val="clear" w:color="auto" w:fill="F2F2F2"/>
          </w:tcPr>
          <w:p>
            <w:pPr>
              <w:spacing w:after="0"/>
              <w:rPr>
                <w:sz w:val="11"/>
                <w:szCs w:val="11"/>
                <w:color w:val="auto"/>
              </w:rPr>
            </w:pPr>
          </w:p>
        </w:tc>
        <w:tc>
          <w:tcPr>
            <w:tcW w:w="500" w:type="dxa"/>
            <w:vAlign w:val="bottom"/>
            <w:shd w:val="clear" w:color="auto" w:fill="F2F2F2"/>
          </w:tcPr>
          <w:p>
            <w:pPr>
              <w:spacing w:after="0"/>
              <w:rPr>
                <w:sz w:val="11"/>
                <w:szCs w:val="11"/>
                <w:color w:val="auto"/>
              </w:rPr>
            </w:pPr>
          </w:p>
        </w:tc>
        <w:tc>
          <w:tcPr>
            <w:tcW w:w="160" w:type="dxa"/>
            <w:vAlign w:val="bottom"/>
            <w:tcBorders>
              <w:right w:val="single" w:sz="8" w:color="FEFEFE"/>
            </w:tcBorders>
            <w:shd w:val="clear" w:color="auto" w:fill="F2F2F2"/>
          </w:tcPr>
          <w:p>
            <w:pPr>
              <w:spacing w:after="0"/>
              <w:rPr>
                <w:sz w:val="11"/>
                <w:szCs w:val="11"/>
                <w:color w:val="auto"/>
              </w:rPr>
            </w:pPr>
          </w:p>
        </w:tc>
        <w:tc>
          <w:tcPr>
            <w:tcW w:w="39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-1610995</wp:posOffset>
            </wp:positionV>
            <wp:extent cx="11176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-1439545</wp:posOffset>
            </wp:positionV>
            <wp:extent cx="11176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-1285240</wp:posOffset>
            </wp:positionV>
            <wp:extent cx="11176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-1122680</wp:posOffset>
            </wp:positionV>
            <wp:extent cx="11176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-968375</wp:posOffset>
            </wp:positionV>
            <wp:extent cx="11176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-805180</wp:posOffset>
            </wp:positionV>
            <wp:extent cx="11176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-539750</wp:posOffset>
            </wp:positionV>
            <wp:extent cx="11176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-1636395</wp:posOffset>
            </wp:positionV>
            <wp:extent cx="2802890" cy="1628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02890" cy="1628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right"/>
        <w:ind w:right="99"/>
        <w:spacing w:after="0"/>
        <w:rPr>
          <w:sz w:val="20"/>
          <w:szCs w:val="20"/>
          <w:color w:val="auto"/>
        </w:rPr>
      </w:pPr>
      <w:r>
        <w:rPr>
          <w:rFonts w:ascii="Arial" w:cs="Arial" w:eastAsia="Arial" w:hAnsi="Arial"/>
          <w:sz w:val="16"/>
          <w:szCs w:val="16"/>
          <w:b w:val="1"/>
          <w:bCs w:val="1"/>
          <w:color w:val="FEFEFE"/>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503" w:lineRule="exact"/>
        <w:rPr>
          <w:sz w:val="20"/>
          <w:szCs w:val="20"/>
          <w:color w:val="auto"/>
        </w:rPr>
      </w:pPr>
    </w:p>
    <w:p>
      <w:pPr>
        <w:sectPr>
          <w:pgSz w:w="11900" w:h="16838" w:orient="portrait"/>
          <w:cols w:equalWidth="0" w:num="2">
            <w:col w:w="9300" w:space="380"/>
            <w:col w:w="199"/>
          </w:cols>
          <w:pgMar w:left="580" w:top="97" w:right="1440" w:bottom="1440" w:gutter="0" w:footer="0" w:header="0"/>
          <w:type w:val="continuous"/>
        </w:sectPr>
      </w:pPr>
    </w:p>
    <w:p>
      <w:pPr>
        <w:ind w:left="920"/>
        <w:spacing w:after="0"/>
        <w:rPr>
          <w:sz w:val="20"/>
          <w:szCs w:val="20"/>
          <w:color w:val="auto"/>
        </w:rPr>
      </w:pPr>
      <w:r>
        <w:rPr>
          <w:rFonts w:ascii="Arial" w:cs="Arial" w:eastAsia="Arial" w:hAnsi="Arial"/>
          <w:sz w:val="36"/>
          <w:szCs w:val="36"/>
          <w:b w:val="1"/>
          <w:bCs w:val="1"/>
          <w:color w:val="E7417A"/>
        </w:rPr>
        <w:t>Annual Meeting Proposals</w:t>
      </w:r>
    </w:p>
    <w:tbl>
      <w:tblPr>
        <w:tblLayout w:type="fixed"/>
        <w:tblInd w:w="920" w:type="dxa"/>
        <w:tblCellMar>
          <w:top w:w="0" w:type="dxa"/>
          <w:left w:w="0" w:type="dxa"/>
          <w:bottom w:w="0" w:type="dxa"/>
          <w:right w:w="0" w:type="dxa"/>
        </w:tblCellMar>
      </w:tblPr>
      <w:tr>
        <w:trPr>
          <w:trHeight w:val="326"/>
        </w:trPr>
        <w:tc>
          <w:tcPr>
            <w:tcW w:w="4360" w:type="dxa"/>
            <w:vAlign w:val="bottom"/>
            <w:gridSpan w:val="4"/>
            <w:shd w:val="clear" w:color="auto" w:fill="62259D"/>
          </w:tcPr>
          <w:p>
            <w:pPr>
              <w:spacing w:after="0" w:line="326" w:lineRule="exact"/>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 xml:space="preserve"> Proposal</w:t>
            </w:r>
          </w:p>
        </w:tc>
        <w:tc>
          <w:tcPr>
            <w:tcW w:w="2780" w:type="dxa"/>
            <w:vAlign w:val="bottom"/>
            <w:gridSpan w:val="2"/>
            <w:shd w:val="clear" w:color="auto" w:fill="62259D"/>
          </w:tcPr>
          <w:p>
            <w:pPr>
              <w:ind w:left="200"/>
              <w:spacing w:after="0" w:line="326" w:lineRule="exact"/>
              <w:rPr>
                <w:sz w:val="20"/>
                <w:szCs w:val="20"/>
                <w:color w:val="auto"/>
              </w:rPr>
            </w:pPr>
            <w:r>
              <w:rPr>
                <w:rFonts w:ascii="Arial" w:cs="Arial" w:eastAsia="Arial" w:hAnsi="Arial"/>
                <w:sz w:val="32"/>
                <w:szCs w:val="32"/>
                <w:b w:val="1"/>
                <w:bCs w:val="1"/>
                <w:color w:val="FEFEFE"/>
                <w:vertAlign w:val="subscript"/>
              </w:rPr>
              <w:t>​ ​</w:t>
            </w:r>
            <w:r>
              <w:rPr>
                <w:rFonts w:ascii="Arial" w:cs="Arial" w:eastAsia="Arial" w:hAnsi="Arial"/>
                <w:sz w:val="16"/>
                <w:szCs w:val="16"/>
                <w:b w:val="1"/>
                <w:bCs w:val="1"/>
                <w:color w:val="FEFEFE"/>
              </w:rPr>
              <w:t xml:space="preserve"> Board Recommendation</w:t>
            </w:r>
          </w:p>
        </w:tc>
        <w:tc>
          <w:tcPr>
            <w:tcW w:w="1720" w:type="dxa"/>
            <w:vAlign w:val="bottom"/>
            <w:gridSpan w:val="5"/>
            <w:shd w:val="clear" w:color="auto" w:fill="62259D"/>
          </w:tcPr>
          <w:p>
            <w:pPr>
              <w:ind w:left="60"/>
              <w:spacing w:after="0" w:line="326" w:lineRule="exact"/>
              <w:rPr>
                <w:sz w:val="20"/>
                <w:szCs w:val="20"/>
                <w:color w:val="auto"/>
              </w:rPr>
            </w:pPr>
            <w:r>
              <w:rPr>
                <w:rFonts w:ascii="Arial" w:cs="Arial" w:eastAsia="Arial" w:hAnsi="Arial"/>
                <w:sz w:val="32"/>
                <w:szCs w:val="32"/>
                <w:b w:val="1"/>
                <w:bCs w:val="1"/>
                <w:color w:val="FEFEFE"/>
                <w:vertAlign w:val="subscript"/>
              </w:rPr>
              <w:t>​ ​</w:t>
            </w:r>
            <w:r>
              <w:rPr>
                <w:rFonts w:ascii="Arial" w:cs="Arial" w:eastAsia="Arial" w:hAnsi="Arial"/>
                <w:sz w:val="16"/>
                <w:szCs w:val="16"/>
                <w:b w:val="1"/>
                <w:bCs w:val="1"/>
                <w:color w:val="FEFEFE"/>
              </w:rPr>
              <w:t xml:space="preserve"> Page Reference</w:t>
            </w:r>
            <w:r>
              <w:rPr>
                <w:rFonts w:ascii="Arial" w:cs="Arial" w:eastAsia="Arial" w:hAnsi="Arial"/>
                <w:sz w:val="32"/>
                <w:szCs w:val="32"/>
                <w:b w:val="1"/>
                <w:bCs w:val="1"/>
                <w:color w:val="FEFEFE"/>
                <w:vertAlign w:val="subscript"/>
              </w:rPr>
              <w:t>​</w:t>
            </w:r>
          </w:p>
        </w:tc>
        <w:tc>
          <w:tcPr>
            <w:tcW w:w="0" w:type="dxa"/>
            <w:vAlign w:val="bottom"/>
          </w:tcPr>
          <w:p>
            <w:pPr>
              <w:spacing w:after="0"/>
              <w:rPr>
                <w:sz w:val="1"/>
                <w:szCs w:val="1"/>
                <w:color w:val="auto"/>
              </w:rPr>
            </w:pPr>
          </w:p>
        </w:tc>
      </w:tr>
      <w:tr>
        <w:trPr>
          <w:trHeight w:val="162"/>
        </w:trPr>
        <w:tc>
          <w:tcPr>
            <w:tcW w:w="8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200" w:type="dxa"/>
            <w:vAlign w:val="bottom"/>
            <w:vMerge w:val="restart"/>
          </w:tcPr>
          <w:p>
            <w:pPr>
              <w:jc w:val="right"/>
              <w:spacing w:after="0"/>
              <w:rPr>
                <w:sz w:val="20"/>
                <w:szCs w:val="20"/>
                <w:color w:val="auto"/>
              </w:rPr>
            </w:pPr>
            <w:r>
              <w:rPr>
                <w:rFonts w:ascii="Arial" w:cs="Arial" w:eastAsia="Arial" w:hAnsi="Arial"/>
                <w:sz w:val="32"/>
                <w:szCs w:val="32"/>
                <w:color w:val="62259D"/>
              </w:rPr>
              <w:t>1</w:t>
            </w:r>
          </w:p>
        </w:tc>
        <w:tc>
          <w:tcPr>
            <w:tcW w:w="200" w:type="dxa"/>
            <w:vAlign w:val="bottom"/>
          </w:tcPr>
          <w:p>
            <w:pPr>
              <w:jc w:val="right"/>
              <w:spacing w:after="0" w:line="162" w:lineRule="exact"/>
              <w:rPr>
                <w:sz w:val="20"/>
                <w:szCs w:val="20"/>
                <w:color w:val="auto"/>
              </w:rPr>
            </w:pPr>
            <w:r>
              <w:rPr>
                <w:rFonts w:ascii="Arial" w:cs="Arial" w:eastAsia="Arial" w:hAnsi="Arial"/>
                <w:sz w:val="16"/>
                <w:szCs w:val="16"/>
                <w:color w:val="auto"/>
              </w:rPr>
              <w:t>​ ​</w:t>
            </w:r>
          </w:p>
        </w:tc>
        <w:tc>
          <w:tcPr>
            <w:tcW w:w="3880" w:type="dxa"/>
            <w:vAlign w:val="bottom"/>
          </w:tcPr>
          <w:p>
            <w:pPr>
              <w:ind w:left="20"/>
              <w:spacing w:after="0" w:line="162" w:lineRule="exact"/>
              <w:rPr>
                <w:sz w:val="20"/>
                <w:szCs w:val="20"/>
                <w:color w:val="auto"/>
              </w:rPr>
            </w:pPr>
            <w:r>
              <w:rPr>
                <w:rFonts w:ascii="Arial" w:cs="Arial" w:eastAsia="Arial" w:hAnsi="Arial"/>
                <w:sz w:val="16"/>
                <w:szCs w:val="16"/>
                <w:color w:val="auto"/>
              </w:rPr>
              <w:t>Election of nine directors as named in this Proxy</w:t>
            </w:r>
          </w:p>
        </w:tc>
        <w:tc>
          <w:tcPr>
            <w:tcW w:w="480" w:type="dxa"/>
            <w:vAlign w:val="bottom"/>
          </w:tcPr>
          <w:p>
            <w:pPr>
              <w:ind w:left="200"/>
              <w:spacing w:after="0" w:line="162" w:lineRule="exact"/>
              <w:rPr>
                <w:sz w:val="20"/>
                <w:szCs w:val="20"/>
                <w:color w:val="auto"/>
              </w:rPr>
            </w:pPr>
            <w:r>
              <w:rPr>
                <w:rFonts w:ascii="Arial" w:cs="Arial" w:eastAsia="Arial" w:hAnsi="Arial"/>
                <w:sz w:val="16"/>
                <w:szCs w:val="16"/>
                <w:color w:val="auto"/>
              </w:rPr>
              <w:t>​ ​</w:t>
            </w:r>
          </w:p>
        </w:tc>
        <w:tc>
          <w:tcPr>
            <w:tcW w:w="2300" w:type="dxa"/>
            <w:vAlign w:val="bottom"/>
          </w:tcPr>
          <w:p>
            <w:pPr>
              <w:ind w:left="120"/>
              <w:spacing w:after="0" w:line="162" w:lineRule="exact"/>
              <w:rPr>
                <w:sz w:val="20"/>
                <w:szCs w:val="20"/>
                <w:color w:val="auto"/>
              </w:rPr>
            </w:pPr>
            <w:r>
              <w:rPr>
                <w:rFonts w:ascii="Arial" w:cs="Arial" w:eastAsia="Arial" w:hAnsi="Arial"/>
                <w:sz w:val="16"/>
                <w:szCs w:val="16"/>
                <w:color w:val="auto"/>
              </w:rPr>
              <w:t>​​</w:t>
            </w:r>
          </w:p>
        </w:tc>
        <w:tc>
          <w:tcPr>
            <w:tcW w:w="860" w:type="dxa"/>
            <w:vAlign w:val="bottom"/>
          </w:tcPr>
          <w:p>
            <w:pPr>
              <w:ind w:left="60"/>
              <w:spacing w:after="0" w:line="162" w:lineRule="exact"/>
              <w:rPr>
                <w:sz w:val="20"/>
                <w:szCs w:val="20"/>
                <w:color w:val="auto"/>
              </w:rPr>
            </w:pPr>
            <w:r>
              <w:rPr>
                <w:rFonts w:ascii="Arial" w:cs="Arial" w:eastAsia="Arial" w:hAnsi="Arial"/>
                <w:sz w:val="16"/>
                <w:szCs w:val="16"/>
                <w:color w:val="auto"/>
              </w:rPr>
              <w:t>​ ​</w:t>
            </w:r>
          </w:p>
        </w:tc>
        <w:tc>
          <w:tcPr>
            <w:tcW w:w="40" w:type="dxa"/>
            <w:vAlign w:val="bottom"/>
          </w:tcPr>
          <w:p>
            <w:pPr>
              <w:spacing w:after="0"/>
              <w:rPr>
                <w:sz w:val="14"/>
                <w:szCs w:val="14"/>
                <w:color w:val="auto"/>
              </w:rPr>
            </w:pPr>
          </w:p>
        </w:tc>
        <w:tc>
          <w:tcPr>
            <w:tcW w:w="100" w:type="dxa"/>
            <w:vAlign w:val="bottom"/>
            <w:vMerge w:val="restart"/>
          </w:tcPr>
          <w:p>
            <w:pPr>
              <w:jc w:val="center"/>
              <w:spacing w:after="0"/>
              <w:rPr>
                <w:sz w:val="20"/>
                <w:szCs w:val="20"/>
                <w:color w:val="auto"/>
              </w:rPr>
            </w:pPr>
            <w:r>
              <w:rPr>
                <w:rFonts w:ascii="Arial" w:cs="Arial" w:eastAsia="Arial" w:hAnsi="Arial"/>
                <w:sz w:val="16"/>
                <w:szCs w:val="16"/>
                <w:color w:val="0000EE"/>
                <w:w w:val="89"/>
              </w:rPr>
              <w:t>6</w:t>
            </w:r>
          </w:p>
        </w:tc>
        <w:tc>
          <w:tcPr>
            <w:tcW w:w="40" w:type="dxa"/>
            <w:vAlign w:val="bottom"/>
          </w:tcPr>
          <w:p>
            <w:pPr>
              <w:spacing w:after="0"/>
              <w:rPr>
                <w:sz w:val="14"/>
                <w:szCs w:val="14"/>
                <w:color w:val="auto"/>
              </w:rPr>
            </w:pPr>
          </w:p>
        </w:tc>
        <w:tc>
          <w:tcPr>
            <w:tcW w:w="680" w:type="dxa"/>
            <w:vAlign w:val="bottom"/>
          </w:tcPr>
          <w:p>
            <w:pPr>
              <w:ind w:left="58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80" w:type="dxa"/>
            <w:vAlign w:val="bottom"/>
            <w:vMerge w:val="restart"/>
          </w:tcPr>
          <w:p>
            <w:pPr>
              <w:ind w:left="20"/>
              <w:spacing w:after="0"/>
              <w:rPr>
                <w:sz w:val="20"/>
                <w:szCs w:val="20"/>
                <w:color w:val="auto"/>
              </w:rPr>
            </w:pPr>
            <w:r>
              <w:rPr>
                <w:rFonts w:ascii="Arial" w:cs="Arial" w:eastAsia="Arial" w:hAnsi="Arial"/>
                <w:sz w:val="16"/>
                <w:szCs w:val="16"/>
                <w:color w:val="auto"/>
              </w:rPr>
              <w:t>Statement</w:t>
            </w:r>
          </w:p>
        </w:tc>
        <w:tc>
          <w:tcPr>
            <w:tcW w:w="480" w:type="dxa"/>
            <w:vAlign w:val="bottom"/>
          </w:tcPr>
          <w:p>
            <w:pPr>
              <w:spacing w:after="0"/>
              <w:rPr>
                <w:sz w:val="12"/>
                <w:szCs w:val="12"/>
                <w:color w:val="auto"/>
              </w:rPr>
            </w:pPr>
          </w:p>
        </w:tc>
        <w:tc>
          <w:tcPr>
            <w:tcW w:w="2300" w:type="dxa"/>
            <w:vAlign w:val="bottom"/>
            <w:vMerge w:val="restart"/>
          </w:tcPr>
          <w:p>
            <w:pPr>
              <w:ind w:left="220"/>
              <w:spacing w:after="0"/>
              <w:rPr>
                <w:sz w:val="20"/>
                <w:szCs w:val="20"/>
                <w:color w:val="auto"/>
              </w:rPr>
            </w:pPr>
            <w:r>
              <w:rPr>
                <w:rFonts w:ascii="Arial" w:cs="Arial" w:eastAsia="Arial" w:hAnsi="Arial"/>
                <w:sz w:val="16"/>
                <w:szCs w:val="16"/>
                <w:b w:val="1"/>
                <w:bCs w:val="1"/>
                <w:color w:val="E7417A"/>
              </w:rPr>
              <w:t xml:space="preserve">FOR </w:t>
            </w:r>
            <w:r>
              <w:rPr>
                <w:rFonts w:ascii="Arial" w:cs="Arial" w:eastAsia="Arial" w:hAnsi="Arial"/>
                <w:sz w:val="16"/>
                <w:szCs w:val="16"/>
                <w:color w:val="000000"/>
              </w:rPr>
              <w:t>each of the nominees</w:t>
            </w:r>
          </w:p>
        </w:tc>
        <w:tc>
          <w:tcPr>
            <w:tcW w:w="8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tcBorders>
              <w:bottom w:val="single" w:sz="8" w:color="0000EE"/>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E7417A"/>
            </w:tcBorders>
          </w:tcPr>
          <w:p>
            <w:pPr>
              <w:spacing w:after="0"/>
              <w:rPr>
                <w:sz w:val="6"/>
                <w:szCs w:val="6"/>
                <w:color w:val="auto"/>
              </w:rPr>
            </w:pPr>
          </w:p>
        </w:tc>
        <w:tc>
          <w:tcPr>
            <w:tcW w:w="200" w:type="dxa"/>
            <w:vAlign w:val="bottom"/>
            <w:tcBorders>
              <w:bottom w:val="single" w:sz="8" w:color="E7417A"/>
            </w:tcBorders>
            <w:vMerge w:val="continue"/>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3880" w:type="dxa"/>
            <w:vAlign w:val="bottom"/>
            <w:tcBorders>
              <w:bottom w:val="single" w:sz="8" w:color="E7417A"/>
            </w:tcBorders>
            <w:vMerge w:val="continue"/>
          </w:tcPr>
          <w:p>
            <w:pPr>
              <w:spacing w:after="0"/>
              <w:rPr>
                <w:sz w:val="6"/>
                <w:szCs w:val="6"/>
                <w:color w:val="auto"/>
              </w:rPr>
            </w:pPr>
          </w:p>
        </w:tc>
        <w:tc>
          <w:tcPr>
            <w:tcW w:w="480" w:type="dxa"/>
            <w:vAlign w:val="bottom"/>
            <w:tcBorders>
              <w:bottom w:val="single" w:sz="8" w:color="E7417A"/>
            </w:tcBorders>
          </w:tcPr>
          <w:p>
            <w:pPr>
              <w:spacing w:after="0"/>
              <w:rPr>
                <w:sz w:val="6"/>
                <w:szCs w:val="6"/>
                <w:color w:val="auto"/>
              </w:rPr>
            </w:pPr>
          </w:p>
        </w:tc>
        <w:tc>
          <w:tcPr>
            <w:tcW w:w="2300" w:type="dxa"/>
            <w:vAlign w:val="bottom"/>
            <w:tcBorders>
              <w:bottom w:val="single" w:sz="8" w:color="E7417A"/>
            </w:tcBorders>
            <w:vMerge w:val="continue"/>
          </w:tcPr>
          <w:p>
            <w:pPr>
              <w:spacing w:after="0"/>
              <w:rPr>
                <w:sz w:val="6"/>
                <w:szCs w:val="6"/>
                <w:color w:val="auto"/>
              </w:rPr>
            </w:pPr>
          </w:p>
        </w:tc>
        <w:tc>
          <w:tcPr>
            <w:tcW w:w="860" w:type="dxa"/>
            <w:vAlign w:val="bottom"/>
            <w:tcBorders>
              <w:bottom w:val="single" w:sz="8" w:color="E7417A"/>
            </w:tcBorders>
          </w:tcPr>
          <w:p>
            <w:pPr>
              <w:spacing w:after="0"/>
              <w:rPr>
                <w:sz w:val="6"/>
                <w:szCs w:val="6"/>
                <w:color w:val="auto"/>
              </w:rPr>
            </w:pPr>
          </w:p>
        </w:tc>
        <w:tc>
          <w:tcPr>
            <w:tcW w:w="40" w:type="dxa"/>
            <w:vAlign w:val="bottom"/>
            <w:tcBorders>
              <w:bottom w:val="single" w:sz="8" w:color="E7417A"/>
            </w:tcBorders>
            <w:vMerge w:val="continue"/>
          </w:tcPr>
          <w:p>
            <w:pPr>
              <w:spacing w:after="0"/>
              <w:rPr>
                <w:sz w:val="6"/>
                <w:szCs w:val="6"/>
                <w:color w:val="auto"/>
              </w:rPr>
            </w:pPr>
          </w:p>
        </w:tc>
        <w:tc>
          <w:tcPr>
            <w:tcW w:w="100" w:type="dxa"/>
            <w:vAlign w:val="bottom"/>
            <w:tcBorders>
              <w:bottom w:val="single" w:sz="8" w:color="E7417A"/>
            </w:tcBorders>
          </w:tcPr>
          <w:p>
            <w:pPr>
              <w:spacing w:after="0"/>
              <w:rPr>
                <w:sz w:val="6"/>
                <w:szCs w:val="6"/>
                <w:color w:val="auto"/>
              </w:rPr>
            </w:pPr>
          </w:p>
        </w:tc>
        <w:tc>
          <w:tcPr>
            <w:tcW w:w="40" w:type="dxa"/>
            <w:vAlign w:val="bottom"/>
            <w:tcBorders>
              <w:bottom w:val="single" w:sz="8" w:color="E7417A"/>
            </w:tcBorders>
          </w:tcPr>
          <w:p>
            <w:pPr>
              <w:spacing w:after="0"/>
              <w:rPr>
                <w:sz w:val="6"/>
                <w:szCs w:val="6"/>
                <w:color w:val="auto"/>
              </w:rPr>
            </w:pPr>
          </w:p>
        </w:tc>
        <w:tc>
          <w:tcPr>
            <w:tcW w:w="680" w:type="dxa"/>
            <w:vAlign w:val="bottom"/>
            <w:tcBorders>
              <w:bottom w:val="single" w:sz="8" w:color="E7417A"/>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480" w:type="dxa"/>
            <w:vAlign w:val="bottom"/>
            <w:gridSpan w:val="3"/>
          </w:tcPr>
          <w:p>
            <w:pPr>
              <w:jc w:val="right"/>
              <w:spacing w:after="0" w:line="276" w:lineRule="exact"/>
              <w:rPr>
                <w:sz w:val="20"/>
                <w:szCs w:val="20"/>
                <w:color w:val="auto"/>
              </w:rPr>
            </w:pPr>
            <w:r>
              <w:rPr>
                <w:rFonts w:ascii="Arial" w:cs="Arial" w:eastAsia="Arial" w:hAnsi="Arial"/>
                <w:sz w:val="14"/>
                <w:szCs w:val="14"/>
                <w:color w:val="auto"/>
              </w:rPr>
              <w:t xml:space="preserve">​ </w:t>
            </w:r>
            <w:r>
              <w:rPr>
                <w:rFonts w:ascii="Arial" w:cs="Arial" w:eastAsia="Arial" w:hAnsi="Arial"/>
                <w:sz w:val="32"/>
                <w:szCs w:val="32"/>
                <w:color w:val="62259D"/>
                <w:vertAlign w:val="subscript"/>
              </w:rPr>
              <w:t>2</w:t>
            </w:r>
            <w:r>
              <w:rPr>
                <w:rFonts w:ascii="Arial" w:cs="Arial" w:eastAsia="Arial" w:hAnsi="Arial"/>
                <w:sz w:val="14"/>
                <w:szCs w:val="14"/>
                <w:color w:val="auto"/>
              </w:rPr>
              <w:t>​ ​</w:t>
            </w:r>
          </w:p>
        </w:tc>
        <w:tc>
          <w:tcPr>
            <w:tcW w:w="3880" w:type="dxa"/>
            <w:vAlign w:val="bottom"/>
          </w:tcPr>
          <w:p>
            <w:pPr>
              <w:ind w:left="20"/>
              <w:spacing w:after="0"/>
              <w:rPr>
                <w:sz w:val="20"/>
                <w:szCs w:val="20"/>
                <w:color w:val="auto"/>
              </w:rPr>
            </w:pPr>
            <w:r>
              <w:rPr>
                <w:rFonts w:ascii="Arial" w:cs="Arial" w:eastAsia="Arial" w:hAnsi="Arial"/>
                <w:sz w:val="16"/>
                <w:szCs w:val="16"/>
                <w:color w:val="auto"/>
              </w:rPr>
              <w:t>Ratification of the appointment of auditors</w:t>
            </w:r>
          </w:p>
        </w:tc>
        <w:tc>
          <w:tcPr>
            <w:tcW w:w="480" w:type="dxa"/>
            <w:vAlign w:val="bottom"/>
          </w:tcPr>
          <w:p>
            <w:pPr>
              <w:ind w:left="200"/>
              <w:spacing w:after="0"/>
              <w:rPr>
                <w:sz w:val="20"/>
                <w:szCs w:val="20"/>
                <w:color w:val="auto"/>
              </w:rPr>
            </w:pPr>
            <w:r>
              <w:rPr>
                <w:rFonts w:ascii="Arial" w:cs="Arial" w:eastAsia="Arial" w:hAnsi="Arial"/>
                <w:sz w:val="16"/>
                <w:szCs w:val="16"/>
                <w:color w:val="auto"/>
              </w:rPr>
              <w:t>​ ​</w:t>
            </w:r>
          </w:p>
        </w:tc>
        <w:tc>
          <w:tcPr>
            <w:tcW w:w="2300" w:type="dxa"/>
            <w:vAlign w:val="bottom"/>
          </w:tcPr>
          <w:p>
            <w:pPr>
              <w:ind w:left="120"/>
              <w:spacing w:after="0" w:line="276" w:lineRule="exact"/>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E7417A"/>
              </w:rPr>
              <w:t>FOR</w:t>
            </w:r>
          </w:p>
        </w:tc>
        <w:tc>
          <w:tcPr>
            <w:tcW w:w="860" w:type="dxa"/>
            <w:vAlign w:val="bottom"/>
          </w:tcPr>
          <w:p>
            <w:pPr>
              <w:ind w:left="60"/>
              <w:spacing w:after="0"/>
              <w:rPr>
                <w:sz w:val="20"/>
                <w:szCs w:val="20"/>
                <w:color w:val="auto"/>
              </w:rPr>
            </w:pPr>
            <w:r>
              <w:rPr>
                <w:rFonts w:ascii="Arial" w:cs="Arial" w:eastAsia="Arial" w:hAnsi="Arial"/>
                <w:sz w:val="16"/>
                <w:szCs w:val="16"/>
                <w:color w:val="auto"/>
              </w:rPr>
              <w:t>​ ​</w:t>
            </w:r>
          </w:p>
        </w:tc>
        <w:tc>
          <w:tcPr>
            <w:tcW w:w="180" w:type="dxa"/>
            <w:vAlign w:val="bottom"/>
            <w:tcBorders>
              <w:bottom w:val="single" w:sz="8" w:color="0000EE"/>
            </w:tcBorders>
            <w:gridSpan w:val="3"/>
          </w:tcPr>
          <w:p>
            <w:pPr>
              <w:jc w:val="center"/>
              <w:spacing w:after="0"/>
              <w:rPr>
                <w:sz w:val="20"/>
                <w:szCs w:val="20"/>
                <w:color w:val="auto"/>
              </w:rPr>
            </w:pPr>
            <w:r>
              <w:rPr>
                <w:rFonts w:ascii="Arial" w:cs="Arial" w:eastAsia="Arial" w:hAnsi="Arial"/>
                <w:sz w:val="16"/>
                <w:szCs w:val="16"/>
                <w:color w:val="0000EE"/>
              </w:rPr>
              <w:t>31</w:t>
            </w:r>
          </w:p>
        </w:tc>
        <w:tc>
          <w:tcPr>
            <w:tcW w:w="680" w:type="dxa"/>
            <w:vAlign w:val="bottom"/>
          </w:tcPr>
          <w:p>
            <w:pPr>
              <w:ind w:left="5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5"/>
        </w:trPr>
        <w:tc>
          <w:tcPr>
            <w:tcW w:w="80" w:type="dxa"/>
            <w:vAlign w:val="bottom"/>
            <w:tcBorders>
              <w:bottom w:val="single" w:sz="8" w:color="E7417A"/>
            </w:tcBorders>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3880" w:type="dxa"/>
            <w:vAlign w:val="bottom"/>
            <w:tcBorders>
              <w:bottom w:val="single" w:sz="8" w:color="E7417A"/>
            </w:tcBorders>
          </w:tcPr>
          <w:p>
            <w:pPr>
              <w:spacing w:after="0"/>
              <w:rPr>
                <w:sz w:val="6"/>
                <w:szCs w:val="6"/>
                <w:color w:val="auto"/>
              </w:rPr>
            </w:pPr>
          </w:p>
        </w:tc>
        <w:tc>
          <w:tcPr>
            <w:tcW w:w="480" w:type="dxa"/>
            <w:vAlign w:val="bottom"/>
            <w:tcBorders>
              <w:bottom w:val="single" w:sz="8" w:color="E7417A"/>
            </w:tcBorders>
          </w:tcPr>
          <w:p>
            <w:pPr>
              <w:spacing w:after="0"/>
              <w:rPr>
                <w:sz w:val="6"/>
                <w:szCs w:val="6"/>
                <w:color w:val="auto"/>
              </w:rPr>
            </w:pPr>
          </w:p>
        </w:tc>
        <w:tc>
          <w:tcPr>
            <w:tcW w:w="2300" w:type="dxa"/>
            <w:vAlign w:val="bottom"/>
            <w:tcBorders>
              <w:bottom w:val="single" w:sz="8" w:color="E7417A"/>
            </w:tcBorders>
          </w:tcPr>
          <w:p>
            <w:pPr>
              <w:spacing w:after="0"/>
              <w:rPr>
                <w:sz w:val="6"/>
                <w:szCs w:val="6"/>
                <w:color w:val="auto"/>
              </w:rPr>
            </w:pPr>
          </w:p>
        </w:tc>
        <w:tc>
          <w:tcPr>
            <w:tcW w:w="860" w:type="dxa"/>
            <w:vAlign w:val="bottom"/>
            <w:tcBorders>
              <w:bottom w:val="single" w:sz="8" w:color="E7417A"/>
            </w:tcBorders>
          </w:tcPr>
          <w:p>
            <w:pPr>
              <w:spacing w:after="0"/>
              <w:rPr>
                <w:sz w:val="6"/>
                <w:szCs w:val="6"/>
                <w:color w:val="auto"/>
              </w:rPr>
            </w:pPr>
          </w:p>
        </w:tc>
        <w:tc>
          <w:tcPr>
            <w:tcW w:w="40" w:type="dxa"/>
            <w:vAlign w:val="bottom"/>
            <w:tcBorders>
              <w:bottom w:val="single" w:sz="8" w:color="E7417A"/>
            </w:tcBorders>
          </w:tcPr>
          <w:p>
            <w:pPr>
              <w:spacing w:after="0"/>
              <w:rPr>
                <w:sz w:val="6"/>
                <w:szCs w:val="6"/>
                <w:color w:val="auto"/>
              </w:rPr>
            </w:pPr>
          </w:p>
        </w:tc>
        <w:tc>
          <w:tcPr>
            <w:tcW w:w="100" w:type="dxa"/>
            <w:vAlign w:val="bottom"/>
            <w:tcBorders>
              <w:bottom w:val="single" w:sz="8" w:color="E7417A"/>
            </w:tcBorders>
          </w:tcPr>
          <w:p>
            <w:pPr>
              <w:spacing w:after="0"/>
              <w:rPr>
                <w:sz w:val="6"/>
                <w:szCs w:val="6"/>
                <w:color w:val="auto"/>
              </w:rPr>
            </w:pPr>
          </w:p>
        </w:tc>
        <w:tc>
          <w:tcPr>
            <w:tcW w:w="40" w:type="dxa"/>
            <w:vAlign w:val="bottom"/>
            <w:tcBorders>
              <w:bottom w:val="single" w:sz="8" w:color="E7417A"/>
            </w:tcBorders>
          </w:tcPr>
          <w:p>
            <w:pPr>
              <w:spacing w:after="0"/>
              <w:rPr>
                <w:sz w:val="6"/>
                <w:szCs w:val="6"/>
                <w:color w:val="auto"/>
              </w:rPr>
            </w:pPr>
          </w:p>
        </w:tc>
        <w:tc>
          <w:tcPr>
            <w:tcW w:w="680" w:type="dxa"/>
            <w:vAlign w:val="bottom"/>
            <w:tcBorders>
              <w:bottom w:val="single" w:sz="8" w:color="E7417A"/>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line="155" w:lineRule="exact"/>
              <w:rPr>
                <w:sz w:val="20"/>
                <w:szCs w:val="20"/>
                <w:color w:val="auto"/>
              </w:rPr>
            </w:pPr>
            <w:r>
              <w:rPr>
                <w:rFonts w:ascii="Arial" w:cs="Arial" w:eastAsia="Arial" w:hAnsi="Arial"/>
                <w:sz w:val="16"/>
                <w:szCs w:val="16"/>
                <w:color w:val="auto"/>
              </w:rPr>
              <w:t>​</w:t>
            </w:r>
          </w:p>
        </w:tc>
        <w:tc>
          <w:tcPr>
            <w:tcW w:w="200" w:type="dxa"/>
            <w:vAlign w:val="bottom"/>
            <w:vMerge w:val="restart"/>
          </w:tcPr>
          <w:p>
            <w:pPr>
              <w:jc w:val="right"/>
              <w:spacing w:after="0"/>
              <w:rPr>
                <w:sz w:val="20"/>
                <w:szCs w:val="20"/>
                <w:color w:val="auto"/>
              </w:rPr>
            </w:pPr>
            <w:r>
              <w:rPr>
                <w:rFonts w:ascii="Arial" w:cs="Arial" w:eastAsia="Arial" w:hAnsi="Arial"/>
                <w:sz w:val="32"/>
                <w:szCs w:val="32"/>
                <w:color w:val="62259D"/>
              </w:rPr>
              <w:t>3</w:t>
            </w:r>
          </w:p>
        </w:tc>
        <w:tc>
          <w:tcPr>
            <w:tcW w:w="200" w:type="dxa"/>
            <w:vAlign w:val="bottom"/>
          </w:tcPr>
          <w:p>
            <w:pPr>
              <w:jc w:val="right"/>
              <w:spacing w:after="0" w:line="155" w:lineRule="exact"/>
              <w:rPr>
                <w:sz w:val="20"/>
                <w:szCs w:val="20"/>
                <w:color w:val="auto"/>
              </w:rPr>
            </w:pPr>
            <w:r>
              <w:rPr>
                <w:rFonts w:ascii="Arial" w:cs="Arial" w:eastAsia="Arial" w:hAnsi="Arial"/>
                <w:sz w:val="16"/>
                <w:szCs w:val="16"/>
                <w:color w:val="auto"/>
              </w:rPr>
              <w:t>​ ​</w:t>
            </w:r>
          </w:p>
        </w:tc>
        <w:tc>
          <w:tcPr>
            <w:tcW w:w="3880" w:type="dxa"/>
            <w:vAlign w:val="bottom"/>
          </w:tcPr>
          <w:p>
            <w:pPr>
              <w:ind w:left="20"/>
              <w:spacing w:after="0" w:line="155" w:lineRule="exact"/>
              <w:rPr>
                <w:sz w:val="20"/>
                <w:szCs w:val="20"/>
                <w:color w:val="auto"/>
              </w:rPr>
            </w:pPr>
            <w:r>
              <w:rPr>
                <w:rFonts w:ascii="Arial" w:cs="Arial" w:eastAsia="Arial" w:hAnsi="Arial"/>
                <w:sz w:val="16"/>
                <w:szCs w:val="16"/>
                <w:color w:val="auto"/>
              </w:rPr>
              <w:t>Approval, on a non-binding advisory basis, of the</w:t>
            </w:r>
          </w:p>
        </w:tc>
        <w:tc>
          <w:tcPr>
            <w:tcW w:w="480" w:type="dxa"/>
            <w:vAlign w:val="bottom"/>
          </w:tcPr>
          <w:p>
            <w:pPr>
              <w:ind w:left="200"/>
              <w:spacing w:after="0" w:line="155" w:lineRule="exact"/>
              <w:rPr>
                <w:sz w:val="20"/>
                <w:szCs w:val="20"/>
                <w:color w:val="auto"/>
              </w:rPr>
            </w:pPr>
            <w:r>
              <w:rPr>
                <w:rFonts w:ascii="Arial" w:cs="Arial" w:eastAsia="Arial" w:hAnsi="Arial"/>
                <w:sz w:val="16"/>
                <w:szCs w:val="16"/>
                <w:color w:val="auto"/>
              </w:rPr>
              <w:t>​ ​</w:t>
            </w:r>
          </w:p>
        </w:tc>
        <w:tc>
          <w:tcPr>
            <w:tcW w:w="2300" w:type="dxa"/>
            <w:vAlign w:val="bottom"/>
          </w:tcPr>
          <w:p>
            <w:pPr>
              <w:ind w:left="120"/>
              <w:spacing w:after="0" w:line="155" w:lineRule="exact"/>
              <w:rPr>
                <w:sz w:val="20"/>
                <w:szCs w:val="20"/>
                <w:color w:val="auto"/>
              </w:rPr>
            </w:pPr>
            <w:r>
              <w:rPr>
                <w:rFonts w:ascii="Arial" w:cs="Arial" w:eastAsia="Arial" w:hAnsi="Arial"/>
                <w:sz w:val="16"/>
                <w:szCs w:val="16"/>
                <w:color w:val="auto"/>
              </w:rPr>
              <w:t>​​</w:t>
            </w:r>
          </w:p>
        </w:tc>
        <w:tc>
          <w:tcPr>
            <w:tcW w:w="860" w:type="dxa"/>
            <w:vAlign w:val="bottom"/>
          </w:tcPr>
          <w:p>
            <w:pPr>
              <w:ind w:left="60"/>
              <w:spacing w:after="0" w:line="155" w:lineRule="exact"/>
              <w:rPr>
                <w:sz w:val="20"/>
                <w:szCs w:val="20"/>
                <w:color w:val="auto"/>
              </w:rPr>
            </w:pPr>
            <w:r>
              <w:rPr>
                <w:rFonts w:ascii="Arial" w:cs="Arial" w:eastAsia="Arial" w:hAnsi="Arial"/>
                <w:sz w:val="16"/>
                <w:szCs w:val="16"/>
                <w:color w:val="auto"/>
              </w:rPr>
              <w:t>​ ​</w:t>
            </w:r>
          </w:p>
        </w:tc>
        <w:tc>
          <w:tcPr>
            <w:tcW w:w="180" w:type="dxa"/>
            <w:vAlign w:val="bottom"/>
            <w:gridSpan w:val="3"/>
            <w:vMerge w:val="restart"/>
          </w:tcPr>
          <w:p>
            <w:pPr>
              <w:jc w:val="center"/>
              <w:spacing w:after="0"/>
              <w:rPr>
                <w:sz w:val="20"/>
                <w:szCs w:val="20"/>
                <w:color w:val="auto"/>
              </w:rPr>
            </w:pPr>
            <w:r>
              <w:rPr>
                <w:rFonts w:ascii="Arial" w:cs="Arial" w:eastAsia="Arial" w:hAnsi="Arial"/>
                <w:sz w:val="16"/>
                <w:szCs w:val="16"/>
                <w:color w:val="0000EE"/>
              </w:rPr>
              <w:t>36</w:t>
            </w:r>
          </w:p>
        </w:tc>
        <w:tc>
          <w:tcPr>
            <w:tcW w:w="680" w:type="dxa"/>
            <w:vAlign w:val="bottom"/>
          </w:tcPr>
          <w:p>
            <w:pPr>
              <w:ind w:left="580"/>
              <w:spacing w:after="0" w:line="155"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880" w:type="dxa"/>
            <w:vAlign w:val="bottom"/>
            <w:vMerge w:val="restart"/>
          </w:tcPr>
          <w:p>
            <w:pPr>
              <w:ind w:left="20"/>
              <w:spacing w:after="0"/>
              <w:rPr>
                <w:sz w:val="20"/>
                <w:szCs w:val="20"/>
                <w:color w:val="auto"/>
              </w:rPr>
            </w:pPr>
            <w:r>
              <w:rPr>
                <w:rFonts w:ascii="Arial" w:cs="Arial" w:eastAsia="Arial" w:hAnsi="Arial"/>
                <w:sz w:val="16"/>
                <w:szCs w:val="16"/>
                <w:color w:val="auto"/>
              </w:rPr>
              <w:t>compensation of our named executive officers</w:t>
            </w:r>
          </w:p>
        </w:tc>
        <w:tc>
          <w:tcPr>
            <w:tcW w:w="480" w:type="dxa"/>
            <w:vAlign w:val="bottom"/>
          </w:tcPr>
          <w:p>
            <w:pPr>
              <w:spacing w:after="0"/>
              <w:rPr>
                <w:sz w:val="11"/>
                <w:szCs w:val="11"/>
                <w:color w:val="auto"/>
              </w:rPr>
            </w:pPr>
          </w:p>
        </w:tc>
        <w:tc>
          <w:tcPr>
            <w:tcW w:w="2300" w:type="dxa"/>
            <w:vAlign w:val="bottom"/>
            <w:vMerge w:val="restart"/>
          </w:tcPr>
          <w:p>
            <w:pPr>
              <w:ind w:left="220"/>
              <w:spacing w:after="0"/>
              <w:rPr>
                <w:sz w:val="20"/>
                <w:szCs w:val="20"/>
                <w:color w:val="auto"/>
              </w:rPr>
            </w:pPr>
            <w:r>
              <w:rPr>
                <w:rFonts w:ascii="Arial" w:cs="Arial" w:eastAsia="Arial" w:hAnsi="Arial"/>
                <w:sz w:val="16"/>
                <w:szCs w:val="16"/>
                <w:b w:val="1"/>
                <w:bCs w:val="1"/>
                <w:color w:val="E7417A"/>
              </w:rPr>
              <w:t>FOR</w:t>
            </w:r>
          </w:p>
        </w:tc>
        <w:tc>
          <w:tcPr>
            <w:tcW w:w="860" w:type="dxa"/>
            <w:vAlign w:val="bottom"/>
          </w:tcPr>
          <w:p>
            <w:pPr>
              <w:spacing w:after="0"/>
              <w:rPr>
                <w:sz w:val="11"/>
                <w:szCs w:val="11"/>
                <w:color w:val="auto"/>
              </w:rPr>
            </w:pPr>
          </w:p>
        </w:tc>
        <w:tc>
          <w:tcPr>
            <w:tcW w:w="180" w:type="dxa"/>
            <w:vAlign w:val="bottom"/>
            <w:tcBorders>
              <w:bottom w:val="single" w:sz="8" w:color="0000EE"/>
            </w:tcBorders>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62259D"/>
            </w:tcBorders>
          </w:tcPr>
          <w:p>
            <w:pPr>
              <w:spacing w:after="0"/>
              <w:rPr>
                <w:sz w:val="7"/>
                <w:szCs w:val="7"/>
                <w:color w:val="auto"/>
              </w:rPr>
            </w:pPr>
          </w:p>
        </w:tc>
        <w:tc>
          <w:tcPr>
            <w:tcW w:w="200" w:type="dxa"/>
            <w:vAlign w:val="bottom"/>
            <w:tcBorders>
              <w:bottom w:val="single" w:sz="8" w:color="62259D"/>
            </w:tcBorders>
            <w:vMerge w:val="continue"/>
          </w:tcPr>
          <w:p>
            <w:pPr>
              <w:spacing w:after="0"/>
              <w:rPr>
                <w:sz w:val="7"/>
                <w:szCs w:val="7"/>
                <w:color w:val="auto"/>
              </w:rPr>
            </w:pPr>
          </w:p>
        </w:tc>
        <w:tc>
          <w:tcPr>
            <w:tcW w:w="200" w:type="dxa"/>
            <w:vAlign w:val="bottom"/>
            <w:tcBorders>
              <w:bottom w:val="single" w:sz="8" w:color="62259D"/>
            </w:tcBorders>
          </w:tcPr>
          <w:p>
            <w:pPr>
              <w:spacing w:after="0"/>
              <w:rPr>
                <w:sz w:val="7"/>
                <w:szCs w:val="7"/>
                <w:color w:val="auto"/>
              </w:rPr>
            </w:pPr>
          </w:p>
        </w:tc>
        <w:tc>
          <w:tcPr>
            <w:tcW w:w="3880" w:type="dxa"/>
            <w:vAlign w:val="bottom"/>
            <w:tcBorders>
              <w:bottom w:val="single" w:sz="8" w:color="62259D"/>
            </w:tcBorders>
            <w:vMerge w:val="continue"/>
          </w:tcPr>
          <w:p>
            <w:pPr>
              <w:spacing w:after="0"/>
              <w:rPr>
                <w:sz w:val="7"/>
                <w:szCs w:val="7"/>
                <w:color w:val="auto"/>
              </w:rPr>
            </w:pPr>
          </w:p>
        </w:tc>
        <w:tc>
          <w:tcPr>
            <w:tcW w:w="480" w:type="dxa"/>
            <w:vAlign w:val="bottom"/>
            <w:tcBorders>
              <w:bottom w:val="single" w:sz="8" w:color="62259D"/>
            </w:tcBorders>
          </w:tcPr>
          <w:p>
            <w:pPr>
              <w:spacing w:after="0"/>
              <w:rPr>
                <w:sz w:val="7"/>
                <w:szCs w:val="7"/>
                <w:color w:val="auto"/>
              </w:rPr>
            </w:pPr>
          </w:p>
        </w:tc>
        <w:tc>
          <w:tcPr>
            <w:tcW w:w="2300" w:type="dxa"/>
            <w:vAlign w:val="bottom"/>
            <w:tcBorders>
              <w:bottom w:val="single" w:sz="8" w:color="62259D"/>
            </w:tcBorders>
            <w:vMerge w:val="continue"/>
          </w:tcPr>
          <w:p>
            <w:pPr>
              <w:spacing w:after="0"/>
              <w:rPr>
                <w:sz w:val="7"/>
                <w:szCs w:val="7"/>
                <w:color w:val="auto"/>
              </w:rPr>
            </w:pPr>
          </w:p>
        </w:tc>
        <w:tc>
          <w:tcPr>
            <w:tcW w:w="860" w:type="dxa"/>
            <w:vAlign w:val="bottom"/>
            <w:tcBorders>
              <w:bottom w:val="single" w:sz="8" w:color="62259D"/>
            </w:tcBorders>
          </w:tcPr>
          <w:p>
            <w:pPr>
              <w:spacing w:after="0"/>
              <w:rPr>
                <w:sz w:val="7"/>
                <w:szCs w:val="7"/>
                <w:color w:val="auto"/>
              </w:rPr>
            </w:pPr>
          </w:p>
        </w:tc>
        <w:tc>
          <w:tcPr>
            <w:tcW w:w="180" w:type="dxa"/>
            <w:vAlign w:val="bottom"/>
            <w:tcBorders>
              <w:bottom w:val="single" w:sz="8" w:color="62259D"/>
            </w:tcBorders>
            <w:gridSpan w:val="3"/>
          </w:tcPr>
          <w:p>
            <w:pPr>
              <w:spacing w:after="0"/>
              <w:rPr>
                <w:sz w:val="7"/>
                <w:szCs w:val="7"/>
                <w:color w:val="auto"/>
              </w:rPr>
            </w:pPr>
          </w:p>
        </w:tc>
        <w:tc>
          <w:tcPr>
            <w:tcW w:w="680" w:type="dxa"/>
            <w:vAlign w:val="bottom"/>
            <w:tcBorders>
              <w:bottom w:val="single" w:sz="8" w:color="62259D"/>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-745490</wp:posOffset>
            </wp:positionV>
            <wp:extent cx="111125"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-479425</wp:posOffset>
            </wp:positionV>
            <wp:extent cx="111125"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102870"/>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-222250</wp:posOffset>
            </wp:positionV>
            <wp:extent cx="111125"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E7417A"/>
            </w:tcBorders>
          </w:tcPr>
          <w:p>
            <w:pPr>
              <w:spacing w:after="0"/>
              <w:rPr>
                <w:sz w:val="20"/>
                <w:szCs w:val="20"/>
                <w:color w:val="auto"/>
              </w:rPr>
            </w:pPr>
            <w:r>
              <w:rPr>
                <w:rFonts w:ascii="Arial" w:cs="Arial" w:eastAsia="Arial" w:hAnsi="Arial"/>
                <w:sz w:val="13"/>
                <w:szCs w:val="13"/>
                <w:b w:val="1"/>
                <w:bCs w:val="1"/>
                <w:color w:val="9166BA"/>
              </w:rPr>
              <w:t>​</w:t>
            </w:r>
          </w:p>
        </w:tc>
        <w:tc>
          <w:tcPr>
            <w:tcW w:w="840" w:type="dxa"/>
            <w:vAlign w:val="bottom"/>
            <w:tcBorders>
              <w:bottom w:val="single" w:sz="8" w:color="E7417A"/>
            </w:tcBorders>
          </w:tcPr>
          <w:p>
            <w:pPr>
              <w:ind w:left="38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9166BA"/>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9166BA"/>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9166BA"/>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9166BA"/>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9166BA"/>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9166BA"/>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9166BA"/>
              </w:rPr>
              <w:t>​</w:t>
            </w:r>
          </w:p>
        </w:tc>
        <w:tc>
          <w:tcPr>
            <w:tcW w:w="40" w:type="dxa"/>
            <w:vAlign w:val="bottom"/>
          </w:tcPr>
          <w:p>
            <w:pPr>
              <w:spacing w:after="0"/>
              <w:rPr>
                <w:sz w:val="20"/>
                <w:szCs w:val="20"/>
                <w:color w:val="auto"/>
              </w:rPr>
            </w:pPr>
            <w:r>
              <w:rPr>
                <w:rFonts w:ascii="Arial" w:cs="Arial" w:eastAsia="Arial" w:hAnsi="Arial"/>
                <w:sz w:val="13"/>
                <w:szCs w:val="13"/>
                <w:b w:val="1"/>
                <w:bCs w:val="1"/>
                <w:color w:val="9166BA"/>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9166BA"/>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Current Board of Directors and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108585</wp:posOffset>
            </wp:positionV>
            <wp:extent cx="5623560" cy="5746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23560" cy="574675"/>
                    </a:xfrm>
                    <a:prstGeom prst="rect">
                      <a:avLst/>
                    </a:prstGeom>
                    <a:noFill/>
                  </pic:spPr>
                </pic:pic>
              </a:graphicData>
            </a:graphic>
          </wp:anchor>
        </w:drawing>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2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vMerge w:val="restart"/>
          </w:tcPr>
          <w:p>
            <w:pPr>
              <w:jc w:val="right"/>
              <w:ind w:right="110"/>
              <w:spacing w:after="0"/>
              <w:rPr>
                <w:sz w:val="20"/>
                <w:szCs w:val="20"/>
                <w:color w:val="auto"/>
              </w:rPr>
            </w:pPr>
            <w:r>
              <w:rPr>
                <w:rFonts w:ascii="Arial" w:cs="Arial" w:eastAsia="Arial" w:hAnsi="Arial"/>
                <w:sz w:val="13"/>
                <w:szCs w:val="13"/>
                <w:b w:val="1"/>
                <w:bCs w:val="1"/>
                <w:color w:val="FEFEFE"/>
              </w:rPr>
              <w:t>Other</w:t>
            </w:r>
          </w:p>
        </w:tc>
        <w:tc>
          <w:tcPr>
            <w:tcW w:w="40" w:type="dxa"/>
            <w:vAlign w:val="bottom"/>
          </w:tcPr>
          <w:p>
            <w:pPr>
              <w:spacing w:after="0"/>
              <w:rPr>
                <w:sz w:val="19"/>
                <w:szCs w:val="19"/>
                <w:color w:val="auto"/>
              </w:rPr>
            </w:pPr>
          </w:p>
        </w:tc>
        <w:tc>
          <w:tcPr>
            <w:tcW w:w="120" w:type="dxa"/>
            <w:vAlign w:val="bottom"/>
            <w:tcBorders>
              <w:bottom w:val="single" w:sz="8" w:color="FEFEFE"/>
            </w:tcBorders>
          </w:tcPr>
          <w:p>
            <w:pPr>
              <w:spacing w:after="0"/>
              <w:rPr>
                <w:sz w:val="20"/>
                <w:szCs w:val="20"/>
                <w:color w:val="auto"/>
              </w:rPr>
            </w:pPr>
            <w:r>
              <w:rPr>
                <w:rFonts w:ascii="Arial" w:cs="Arial" w:eastAsia="Arial" w:hAnsi="Arial"/>
                <w:sz w:val="13"/>
                <w:szCs w:val="13"/>
                <w:b w:val="1"/>
                <w:bCs w:val="1"/>
                <w:color w:val="FEFEFE"/>
              </w:rPr>
              <w:t>​</w:t>
            </w:r>
          </w:p>
        </w:tc>
        <w:tc>
          <w:tcPr>
            <w:tcW w:w="400" w:type="dxa"/>
            <w:vAlign w:val="bottom"/>
            <w:tcBorders>
              <w:bottom w:val="single" w:sz="8" w:color="FEFEFE"/>
            </w:tcBorders>
          </w:tcPr>
          <w:p>
            <w:pPr>
              <w:spacing w:after="0"/>
              <w:rPr>
                <w:sz w:val="19"/>
                <w:szCs w:val="19"/>
                <w:color w:val="auto"/>
              </w:rPr>
            </w:pPr>
          </w:p>
        </w:tc>
        <w:tc>
          <w:tcPr>
            <w:tcW w:w="160" w:type="dxa"/>
            <w:vAlign w:val="bottom"/>
            <w:tcBorders>
              <w:bottom w:val="single" w:sz="8" w:color="FEFEFE"/>
            </w:tcBorders>
          </w:tcPr>
          <w:p>
            <w:pPr>
              <w:spacing w:after="0"/>
              <w:rPr>
                <w:sz w:val="19"/>
                <w:szCs w:val="19"/>
                <w:color w:val="auto"/>
              </w:rPr>
            </w:pPr>
          </w:p>
        </w:tc>
        <w:tc>
          <w:tcPr>
            <w:tcW w:w="3120" w:type="dxa"/>
            <w:vAlign w:val="bottom"/>
            <w:tcBorders>
              <w:bottom w:val="single" w:sz="8" w:color="FEFEFE"/>
            </w:tcBorders>
            <w:gridSpan w:val="6"/>
          </w:tcPr>
          <w:p>
            <w:pPr>
              <w:ind w:left="100"/>
              <w:spacing w:after="0"/>
              <w:rPr>
                <w:sz w:val="20"/>
                <w:szCs w:val="20"/>
                <w:color w:val="auto"/>
              </w:rPr>
            </w:pPr>
            <w:r>
              <w:rPr>
                <w:rFonts w:ascii="Arial" w:cs="Arial" w:eastAsia="Arial" w:hAnsi="Arial"/>
                <w:sz w:val="13"/>
                <w:szCs w:val="13"/>
                <w:b w:val="1"/>
                <w:bCs w:val="1"/>
                <w:color w:val="FEFEFE"/>
              </w:rPr>
              <w:t>Current Committee Membership</w:t>
            </w:r>
          </w:p>
        </w:tc>
        <w:tc>
          <w:tcPr>
            <w:tcW w:w="60" w:type="dxa"/>
            <w:vAlign w:val="bottom"/>
            <w:gridSpan w:val="2"/>
          </w:tcPr>
          <w:p>
            <w:pPr>
              <w:ind w:left="2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1"/>
        </w:trPr>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ind w:left="40"/>
              <w:spacing w:after="0" w:line="141" w:lineRule="exact"/>
              <w:rPr>
                <w:sz w:val="20"/>
                <w:szCs w:val="20"/>
                <w:color w:val="auto"/>
              </w:rPr>
            </w:pPr>
            <w:r>
              <w:rPr>
                <w:rFonts w:ascii="Arial" w:cs="Arial" w:eastAsia="Arial" w:hAnsi="Arial"/>
                <w:sz w:val="13"/>
                <w:szCs w:val="13"/>
                <w:b w:val="1"/>
                <w:bCs w:val="1"/>
                <w:color w:val="FEFEFE"/>
              </w:rPr>
              <w:t>Nominating,</w:t>
            </w: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70"/>
              <w:spacing w:after="0"/>
              <w:rPr>
                <w:sz w:val="20"/>
                <w:szCs w:val="20"/>
                <w:color w:val="auto"/>
              </w:rPr>
            </w:pPr>
            <w:r>
              <w:rPr>
                <w:rFonts w:ascii="Arial" w:cs="Arial" w:eastAsia="Arial" w:hAnsi="Arial"/>
                <w:sz w:val="13"/>
                <w:szCs w:val="13"/>
                <w:b w:val="1"/>
                <w:bCs w:val="1"/>
                <w:color w:val="FEFEFE"/>
              </w:rPr>
              <w:t>Public</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FEFEFE"/>
              </w:rPr>
              <w:t>Sustainability &amp;</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3"/>
                <w:szCs w:val="13"/>
                <w:b w:val="1"/>
                <w:bCs w:val="1"/>
                <w:color w:val="FEFEFE"/>
              </w:rPr>
              <w:t>Director</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gridSpan w:val="2"/>
          </w:tcPr>
          <w:p>
            <w:pPr>
              <w:ind w:left="200"/>
              <w:spacing w:after="0"/>
              <w:rPr>
                <w:sz w:val="20"/>
                <w:szCs w:val="20"/>
                <w:color w:val="auto"/>
              </w:rPr>
            </w:pPr>
            <w:r>
              <w:rPr>
                <w:rFonts w:ascii="Arial" w:cs="Arial" w:eastAsia="Arial" w:hAnsi="Arial"/>
                <w:sz w:val="13"/>
                <w:szCs w:val="13"/>
                <w:b w:val="1"/>
                <w:bCs w:val="1"/>
                <w:color w:val="FEFEFE"/>
              </w:rPr>
              <w:t>Company</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ind w:left="120"/>
              <w:spacing w:after="0"/>
              <w:rPr>
                <w:sz w:val="20"/>
                <w:szCs w:val="20"/>
                <w:color w:val="auto"/>
              </w:rPr>
            </w:pPr>
            <w:r>
              <w:rPr>
                <w:rFonts w:ascii="Arial" w:cs="Arial" w:eastAsia="Arial" w:hAnsi="Arial"/>
                <w:sz w:val="13"/>
                <w:szCs w:val="13"/>
                <w:b w:val="1"/>
                <w:bCs w:val="1"/>
                <w:color w:val="FEFEFE"/>
              </w:rPr>
              <w:t>Corporate</w:t>
            </w:r>
          </w:p>
        </w:tc>
        <w:tc>
          <w:tcPr>
            <w:tcW w:w="1020" w:type="dxa"/>
            <w:vAlign w:val="bottom"/>
            <w:gridSpan w:val="2"/>
          </w:tcPr>
          <w:p>
            <w:pPr>
              <w:spacing w:after="0"/>
              <w:rPr>
                <w:sz w:val="20"/>
                <w:szCs w:val="20"/>
                <w:color w:val="auto"/>
              </w:rPr>
            </w:pPr>
            <w:r>
              <w:rPr>
                <w:rFonts w:ascii="Arial" w:cs="Arial" w:eastAsia="Arial" w:hAnsi="Arial"/>
                <w:sz w:val="13"/>
                <w:szCs w:val="13"/>
                <w:b w:val="1"/>
                <w:bCs w:val="1"/>
                <w:color w:val="FEFEFE"/>
              </w:rPr>
              <w:t>Technology &amp;</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700" w:type="dxa"/>
            <w:vAlign w:val="bottom"/>
            <w:gridSpan w:val="3"/>
          </w:tcPr>
          <w:p>
            <w:pPr>
              <w:jc w:val="right"/>
              <w:spacing w:after="0" w:line="202" w:lineRule="exact"/>
              <w:rPr>
                <w:sz w:val="20"/>
                <w:szCs w:val="20"/>
                <w:color w:val="auto"/>
              </w:rPr>
            </w:pPr>
            <w:r>
              <w:rPr>
                <w:rFonts w:ascii="Arial" w:cs="Arial" w:eastAsia="Arial" w:hAnsi="Arial"/>
                <w:sz w:val="12"/>
                <w:szCs w:val="12"/>
                <w:b w:val="1"/>
                <w:bCs w:val="1"/>
                <w:color w:val="FEFEFE"/>
              </w:rPr>
              <w:t xml:space="preserve">Name and Principal Occupation </w:t>
            </w:r>
            <w:r>
              <w:rPr>
                <w:rFonts w:ascii="Arial" w:cs="Arial" w:eastAsia="Arial" w:hAnsi="Arial"/>
                <w:sz w:val="23"/>
                <w:szCs w:val="23"/>
                <w:b w:val="1"/>
                <w:bCs w:val="1"/>
                <w:color w:val="FEFEFE"/>
                <w:vertAlign w:val="subscript"/>
              </w:rPr>
              <w:t>​</w:t>
            </w:r>
            <w:r>
              <w:rPr>
                <w:rFonts w:ascii="Arial" w:cs="Arial" w:eastAsia="Arial" w:hAnsi="Arial"/>
                <w:sz w:val="12"/>
                <w:szCs w:val="12"/>
                <w:b w:val="1"/>
                <w:bCs w:val="1"/>
                <w:color w:val="FEFEFE"/>
              </w:rPr>
              <w:t>Age</w:t>
            </w:r>
            <w:r>
              <w:rPr>
                <w:rFonts w:ascii="Arial" w:cs="Arial" w:eastAsia="Arial" w:hAnsi="Arial"/>
                <w:sz w:val="23"/>
                <w:szCs w:val="23"/>
                <w:b w:val="1"/>
                <w:bCs w:val="1"/>
                <w:color w:val="FEFEFE"/>
                <w:vertAlign w:val="subscript"/>
              </w:rPr>
              <w:t>​</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FEFEFE"/>
              </w:rPr>
              <w:t>Since</w:t>
            </w:r>
          </w:p>
        </w:tc>
        <w:tc>
          <w:tcPr>
            <w:tcW w:w="1620" w:type="dxa"/>
            <w:vAlign w:val="bottom"/>
            <w:gridSpan w:val="4"/>
          </w:tcPr>
          <w:p>
            <w:pPr>
              <w:ind w:left="40"/>
              <w:spacing w:after="0" w:line="202" w:lineRule="exact"/>
              <w:rPr>
                <w:sz w:val="20"/>
                <w:szCs w:val="20"/>
                <w:color w:val="auto"/>
              </w:rPr>
            </w:pPr>
            <w:r>
              <w:rPr>
                <w:rFonts w:ascii="Arial" w:cs="Arial" w:eastAsia="Arial" w:hAnsi="Arial"/>
                <w:sz w:val="23"/>
                <w:szCs w:val="23"/>
                <w:b w:val="1"/>
                <w:bCs w:val="1"/>
                <w:color w:val="FEFEFE"/>
                <w:vertAlign w:val="subscript"/>
              </w:rPr>
              <w:t>​</w:t>
            </w:r>
            <w:r>
              <w:rPr>
                <w:rFonts w:ascii="Arial" w:cs="Arial" w:eastAsia="Arial" w:hAnsi="Arial"/>
                <w:sz w:val="12"/>
                <w:szCs w:val="12"/>
                <w:b w:val="1"/>
                <w:bCs w:val="1"/>
                <w:color w:val="FEFEFE"/>
              </w:rPr>
              <w:t>Independent</w:t>
            </w:r>
            <w:r>
              <w:rPr>
                <w:rFonts w:ascii="Arial" w:cs="Arial" w:eastAsia="Arial" w:hAnsi="Arial"/>
                <w:sz w:val="23"/>
                <w:szCs w:val="23"/>
                <w:b w:val="1"/>
                <w:bCs w:val="1"/>
                <w:color w:val="FEFEFE"/>
                <w:vertAlign w:val="subscript"/>
              </w:rPr>
              <w:t>​</w:t>
            </w:r>
            <w:r>
              <w:rPr>
                <w:rFonts w:ascii="Arial" w:cs="Arial" w:eastAsia="Arial" w:hAnsi="Arial"/>
                <w:sz w:val="12"/>
                <w:szCs w:val="12"/>
                <w:b w:val="1"/>
                <w:bCs w:val="1"/>
                <w:color w:val="FEFEFE"/>
              </w:rPr>
              <w:t xml:space="preserve"> Boards</w:t>
            </w:r>
          </w:p>
        </w:tc>
        <w:tc>
          <w:tcPr>
            <w:tcW w:w="1720" w:type="dxa"/>
            <w:vAlign w:val="bottom"/>
            <w:gridSpan w:val="7"/>
          </w:tcPr>
          <w:p>
            <w:pPr>
              <w:ind w:left="20"/>
              <w:spacing w:after="0" w:line="202" w:lineRule="exact"/>
              <w:rPr>
                <w:sz w:val="20"/>
                <w:szCs w:val="20"/>
                <w:color w:val="auto"/>
              </w:rPr>
            </w:pPr>
            <w:r>
              <w:rPr>
                <w:rFonts w:ascii="Arial" w:cs="Arial" w:eastAsia="Arial" w:hAnsi="Arial"/>
                <w:sz w:val="23"/>
                <w:szCs w:val="23"/>
                <w:b w:val="1"/>
                <w:bCs w:val="1"/>
                <w:color w:val="FEFEFE"/>
                <w:vertAlign w:val="subscript"/>
              </w:rPr>
              <w:t>​</w:t>
            </w:r>
            <w:r>
              <w:rPr>
                <w:rFonts w:ascii="Arial" w:cs="Arial" w:eastAsia="Arial" w:hAnsi="Arial"/>
                <w:sz w:val="12"/>
                <w:szCs w:val="12"/>
                <w:b w:val="1"/>
                <w:bCs w:val="1"/>
                <w:color w:val="FEFEFE"/>
              </w:rPr>
              <w:t>​ Audit ​​Compensation ​​</w:t>
            </w:r>
          </w:p>
        </w:tc>
        <w:tc>
          <w:tcPr>
            <w:tcW w:w="1100" w:type="dxa"/>
            <w:vAlign w:val="bottom"/>
          </w:tcPr>
          <w:p>
            <w:pPr>
              <w:ind w:left="60"/>
              <w:spacing w:after="0"/>
              <w:rPr>
                <w:sz w:val="20"/>
                <w:szCs w:val="20"/>
                <w:color w:val="auto"/>
              </w:rPr>
            </w:pPr>
            <w:r>
              <w:rPr>
                <w:rFonts w:ascii="Arial" w:cs="Arial" w:eastAsia="Arial" w:hAnsi="Arial"/>
                <w:sz w:val="13"/>
                <w:szCs w:val="13"/>
                <w:b w:val="1"/>
                <w:bCs w:val="1"/>
                <w:color w:val="FEFEFE"/>
              </w:rPr>
              <w:t>Governance</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940" w:type="dxa"/>
            <w:vAlign w:val="bottom"/>
          </w:tcPr>
          <w:p>
            <w:pPr>
              <w:ind w:left="60"/>
              <w:spacing w:after="0"/>
              <w:rPr>
                <w:sz w:val="20"/>
                <w:szCs w:val="20"/>
                <w:color w:val="auto"/>
              </w:rPr>
            </w:pPr>
            <w:r>
              <w:rPr>
                <w:rFonts w:ascii="Arial" w:cs="Arial" w:eastAsia="Arial" w:hAnsi="Arial"/>
                <w:sz w:val="13"/>
                <w:szCs w:val="13"/>
                <w:b w:val="1"/>
                <w:bCs w:val="1"/>
                <w:color w:val="FEFEFE"/>
              </w:rPr>
              <w:t>Innovation</w:t>
            </w:r>
          </w:p>
        </w:tc>
        <w:tc>
          <w:tcPr>
            <w:tcW w:w="60" w:type="dxa"/>
            <w:vAlign w:val="bottom"/>
            <w:gridSpan w:val="2"/>
          </w:tcPr>
          <w:p>
            <w:pPr>
              <w:ind w:left="2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69"/>
        </w:trPr>
        <w:tc>
          <w:tcPr>
            <w:tcW w:w="2320" w:type="dxa"/>
            <w:vAlign w:val="bottom"/>
          </w:tcPr>
          <w:p>
            <w:pPr>
              <w:ind w:left="740"/>
              <w:spacing w:after="0"/>
              <w:rPr>
                <w:sz w:val="20"/>
                <w:szCs w:val="20"/>
                <w:color w:val="auto"/>
              </w:rPr>
            </w:pPr>
            <w:r>
              <w:rPr>
                <w:rFonts w:ascii="Arial" w:cs="Arial" w:eastAsia="Arial" w:hAnsi="Arial"/>
                <w:sz w:val="14"/>
                <w:szCs w:val="14"/>
                <w:b w:val="1"/>
                <w:bCs w:val="1"/>
                <w:color w:val="auto"/>
              </w:rPr>
              <w:t>R. Stewart Ewing, Jr.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400" w:type="dxa"/>
            <w:vAlign w:val="bottom"/>
            <w:tcBorders>
              <w:right w:val="single" w:sz="8" w:color="F2F2F2"/>
            </w:tcBorders>
            <w:shd w:val="clear" w:color="auto" w:fill="F2F2F2"/>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shd w:val="clear" w:color="auto" w:fill="F2F2F2"/>
          </w:tcPr>
          <w:p>
            <w:pPr>
              <w:spacing w:after="0"/>
              <w:rPr>
                <w:sz w:val="14"/>
                <w:szCs w:val="14"/>
                <w:color w:val="auto"/>
              </w:rPr>
            </w:pPr>
          </w:p>
        </w:tc>
        <w:tc>
          <w:tcPr>
            <w:tcW w:w="1100" w:type="dxa"/>
            <w:vAlign w:val="bottom"/>
            <w:tcBorders>
              <w:right w:val="single" w:sz="8" w:color="F2F2F2"/>
            </w:tcBorders>
            <w:shd w:val="clear" w:color="auto" w:fill="F2F2F2"/>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320" w:type="dxa"/>
            <w:vAlign w:val="bottom"/>
          </w:tcPr>
          <w:p>
            <w:pPr>
              <w:ind w:left="740"/>
              <w:spacing w:after="0" w:line="141" w:lineRule="exact"/>
              <w:rPr>
                <w:sz w:val="20"/>
                <w:szCs w:val="20"/>
                <w:color w:val="auto"/>
              </w:rPr>
            </w:pPr>
            <w:r>
              <w:rPr>
                <w:rFonts w:ascii="Arial" w:cs="Arial" w:eastAsia="Arial" w:hAnsi="Arial"/>
                <w:sz w:val="14"/>
                <w:szCs w:val="14"/>
                <w:color w:val="auto"/>
              </w:rPr>
              <w:t>Chief Financial</w:t>
            </w:r>
          </w:p>
        </w:tc>
        <w:tc>
          <w:tcPr>
            <w:tcW w:w="280" w:type="dxa"/>
            <w:vAlign w:val="bottom"/>
            <w:vMerge w:val="restart"/>
          </w:tcPr>
          <w:p>
            <w:pPr>
              <w:ind w:left="40"/>
              <w:spacing w:after="0"/>
              <w:rPr>
                <w:sz w:val="20"/>
                <w:szCs w:val="20"/>
                <w:color w:val="auto"/>
              </w:rPr>
            </w:pPr>
            <w:r>
              <w:rPr>
                <w:rFonts w:ascii="Arial" w:cs="Arial" w:eastAsia="Arial" w:hAnsi="Arial"/>
                <w:sz w:val="14"/>
                <w:szCs w:val="14"/>
                <w:color w:val="auto"/>
              </w:rPr>
              <w:t>​ 74</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March</w:t>
            </w:r>
          </w:p>
        </w:tc>
        <w:tc>
          <w:tcPr>
            <w:tcW w:w="2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2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230"/>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12"/>
                <w:szCs w:val="12"/>
                <w:color w:val="auto"/>
              </w:rPr>
            </w:pPr>
          </w:p>
        </w:tc>
        <w:tc>
          <w:tcPr>
            <w:tcW w:w="120" w:type="dxa"/>
            <w:vAlign w:val="bottom"/>
            <w:vMerge w:val="restart"/>
            <w:shd w:val="clear" w:color="auto" w:fill="F2F2F2"/>
          </w:tcPr>
          <w:p>
            <w:pPr>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F2F2F2"/>
            </w:tcBorders>
            <w:shd w:val="clear" w:color="auto" w:fill="F2F2F2"/>
          </w:tcPr>
          <w:p>
            <w:pPr>
              <w:spacing w:after="0"/>
              <w:rPr>
                <w:sz w:val="12"/>
                <w:szCs w:val="12"/>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vMerge w:val="restart"/>
            <w:shd w:val="clear" w:color="auto" w:fill="F2F2F2"/>
          </w:tcPr>
          <w:p>
            <w:pPr>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F2F2F2"/>
            </w:tcBorders>
            <w:shd w:val="clear" w:color="auto" w:fill="F2F2F2"/>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6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320" w:type="dxa"/>
            <w:vAlign w:val="bottom"/>
          </w:tcPr>
          <w:p>
            <w:pPr>
              <w:ind w:left="700"/>
              <w:spacing w:after="0" w:line="135" w:lineRule="exact"/>
              <w:rPr>
                <w:sz w:val="20"/>
                <w:szCs w:val="20"/>
                <w:color w:val="auto"/>
              </w:rPr>
            </w:pPr>
            <w:r>
              <w:rPr>
                <w:rFonts w:ascii="Arial" w:cs="Arial" w:eastAsia="Arial" w:hAnsi="Arial"/>
                <w:sz w:val="14"/>
                <w:szCs w:val="14"/>
                <w:color w:val="auto"/>
              </w:rPr>
              <w:t>​​</w:t>
            </w:r>
          </w:p>
        </w:tc>
        <w:tc>
          <w:tcPr>
            <w:tcW w:w="28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vMerge w:val="continue"/>
            <w:shd w:val="clear" w:color="auto" w:fill="F2F2F2"/>
          </w:tcPr>
          <w:p>
            <w:pPr>
              <w:spacing w:after="0"/>
              <w:rPr>
                <w:sz w:val="11"/>
                <w:szCs w:val="11"/>
                <w:color w:val="auto"/>
              </w:rPr>
            </w:pPr>
          </w:p>
        </w:tc>
        <w:tc>
          <w:tcPr>
            <w:tcW w:w="400" w:type="dxa"/>
            <w:vAlign w:val="bottom"/>
            <w:tcBorders>
              <w:right w:val="single" w:sz="8" w:color="F2F2F2"/>
            </w:tcBorders>
            <w:vMerge w:val="restart"/>
            <w:shd w:val="clear" w:color="auto" w:fill="F2F2F2"/>
          </w:tcPr>
          <w:p>
            <w:pPr>
              <w:ind w:left="100"/>
              <w:spacing w:after="0"/>
              <w:rPr>
                <w:sz w:val="20"/>
                <w:szCs w:val="20"/>
                <w:color w:val="auto"/>
              </w:rPr>
            </w:pPr>
            <w:r>
              <w:rPr>
                <w:rFonts w:ascii="Arial" w:cs="Arial" w:eastAsia="Arial" w:hAnsi="Arial"/>
                <w:sz w:val="14"/>
                <w:szCs w:val="14"/>
                <w:color w:val="auto"/>
              </w:rPr>
              <w:t> </w:t>
            </w:r>
          </w:p>
        </w:tc>
        <w:tc>
          <w:tcPr>
            <w:tcW w:w="16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vMerge w:val="continue"/>
            <w:shd w:val="clear" w:color="auto" w:fill="F2F2F2"/>
          </w:tcPr>
          <w:p>
            <w:pPr>
              <w:spacing w:after="0"/>
              <w:rPr>
                <w:sz w:val="11"/>
                <w:szCs w:val="11"/>
                <w:color w:val="auto"/>
              </w:rPr>
            </w:pPr>
          </w:p>
        </w:tc>
        <w:tc>
          <w:tcPr>
            <w:tcW w:w="1100" w:type="dxa"/>
            <w:vAlign w:val="bottom"/>
            <w:tcBorders>
              <w:right w:val="single" w:sz="8" w:color="F2F2F2"/>
            </w:tcBorders>
            <w:shd w:val="clear" w:color="auto" w:fill="F2F2F2"/>
          </w:tcPr>
          <w:p>
            <w:pPr>
              <w:spacing w:after="0"/>
              <w:rPr>
                <w:sz w:val="11"/>
                <w:szCs w:val="11"/>
                <w:color w:val="auto"/>
              </w:rPr>
            </w:pPr>
          </w:p>
        </w:tc>
        <w:tc>
          <w:tcPr>
            <w:tcW w:w="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320" w:type="dxa"/>
            <w:vAlign w:val="bottom"/>
          </w:tcPr>
          <w:p>
            <w:pPr>
              <w:ind w:left="740"/>
              <w:spacing w:after="0" w:line="62" w:lineRule="exact"/>
              <w:rPr>
                <w:sz w:val="20"/>
                <w:szCs w:val="20"/>
                <w:color w:val="auto"/>
              </w:rPr>
            </w:pPr>
            <w:r>
              <w:rPr>
                <w:rFonts w:ascii="Arial" w:cs="Arial" w:eastAsia="Arial" w:hAnsi="Arial"/>
                <w:sz w:val="7"/>
                <w:szCs w:val="7"/>
                <w:color w:val="auto"/>
              </w:rPr>
              <w:t>Officer, InterMountain</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jc w:val="center"/>
              <w:spacing w:after="0" w:line="62" w:lineRule="exact"/>
              <w:rPr>
                <w:sz w:val="20"/>
                <w:szCs w:val="20"/>
                <w:color w:val="auto"/>
              </w:rPr>
            </w:pPr>
            <w:r>
              <w:rPr>
                <w:rFonts w:ascii="Arial" w:cs="Arial" w:eastAsia="Arial" w:hAnsi="Arial"/>
                <w:sz w:val="7"/>
                <w:szCs w:val="7"/>
                <w:color w:val="auto"/>
              </w:rPr>
              <w:t>2020</w:t>
            </w: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shd w:val="clear" w:color="auto" w:fill="F2F2F2"/>
          </w:tcPr>
          <w:p>
            <w:pPr>
              <w:spacing w:after="0"/>
              <w:rPr>
                <w:sz w:val="5"/>
                <w:szCs w:val="5"/>
                <w:color w:val="auto"/>
              </w:rPr>
            </w:pPr>
          </w:p>
        </w:tc>
        <w:tc>
          <w:tcPr>
            <w:tcW w:w="400" w:type="dxa"/>
            <w:vAlign w:val="bottom"/>
            <w:tcBorders>
              <w:right w:val="single" w:sz="8" w:color="F2F2F2"/>
            </w:tcBorders>
            <w:vMerge w:val="continue"/>
            <w:shd w:val="clear" w:color="auto" w:fill="F2F2F2"/>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1100" w:type="dxa"/>
            <w:vAlign w:val="bottom"/>
            <w:tcBorders>
              <w:right w:val="single" w:sz="8" w:color="F2F2F2"/>
            </w:tcBorders>
            <w:shd w:val="clear" w:color="auto" w:fill="F2F2F2"/>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320" w:type="dxa"/>
            <w:vAlign w:val="bottom"/>
          </w:tcPr>
          <w:p>
            <w:pPr>
              <w:ind w:left="740"/>
              <w:spacing w:after="0"/>
              <w:rPr>
                <w:sz w:val="20"/>
                <w:szCs w:val="20"/>
                <w:color w:val="auto"/>
              </w:rPr>
            </w:pPr>
            <w:r>
              <w:rPr>
                <w:rFonts w:ascii="Arial" w:cs="Arial" w:eastAsia="Arial" w:hAnsi="Arial"/>
                <w:sz w:val="14"/>
                <w:szCs w:val="14"/>
                <w:color w:val="auto"/>
              </w:rPr>
              <w:t>Management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400" w:type="dxa"/>
            <w:vAlign w:val="bottom"/>
            <w:tcBorders>
              <w:right w:val="single" w:sz="8" w:color="F2F2F2"/>
            </w:tcBorders>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1100" w:type="dxa"/>
            <w:vAlign w:val="bottom"/>
            <w:tcBorders>
              <w:right w:val="single" w:sz="8" w:color="F2F2F2"/>
            </w:tcBorders>
            <w:shd w:val="clear" w:color="auto" w:fill="F2F2F2"/>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320" w:type="dxa"/>
            <w:vAlign w:val="bottom"/>
            <w:tcBorders>
              <w:bottom w:val="single" w:sz="8" w:color="E7417A"/>
            </w:tcBorders>
          </w:tcPr>
          <w:p>
            <w:pPr>
              <w:spacing w:after="0"/>
              <w:rPr>
                <w:sz w:val="9"/>
                <w:szCs w:val="9"/>
                <w:color w:val="auto"/>
              </w:rPr>
            </w:pPr>
          </w:p>
        </w:tc>
        <w:tc>
          <w:tcPr>
            <w:tcW w:w="280" w:type="dxa"/>
            <w:vAlign w:val="bottom"/>
            <w:tcBorders>
              <w:bottom w:val="single" w:sz="8" w:color="E7417A"/>
            </w:tcBorders>
          </w:tcPr>
          <w:p>
            <w:pPr>
              <w:spacing w:after="0"/>
              <w:rPr>
                <w:sz w:val="9"/>
                <w:szCs w:val="9"/>
                <w:color w:val="auto"/>
              </w:rPr>
            </w:pPr>
          </w:p>
        </w:tc>
        <w:tc>
          <w:tcPr>
            <w:tcW w:w="100" w:type="dxa"/>
            <w:vAlign w:val="bottom"/>
            <w:tcBorders>
              <w:bottom w:val="single" w:sz="8" w:color="E7417A"/>
            </w:tcBorders>
          </w:tcPr>
          <w:p>
            <w:pPr>
              <w:spacing w:after="0"/>
              <w:rPr>
                <w:sz w:val="9"/>
                <w:szCs w:val="9"/>
                <w:color w:val="auto"/>
              </w:rPr>
            </w:pPr>
          </w:p>
        </w:tc>
        <w:tc>
          <w:tcPr>
            <w:tcW w:w="660" w:type="dxa"/>
            <w:vAlign w:val="bottom"/>
            <w:tcBorders>
              <w:bottom w:val="single" w:sz="8" w:color="E7417A"/>
            </w:tcBorders>
          </w:tcPr>
          <w:p>
            <w:pPr>
              <w:spacing w:after="0"/>
              <w:rPr>
                <w:sz w:val="9"/>
                <w:szCs w:val="9"/>
                <w:color w:val="auto"/>
              </w:rPr>
            </w:pPr>
          </w:p>
        </w:tc>
        <w:tc>
          <w:tcPr>
            <w:tcW w:w="280" w:type="dxa"/>
            <w:vAlign w:val="bottom"/>
            <w:tcBorders>
              <w:bottom w:val="single" w:sz="8" w:color="E7417A"/>
            </w:tcBorders>
          </w:tcPr>
          <w:p>
            <w:pPr>
              <w:spacing w:after="0"/>
              <w:rPr>
                <w:sz w:val="9"/>
                <w:szCs w:val="9"/>
                <w:color w:val="auto"/>
              </w:rPr>
            </w:pPr>
          </w:p>
        </w:tc>
        <w:tc>
          <w:tcPr>
            <w:tcW w:w="440" w:type="dxa"/>
            <w:vAlign w:val="bottom"/>
            <w:tcBorders>
              <w:bottom w:val="single" w:sz="8" w:color="E7417A"/>
            </w:tcBorders>
          </w:tcPr>
          <w:p>
            <w:pPr>
              <w:spacing w:after="0"/>
              <w:rPr>
                <w:sz w:val="9"/>
                <w:szCs w:val="9"/>
                <w:color w:val="auto"/>
              </w:rPr>
            </w:pPr>
          </w:p>
        </w:tc>
        <w:tc>
          <w:tcPr>
            <w:tcW w:w="280" w:type="dxa"/>
            <w:vAlign w:val="bottom"/>
            <w:tcBorders>
              <w:bottom w:val="single" w:sz="8" w:color="E7417A"/>
            </w:tcBorders>
          </w:tcPr>
          <w:p>
            <w:pPr>
              <w:spacing w:after="0"/>
              <w:rPr>
                <w:sz w:val="9"/>
                <w:szCs w:val="9"/>
                <w:color w:val="auto"/>
              </w:rPr>
            </w:pPr>
          </w:p>
        </w:tc>
        <w:tc>
          <w:tcPr>
            <w:tcW w:w="620" w:type="dxa"/>
            <w:vAlign w:val="bottom"/>
            <w:tcBorders>
              <w:bottom w:val="single" w:sz="8" w:color="E7417A"/>
            </w:tcBorders>
          </w:tcPr>
          <w:p>
            <w:pPr>
              <w:spacing w:after="0"/>
              <w:rPr>
                <w:sz w:val="9"/>
                <w:szCs w:val="9"/>
                <w:color w:val="auto"/>
              </w:rPr>
            </w:pPr>
          </w:p>
        </w:tc>
        <w:tc>
          <w:tcPr>
            <w:tcW w:w="40" w:type="dxa"/>
            <w:vAlign w:val="bottom"/>
            <w:tcBorders>
              <w:bottom w:val="single" w:sz="8" w:color="E7417A"/>
            </w:tcBorders>
          </w:tcPr>
          <w:p>
            <w:pPr>
              <w:spacing w:after="0"/>
              <w:rPr>
                <w:sz w:val="9"/>
                <w:szCs w:val="9"/>
                <w:color w:val="auto"/>
              </w:rPr>
            </w:pPr>
          </w:p>
        </w:tc>
        <w:tc>
          <w:tcPr>
            <w:tcW w:w="120" w:type="dxa"/>
            <w:vAlign w:val="bottom"/>
            <w:tcBorders>
              <w:bottom w:val="single" w:sz="8" w:color="E7417A"/>
            </w:tcBorders>
            <w:shd w:val="clear" w:color="auto" w:fill="F2F2F2"/>
          </w:tcPr>
          <w:p>
            <w:pPr>
              <w:spacing w:after="0"/>
              <w:rPr>
                <w:sz w:val="9"/>
                <w:szCs w:val="9"/>
                <w:color w:val="auto"/>
              </w:rPr>
            </w:pPr>
          </w:p>
        </w:tc>
        <w:tc>
          <w:tcPr>
            <w:tcW w:w="400" w:type="dxa"/>
            <w:vAlign w:val="bottom"/>
            <w:tcBorders>
              <w:bottom w:val="single" w:sz="8" w:color="E7417A"/>
              <w:right w:val="single" w:sz="8" w:color="F2F2F2"/>
            </w:tcBorders>
            <w:shd w:val="clear" w:color="auto" w:fill="F2F2F2"/>
          </w:tcPr>
          <w:p>
            <w:pPr>
              <w:spacing w:after="0"/>
              <w:rPr>
                <w:sz w:val="9"/>
                <w:szCs w:val="9"/>
                <w:color w:val="auto"/>
              </w:rPr>
            </w:pPr>
          </w:p>
        </w:tc>
        <w:tc>
          <w:tcPr>
            <w:tcW w:w="160" w:type="dxa"/>
            <w:vAlign w:val="bottom"/>
            <w:tcBorders>
              <w:bottom w:val="single" w:sz="8" w:color="E7417A"/>
            </w:tcBorders>
          </w:tcPr>
          <w:p>
            <w:pPr>
              <w:spacing w:after="0"/>
              <w:rPr>
                <w:sz w:val="9"/>
                <w:szCs w:val="9"/>
                <w:color w:val="auto"/>
              </w:rPr>
            </w:pPr>
          </w:p>
        </w:tc>
        <w:tc>
          <w:tcPr>
            <w:tcW w:w="640" w:type="dxa"/>
            <w:vAlign w:val="bottom"/>
            <w:tcBorders>
              <w:bottom w:val="single" w:sz="8" w:color="E7417A"/>
            </w:tcBorders>
          </w:tcPr>
          <w:p>
            <w:pPr>
              <w:spacing w:after="0"/>
              <w:rPr>
                <w:sz w:val="9"/>
                <w:szCs w:val="9"/>
                <w:color w:val="auto"/>
              </w:rPr>
            </w:pPr>
          </w:p>
        </w:tc>
        <w:tc>
          <w:tcPr>
            <w:tcW w:w="260" w:type="dxa"/>
            <w:vAlign w:val="bottom"/>
            <w:tcBorders>
              <w:bottom w:val="single" w:sz="8" w:color="E7417A"/>
            </w:tcBorders>
          </w:tcPr>
          <w:p>
            <w:pPr>
              <w:spacing w:after="0"/>
              <w:rPr>
                <w:sz w:val="9"/>
                <w:szCs w:val="9"/>
                <w:color w:val="auto"/>
              </w:rPr>
            </w:pPr>
          </w:p>
        </w:tc>
        <w:tc>
          <w:tcPr>
            <w:tcW w:w="100" w:type="dxa"/>
            <w:vAlign w:val="bottom"/>
            <w:tcBorders>
              <w:bottom w:val="single" w:sz="8" w:color="E7417A"/>
            </w:tcBorders>
            <w:shd w:val="clear" w:color="auto" w:fill="F2F2F2"/>
          </w:tcPr>
          <w:p>
            <w:pPr>
              <w:spacing w:after="0"/>
              <w:rPr>
                <w:sz w:val="9"/>
                <w:szCs w:val="9"/>
                <w:color w:val="auto"/>
              </w:rPr>
            </w:pPr>
          </w:p>
        </w:tc>
        <w:tc>
          <w:tcPr>
            <w:tcW w:w="1100" w:type="dxa"/>
            <w:vAlign w:val="bottom"/>
            <w:tcBorders>
              <w:bottom w:val="single" w:sz="8" w:color="E7417A"/>
              <w:right w:val="single" w:sz="8" w:color="F2F2F2"/>
            </w:tcBorders>
            <w:shd w:val="clear" w:color="auto" w:fill="F2F2F2"/>
          </w:tcPr>
          <w:p>
            <w:pPr>
              <w:spacing w:after="0"/>
              <w:rPr>
                <w:sz w:val="9"/>
                <w:szCs w:val="9"/>
                <w:color w:val="auto"/>
              </w:rPr>
            </w:pPr>
          </w:p>
        </w:tc>
        <w:tc>
          <w:tcPr>
            <w:tcW w:w="80" w:type="dxa"/>
            <w:vAlign w:val="bottom"/>
            <w:tcBorders>
              <w:bottom w:val="single" w:sz="8" w:color="E7417A"/>
            </w:tcBorders>
          </w:tcPr>
          <w:p>
            <w:pPr>
              <w:spacing w:after="0"/>
              <w:rPr>
                <w:sz w:val="9"/>
                <w:szCs w:val="9"/>
                <w:color w:val="auto"/>
              </w:rPr>
            </w:pPr>
          </w:p>
        </w:tc>
        <w:tc>
          <w:tcPr>
            <w:tcW w:w="940" w:type="dxa"/>
            <w:vAlign w:val="bottom"/>
            <w:tcBorders>
              <w:bottom w:val="single" w:sz="8" w:color="E7417A"/>
            </w:tcBorders>
          </w:tcPr>
          <w:p>
            <w:pPr>
              <w:spacing w:after="0"/>
              <w:rPr>
                <w:sz w:val="9"/>
                <w:szCs w:val="9"/>
                <w:color w:val="auto"/>
              </w:rPr>
            </w:pPr>
          </w:p>
        </w:tc>
        <w:tc>
          <w:tcPr>
            <w:tcW w:w="40" w:type="dxa"/>
            <w:vAlign w:val="bottom"/>
            <w:tcBorders>
              <w:bottom w:val="single" w:sz="8" w:color="E7417A"/>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320" w:type="dxa"/>
            <w:vAlign w:val="bottom"/>
          </w:tcPr>
          <w:p>
            <w:pPr>
              <w:ind w:left="740"/>
              <w:spacing w:after="0"/>
              <w:rPr>
                <w:sz w:val="20"/>
                <w:szCs w:val="20"/>
                <w:color w:val="auto"/>
              </w:rPr>
            </w:pPr>
            <w:r>
              <w:rPr>
                <w:rFonts w:ascii="Arial" w:cs="Arial" w:eastAsia="Arial" w:hAnsi="Arial"/>
                <w:sz w:val="14"/>
                <w:szCs w:val="14"/>
                <w:b w:val="1"/>
                <w:bCs w:val="1"/>
                <w:color w:val="auto"/>
              </w:rPr>
              <w:t>Bruns H. Grayson 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320" w:type="dxa"/>
            <w:vAlign w:val="bottom"/>
          </w:tcPr>
          <w:p>
            <w:pPr>
              <w:ind w:left="700"/>
              <w:spacing w:after="0"/>
              <w:rPr>
                <w:sz w:val="20"/>
                <w:szCs w:val="20"/>
                <w:color w:val="auto"/>
              </w:rPr>
            </w:pPr>
            <w:r>
              <w:rPr>
                <w:rFonts w:ascii="Arial" w:cs="Arial" w:eastAsia="Arial" w:hAnsi="Arial"/>
                <w:sz w:val="14"/>
                <w:szCs w:val="14"/>
                <w:color w:val="auto"/>
              </w:rPr>
              <w:t>​​</w:t>
            </w:r>
          </w:p>
        </w:tc>
        <w:tc>
          <w:tcPr>
            <w:tcW w:w="280" w:type="dxa"/>
            <w:vAlign w:val="bottom"/>
          </w:tcPr>
          <w:p>
            <w:pPr>
              <w:ind w:left="40"/>
              <w:spacing w:after="0"/>
              <w:rPr>
                <w:sz w:val="20"/>
                <w:szCs w:val="20"/>
                <w:color w:val="auto"/>
              </w:rPr>
            </w:pPr>
            <w:r>
              <w:rPr>
                <w:rFonts w:ascii="Arial" w:cs="Arial" w:eastAsia="Arial" w:hAnsi="Arial"/>
                <w:sz w:val="14"/>
                <w:szCs w:val="14"/>
                <w:color w:val="auto"/>
              </w:rPr>
              <w:t>​ 78</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center"/>
              <w:ind w:right="14"/>
              <w:spacing w:after="0"/>
              <w:rPr>
                <w:sz w:val="20"/>
                <w:szCs w:val="20"/>
                <w:color w:val="auto"/>
              </w:rPr>
            </w:pPr>
            <w:r>
              <w:rPr>
                <w:rFonts w:ascii="Arial" w:cs="Arial" w:eastAsia="Arial" w:hAnsi="Arial"/>
                <w:sz w:val="14"/>
                <w:szCs w:val="14"/>
                <w:color w:val="auto"/>
              </w:rPr>
              <w:t>October</w:t>
            </w: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0"/>
                <w:szCs w:val="20"/>
                <w:color w:val="auto"/>
              </w:rPr>
            </w:pPr>
          </w:p>
        </w:tc>
        <w:tc>
          <w:tcPr>
            <w:tcW w:w="28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30"/>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tcPr>
          <w:p>
            <w:pPr>
              <w:ind w:lef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ind w:left="440"/>
              <w:spacing w:after="0"/>
              <w:rPr>
                <w:sz w:val="20"/>
                <w:szCs w:val="20"/>
                <w:color w:val="auto"/>
              </w:rPr>
            </w:pPr>
            <w:r>
              <w:rPr>
                <w:rFonts w:ascii="Arial" w:cs="Arial" w:eastAsia="Arial" w:hAnsi="Arial"/>
                <w:sz w:val="14"/>
                <w:szCs w:val="14"/>
                <w:color w:val="auto"/>
              </w:rPr>
              <w:t>​</w:t>
            </w:r>
          </w:p>
        </w:tc>
        <w:tc>
          <w:tcPr>
            <w:tcW w:w="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320" w:type="dxa"/>
            <w:vAlign w:val="bottom"/>
            <w:vMerge w:val="restart"/>
          </w:tcPr>
          <w:p>
            <w:pPr>
              <w:ind w:left="740"/>
              <w:spacing w:after="0" w:line="156" w:lineRule="exact"/>
              <w:rPr>
                <w:sz w:val="20"/>
                <w:szCs w:val="20"/>
                <w:color w:val="auto"/>
              </w:rPr>
            </w:pPr>
            <w:r>
              <w:rPr>
                <w:rFonts w:ascii="Arial" w:cs="Arial" w:eastAsia="Arial" w:hAnsi="Arial"/>
                <w:sz w:val="14"/>
                <w:szCs w:val="14"/>
                <w:color w:val="auto"/>
              </w:rPr>
              <w:t>Managing Partner,</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4"/>
                <w:szCs w:val="14"/>
                <w:color w:val="auto"/>
              </w:rPr>
              <w:t>2017</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3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20" w:type="dxa"/>
            <w:vAlign w:val="bottom"/>
            <w:tcBorders>
              <w:bottom w:val="single" w:sz="8" w:color="E7417A"/>
            </w:tcBorders>
          </w:tcPr>
          <w:p>
            <w:pPr>
              <w:ind w:left="740"/>
              <w:spacing w:after="0"/>
              <w:rPr>
                <w:sz w:val="20"/>
                <w:szCs w:val="20"/>
                <w:color w:val="auto"/>
              </w:rPr>
            </w:pPr>
            <w:r>
              <w:rPr>
                <w:rFonts w:ascii="Arial" w:cs="Arial" w:eastAsia="Arial" w:hAnsi="Arial"/>
                <w:sz w:val="14"/>
                <w:szCs w:val="14"/>
                <w:color w:val="auto"/>
              </w:rPr>
              <w:t>ABS Ventures</w:t>
            </w:r>
          </w:p>
        </w:tc>
        <w:tc>
          <w:tcPr>
            <w:tcW w:w="28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66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44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62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120" w:type="dxa"/>
            <w:vAlign w:val="bottom"/>
            <w:tcBorders>
              <w:bottom w:val="single" w:sz="8" w:color="E7417A"/>
            </w:tcBorders>
          </w:tcPr>
          <w:p>
            <w:pPr>
              <w:spacing w:after="0"/>
              <w:rPr>
                <w:sz w:val="16"/>
                <w:szCs w:val="16"/>
                <w:color w:val="auto"/>
              </w:rPr>
            </w:pPr>
          </w:p>
        </w:tc>
        <w:tc>
          <w:tcPr>
            <w:tcW w:w="400" w:type="dxa"/>
            <w:vAlign w:val="bottom"/>
            <w:tcBorders>
              <w:bottom w:val="single" w:sz="8" w:color="E7417A"/>
            </w:tcBorders>
          </w:tcPr>
          <w:p>
            <w:pPr>
              <w:spacing w:after="0"/>
              <w:rPr>
                <w:sz w:val="16"/>
                <w:szCs w:val="16"/>
                <w:color w:val="auto"/>
              </w:rPr>
            </w:pPr>
          </w:p>
        </w:tc>
        <w:tc>
          <w:tcPr>
            <w:tcW w:w="160" w:type="dxa"/>
            <w:vAlign w:val="bottom"/>
            <w:tcBorders>
              <w:bottom w:val="single" w:sz="8" w:color="E7417A"/>
            </w:tcBorders>
          </w:tcPr>
          <w:p>
            <w:pPr>
              <w:spacing w:after="0"/>
              <w:rPr>
                <w:sz w:val="16"/>
                <w:szCs w:val="16"/>
                <w:color w:val="auto"/>
              </w:rPr>
            </w:pPr>
          </w:p>
        </w:tc>
        <w:tc>
          <w:tcPr>
            <w:tcW w:w="640" w:type="dxa"/>
            <w:vAlign w:val="bottom"/>
            <w:tcBorders>
              <w:bottom w:val="single" w:sz="8" w:color="E7417A"/>
            </w:tcBorders>
          </w:tcPr>
          <w:p>
            <w:pPr>
              <w:spacing w:after="0"/>
              <w:rPr>
                <w:sz w:val="16"/>
                <w:szCs w:val="16"/>
                <w:color w:val="auto"/>
              </w:rPr>
            </w:pPr>
          </w:p>
        </w:tc>
        <w:tc>
          <w:tcPr>
            <w:tcW w:w="26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1100" w:type="dxa"/>
            <w:vAlign w:val="bottom"/>
            <w:tcBorders>
              <w:bottom w:val="single" w:sz="8" w:color="E7417A"/>
            </w:tcBorders>
          </w:tcPr>
          <w:p>
            <w:pPr>
              <w:spacing w:after="0"/>
              <w:rPr>
                <w:sz w:val="16"/>
                <w:szCs w:val="16"/>
                <w:color w:val="auto"/>
              </w:rPr>
            </w:pPr>
          </w:p>
        </w:tc>
        <w:tc>
          <w:tcPr>
            <w:tcW w:w="80" w:type="dxa"/>
            <w:vAlign w:val="bottom"/>
            <w:tcBorders>
              <w:bottom w:val="single" w:sz="8" w:color="E7417A"/>
            </w:tcBorders>
          </w:tcPr>
          <w:p>
            <w:pPr>
              <w:spacing w:after="0"/>
              <w:rPr>
                <w:sz w:val="16"/>
                <w:szCs w:val="16"/>
                <w:color w:val="auto"/>
              </w:rPr>
            </w:pPr>
          </w:p>
        </w:tc>
        <w:tc>
          <w:tcPr>
            <w:tcW w:w="94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740"/>
              <w:spacing w:after="0"/>
              <w:rPr>
                <w:sz w:val="20"/>
                <w:szCs w:val="20"/>
                <w:color w:val="auto"/>
              </w:rPr>
            </w:pPr>
            <w:r>
              <w:rPr>
                <w:rFonts w:ascii="Arial" w:cs="Arial" w:eastAsia="Arial" w:hAnsi="Arial"/>
                <w:sz w:val="14"/>
                <w:szCs w:val="14"/>
                <w:b w:val="1"/>
                <w:bCs w:val="1"/>
                <w:color w:val="auto"/>
              </w:rPr>
              <w:t>Beatriz V. Infante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F2F2F2"/>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F2F2F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tcPr>
          <w:p>
            <w:pPr>
              <w:ind w:left="740"/>
              <w:spacing w:after="0" w:line="149" w:lineRule="exact"/>
              <w:rPr>
                <w:sz w:val="20"/>
                <w:szCs w:val="20"/>
                <w:color w:val="auto"/>
              </w:rPr>
            </w:pPr>
            <w:r>
              <w:rPr>
                <w:rFonts w:ascii="Arial" w:cs="Arial" w:eastAsia="Arial" w:hAnsi="Arial"/>
                <w:sz w:val="14"/>
                <w:szCs w:val="14"/>
                <w:color w:val="auto"/>
              </w:rPr>
              <w:t>Chief Executive Officer,</w:t>
            </w:r>
          </w:p>
        </w:tc>
        <w:tc>
          <w:tcPr>
            <w:tcW w:w="280" w:type="dxa"/>
            <w:vAlign w:val="bottom"/>
            <w:vMerge w:val="restart"/>
          </w:tcPr>
          <w:p>
            <w:pPr>
              <w:ind w:left="40"/>
              <w:spacing w:after="0"/>
              <w:rPr>
                <w:sz w:val="20"/>
                <w:szCs w:val="20"/>
                <w:color w:val="auto"/>
              </w:rPr>
            </w:pPr>
            <w:r>
              <w:rPr>
                <w:rFonts w:ascii="Arial" w:cs="Arial" w:eastAsia="Arial" w:hAnsi="Arial"/>
                <w:sz w:val="14"/>
                <w:szCs w:val="14"/>
                <w:color w:val="auto"/>
              </w:rPr>
              <w:t>​ 72</w:t>
            </w:r>
          </w:p>
        </w:tc>
        <w:tc>
          <w:tcPr>
            <w:tcW w:w="100" w:type="dxa"/>
            <w:vAlign w:val="bottom"/>
          </w:tcPr>
          <w:p>
            <w:pPr>
              <w:spacing w:after="0"/>
              <w:rPr>
                <w:sz w:val="12"/>
                <w:szCs w:val="12"/>
                <w:color w:val="auto"/>
              </w:rPr>
            </w:pPr>
          </w:p>
        </w:tc>
        <w:tc>
          <w:tcPr>
            <w:tcW w:w="660" w:type="dxa"/>
            <w:vAlign w:val="bottom"/>
            <w:vMerge w:val="restart"/>
          </w:tcPr>
          <w:p>
            <w:pPr>
              <w:jc w:val="center"/>
              <w:ind w:right="14"/>
              <w:spacing w:after="0"/>
              <w:rPr>
                <w:sz w:val="20"/>
                <w:szCs w:val="20"/>
                <w:color w:val="auto"/>
              </w:rPr>
            </w:pPr>
            <w:r>
              <w:rPr>
                <w:rFonts w:ascii="Arial" w:cs="Arial" w:eastAsia="Arial" w:hAnsi="Arial"/>
                <w:sz w:val="14"/>
                <w:szCs w:val="14"/>
                <w:color w:val="auto"/>
              </w:rPr>
              <w:t>October</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restart"/>
          </w:tcPr>
          <w:p>
            <w:pPr>
              <w:jc w:val="right"/>
              <w:ind w:right="230"/>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right w:val="single" w:sz="8" w:color="F2F2F2"/>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F2F2F2"/>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700"/>
              <w:spacing w:after="0" w:line="155" w:lineRule="exact"/>
              <w:rPr>
                <w:sz w:val="20"/>
                <w:szCs w:val="20"/>
                <w:color w:val="auto"/>
              </w:rPr>
            </w:pPr>
            <w:r>
              <w:rPr>
                <w:rFonts w:ascii="Arial" w:cs="Arial" w:eastAsia="Arial" w:hAnsi="Arial"/>
                <w:sz w:val="14"/>
                <w:szCs w:val="14"/>
                <w:color w:val="auto"/>
              </w:rPr>
              <w:t>​​Business Excelleration</w:t>
            </w:r>
          </w:p>
        </w:tc>
        <w:tc>
          <w:tcPr>
            <w:tcW w:w="280" w:type="dxa"/>
            <w:vAlign w:val="bottom"/>
            <w:vMerge w:val="continue"/>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vMerge w:val="continue"/>
          </w:tcPr>
          <w:p>
            <w:pPr>
              <w:spacing w:after="0"/>
              <w:rPr>
                <w:sz w:val="13"/>
                <w:szCs w:val="13"/>
                <w:color w:val="auto"/>
              </w:rPr>
            </w:pPr>
          </w:p>
        </w:tc>
        <w:tc>
          <w:tcPr>
            <w:tcW w:w="280" w:type="dxa"/>
            <w:vAlign w:val="bottom"/>
          </w:tcPr>
          <w:p>
            <w:pPr>
              <w:ind w:left="40"/>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28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F2F2F2"/>
            </w:tcBorders>
            <w:vMerge w:val="restart"/>
          </w:tcPr>
          <w:p>
            <w:pPr>
              <w:ind w:left="80"/>
              <w:spacing w:after="0"/>
              <w:rPr>
                <w:sz w:val="20"/>
                <w:szCs w:val="20"/>
                <w:color w:val="auto"/>
              </w:rPr>
            </w:pPr>
            <w:r>
              <w:rPr>
                <w:rFonts w:ascii="Arial" w:cs="Arial" w:eastAsia="Arial" w:hAnsi="Arial"/>
                <w:sz w:val="14"/>
                <w:szCs w:val="14"/>
                <w:color w:val="auto"/>
              </w:rPr>
              <w:t> </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F2F2F2"/>
            </w:tcBorders>
          </w:tcPr>
          <w:p>
            <w:pPr>
              <w:ind w:left="500"/>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3"/>
                <w:szCs w:val="13"/>
                <w:color w:val="auto"/>
              </w:rPr>
            </w:pPr>
          </w:p>
        </w:tc>
        <w:tc>
          <w:tcPr>
            <w:tcW w:w="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20" w:type="dxa"/>
            <w:vAlign w:val="bottom"/>
            <w:vMerge w:val="restart"/>
          </w:tcPr>
          <w:p>
            <w:pPr>
              <w:ind w:left="740"/>
              <w:spacing w:after="0"/>
              <w:rPr>
                <w:sz w:val="20"/>
                <w:szCs w:val="20"/>
                <w:color w:val="auto"/>
              </w:rPr>
            </w:pPr>
            <w:r>
              <w:rPr>
                <w:rFonts w:ascii="Arial" w:cs="Arial" w:eastAsia="Arial" w:hAnsi="Arial"/>
                <w:sz w:val="14"/>
                <w:szCs w:val="14"/>
                <w:color w:val="auto"/>
              </w:rPr>
              <w:t>LLC</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2017</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F2F2F2"/>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F2F2F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3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right w:val="single" w:sz="8" w:color="F2F2F2"/>
            </w:tcBorders>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right w:val="single" w:sz="8" w:color="F2F2F2"/>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2320" w:type="dxa"/>
            <w:vAlign w:val="bottom"/>
            <w:tcBorders>
              <w:bottom w:val="single" w:sz="8" w:color="E7417A"/>
            </w:tcBorders>
          </w:tcPr>
          <w:p>
            <w:pPr>
              <w:spacing w:after="0"/>
              <w:rPr>
                <w:sz w:val="12"/>
                <w:szCs w:val="12"/>
                <w:color w:val="auto"/>
              </w:rPr>
            </w:pPr>
          </w:p>
        </w:tc>
        <w:tc>
          <w:tcPr>
            <w:tcW w:w="280" w:type="dxa"/>
            <w:vAlign w:val="bottom"/>
            <w:tcBorders>
              <w:bottom w:val="single" w:sz="8" w:color="E7417A"/>
            </w:tcBorders>
          </w:tcPr>
          <w:p>
            <w:pPr>
              <w:spacing w:after="0"/>
              <w:rPr>
                <w:sz w:val="12"/>
                <w:szCs w:val="12"/>
                <w:color w:val="auto"/>
              </w:rPr>
            </w:pPr>
          </w:p>
        </w:tc>
        <w:tc>
          <w:tcPr>
            <w:tcW w:w="100" w:type="dxa"/>
            <w:vAlign w:val="bottom"/>
            <w:tcBorders>
              <w:bottom w:val="single" w:sz="8" w:color="E7417A"/>
            </w:tcBorders>
          </w:tcPr>
          <w:p>
            <w:pPr>
              <w:spacing w:after="0"/>
              <w:rPr>
                <w:sz w:val="12"/>
                <w:szCs w:val="12"/>
                <w:color w:val="auto"/>
              </w:rPr>
            </w:pPr>
          </w:p>
        </w:tc>
        <w:tc>
          <w:tcPr>
            <w:tcW w:w="660" w:type="dxa"/>
            <w:vAlign w:val="bottom"/>
            <w:tcBorders>
              <w:bottom w:val="single" w:sz="8" w:color="E7417A"/>
            </w:tcBorders>
          </w:tcPr>
          <w:p>
            <w:pPr>
              <w:spacing w:after="0"/>
              <w:rPr>
                <w:sz w:val="12"/>
                <w:szCs w:val="12"/>
                <w:color w:val="auto"/>
              </w:rPr>
            </w:pPr>
          </w:p>
        </w:tc>
        <w:tc>
          <w:tcPr>
            <w:tcW w:w="280" w:type="dxa"/>
            <w:vAlign w:val="bottom"/>
            <w:tcBorders>
              <w:bottom w:val="single" w:sz="8" w:color="E7417A"/>
            </w:tcBorders>
          </w:tcPr>
          <w:p>
            <w:pPr>
              <w:spacing w:after="0"/>
              <w:rPr>
                <w:sz w:val="12"/>
                <w:szCs w:val="12"/>
                <w:color w:val="auto"/>
              </w:rPr>
            </w:pPr>
          </w:p>
        </w:tc>
        <w:tc>
          <w:tcPr>
            <w:tcW w:w="440" w:type="dxa"/>
            <w:vAlign w:val="bottom"/>
            <w:tcBorders>
              <w:bottom w:val="single" w:sz="8" w:color="E7417A"/>
            </w:tcBorders>
          </w:tcPr>
          <w:p>
            <w:pPr>
              <w:spacing w:after="0"/>
              <w:rPr>
                <w:sz w:val="12"/>
                <w:szCs w:val="12"/>
                <w:color w:val="auto"/>
              </w:rPr>
            </w:pPr>
          </w:p>
        </w:tc>
        <w:tc>
          <w:tcPr>
            <w:tcW w:w="280" w:type="dxa"/>
            <w:vAlign w:val="bottom"/>
            <w:tcBorders>
              <w:bottom w:val="single" w:sz="8" w:color="E7417A"/>
            </w:tcBorders>
          </w:tcPr>
          <w:p>
            <w:pPr>
              <w:spacing w:after="0"/>
              <w:rPr>
                <w:sz w:val="12"/>
                <w:szCs w:val="12"/>
                <w:color w:val="auto"/>
              </w:rPr>
            </w:pPr>
          </w:p>
        </w:tc>
        <w:tc>
          <w:tcPr>
            <w:tcW w:w="620" w:type="dxa"/>
            <w:vAlign w:val="bottom"/>
            <w:tcBorders>
              <w:bottom w:val="single" w:sz="8" w:color="E7417A"/>
            </w:tcBorders>
          </w:tcPr>
          <w:p>
            <w:pPr>
              <w:spacing w:after="0"/>
              <w:rPr>
                <w:sz w:val="12"/>
                <w:szCs w:val="12"/>
                <w:color w:val="auto"/>
              </w:rPr>
            </w:pPr>
          </w:p>
        </w:tc>
        <w:tc>
          <w:tcPr>
            <w:tcW w:w="40" w:type="dxa"/>
            <w:vAlign w:val="bottom"/>
            <w:tcBorders>
              <w:bottom w:val="single" w:sz="8" w:color="E7417A"/>
            </w:tcBorders>
          </w:tcPr>
          <w:p>
            <w:pPr>
              <w:spacing w:after="0"/>
              <w:rPr>
                <w:sz w:val="12"/>
                <w:szCs w:val="12"/>
                <w:color w:val="auto"/>
              </w:rPr>
            </w:pPr>
          </w:p>
        </w:tc>
        <w:tc>
          <w:tcPr>
            <w:tcW w:w="120" w:type="dxa"/>
            <w:vAlign w:val="bottom"/>
            <w:tcBorders>
              <w:bottom w:val="single" w:sz="8" w:color="E7417A"/>
            </w:tcBorders>
          </w:tcPr>
          <w:p>
            <w:pPr>
              <w:spacing w:after="0"/>
              <w:rPr>
                <w:sz w:val="12"/>
                <w:szCs w:val="12"/>
                <w:color w:val="auto"/>
              </w:rPr>
            </w:pPr>
          </w:p>
        </w:tc>
        <w:tc>
          <w:tcPr>
            <w:tcW w:w="400" w:type="dxa"/>
            <w:vAlign w:val="bottom"/>
            <w:tcBorders>
              <w:bottom w:val="single" w:sz="8" w:color="E7417A"/>
              <w:right w:val="single" w:sz="8" w:color="F2F2F2"/>
            </w:tcBorders>
          </w:tcPr>
          <w:p>
            <w:pPr>
              <w:spacing w:after="0"/>
              <w:rPr>
                <w:sz w:val="12"/>
                <w:szCs w:val="12"/>
                <w:color w:val="auto"/>
              </w:rPr>
            </w:pPr>
          </w:p>
        </w:tc>
        <w:tc>
          <w:tcPr>
            <w:tcW w:w="160" w:type="dxa"/>
            <w:vAlign w:val="bottom"/>
            <w:tcBorders>
              <w:bottom w:val="single" w:sz="8" w:color="E7417A"/>
            </w:tcBorders>
          </w:tcPr>
          <w:p>
            <w:pPr>
              <w:spacing w:after="0"/>
              <w:rPr>
                <w:sz w:val="12"/>
                <w:szCs w:val="12"/>
                <w:color w:val="auto"/>
              </w:rPr>
            </w:pPr>
          </w:p>
        </w:tc>
        <w:tc>
          <w:tcPr>
            <w:tcW w:w="640" w:type="dxa"/>
            <w:vAlign w:val="bottom"/>
            <w:tcBorders>
              <w:bottom w:val="single" w:sz="8" w:color="E7417A"/>
            </w:tcBorders>
          </w:tcPr>
          <w:p>
            <w:pPr>
              <w:spacing w:after="0"/>
              <w:rPr>
                <w:sz w:val="12"/>
                <w:szCs w:val="12"/>
                <w:color w:val="auto"/>
              </w:rPr>
            </w:pPr>
          </w:p>
        </w:tc>
        <w:tc>
          <w:tcPr>
            <w:tcW w:w="260" w:type="dxa"/>
            <w:vAlign w:val="bottom"/>
            <w:tcBorders>
              <w:bottom w:val="single" w:sz="8" w:color="E7417A"/>
            </w:tcBorders>
          </w:tcPr>
          <w:p>
            <w:pPr>
              <w:spacing w:after="0"/>
              <w:rPr>
                <w:sz w:val="12"/>
                <w:szCs w:val="12"/>
                <w:color w:val="auto"/>
              </w:rPr>
            </w:pPr>
          </w:p>
        </w:tc>
        <w:tc>
          <w:tcPr>
            <w:tcW w:w="100" w:type="dxa"/>
            <w:vAlign w:val="bottom"/>
            <w:tcBorders>
              <w:bottom w:val="single" w:sz="8" w:color="E7417A"/>
            </w:tcBorders>
          </w:tcPr>
          <w:p>
            <w:pPr>
              <w:spacing w:after="0"/>
              <w:rPr>
                <w:sz w:val="12"/>
                <w:szCs w:val="12"/>
                <w:color w:val="auto"/>
              </w:rPr>
            </w:pPr>
          </w:p>
        </w:tc>
        <w:tc>
          <w:tcPr>
            <w:tcW w:w="1100" w:type="dxa"/>
            <w:vAlign w:val="bottom"/>
            <w:tcBorders>
              <w:bottom w:val="single" w:sz="8" w:color="E7417A"/>
              <w:right w:val="single" w:sz="8" w:color="F2F2F2"/>
            </w:tcBorders>
          </w:tcPr>
          <w:p>
            <w:pPr>
              <w:spacing w:after="0"/>
              <w:rPr>
                <w:sz w:val="12"/>
                <w:szCs w:val="12"/>
                <w:color w:val="auto"/>
              </w:rPr>
            </w:pPr>
          </w:p>
        </w:tc>
        <w:tc>
          <w:tcPr>
            <w:tcW w:w="80" w:type="dxa"/>
            <w:vAlign w:val="bottom"/>
            <w:tcBorders>
              <w:bottom w:val="single" w:sz="8" w:color="E7417A"/>
            </w:tcBorders>
          </w:tcPr>
          <w:p>
            <w:pPr>
              <w:spacing w:after="0"/>
              <w:rPr>
                <w:sz w:val="12"/>
                <w:szCs w:val="12"/>
                <w:color w:val="auto"/>
              </w:rPr>
            </w:pPr>
          </w:p>
        </w:tc>
        <w:tc>
          <w:tcPr>
            <w:tcW w:w="940" w:type="dxa"/>
            <w:vAlign w:val="bottom"/>
            <w:tcBorders>
              <w:bottom w:val="single" w:sz="8" w:color="E7417A"/>
            </w:tcBorders>
          </w:tcPr>
          <w:p>
            <w:pPr>
              <w:spacing w:after="0"/>
              <w:rPr>
                <w:sz w:val="12"/>
                <w:szCs w:val="12"/>
                <w:color w:val="auto"/>
              </w:rPr>
            </w:pPr>
          </w:p>
        </w:tc>
        <w:tc>
          <w:tcPr>
            <w:tcW w:w="40" w:type="dxa"/>
            <w:vAlign w:val="bottom"/>
            <w:tcBorders>
              <w:bottom w:val="single" w:sz="8" w:color="E7417A"/>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320" w:type="dxa"/>
            <w:vAlign w:val="bottom"/>
          </w:tcPr>
          <w:p>
            <w:pPr>
              <w:ind w:left="740"/>
              <w:spacing w:after="0"/>
              <w:rPr>
                <w:sz w:val="20"/>
                <w:szCs w:val="20"/>
                <w:color w:val="auto"/>
              </w:rPr>
            </w:pPr>
            <w:r>
              <w:rPr>
                <w:rFonts w:ascii="Arial" w:cs="Arial" w:eastAsia="Arial" w:hAnsi="Arial"/>
                <w:sz w:val="14"/>
                <w:szCs w:val="14"/>
                <w:b w:val="1"/>
                <w:bCs w:val="1"/>
                <w:color w:val="auto"/>
              </w:rPr>
              <w:t>Bruce W. McClelland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F2F2F2"/>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F2F2F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740"/>
              <w:spacing w:after="0"/>
              <w:rPr>
                <w:sz w:val="20"/>
                <w:szCs w:val="20"/>
                <w:color w:val="auto"/>
              </w:rPr>
            </w:pPr>
            <w:r>
              <w:rPr>
                <w:rFonts w:ascii="Arial" w:cs="Arial" w:eastAsia="Arial" w:hAnsi="Arial"/>
                <w:sz w:val="14"/>
                <w:szCs w:val="14"/>
                <w:color w:val="auto"/>
              </w:rPr>
              <w:t>President and Chief</w:t>
            </w:r>
          </w:p>
        </w:tc>
        <w:tc>
          <w:tcPr>
            <w:tcW w:w="280" w:type="dxa"/>
            <w:vAlign w:val="bottom"/>
            <w:vMerge w:val="restart"/>
          </w:tcPr>
          <w:p>
            <w:pPr>
              <w:ind w:left="40"/>
              <w:spacing w:after="0"/>
              <w:rPr>
                <w:sz w:val="20"/>
                <w:szCs w:val="20"/>
                <w:color w:val="auto"/>
              </w:rPr>
            </w:pPr>
            <w:r>
              <w:rPr>
                <w:rFonts w:ascii="Arial" w:cs="Arial" w:eastAsia="Arial" w:hAnsi="Arial"/>
                <w:sz w:val="14"/>
                <w:szCs w:val="14"/>
                <w:color w:val="auto"/>
              </w:rPr>
              <w:t>​ 59</w:t>
            </w:r>
          </w:p>
        </w:tc>
        <w:tc>
          <w:tcPr>
            <w:tcW w:w="10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March</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restart"/>
          </w:tcPr>
          <w:p>
            <w:pPr>
              <w:jc w:val="right"/>
              <w:ind w:right="230"/>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F2F2F2"/>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F2F2F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320" w:type="dxa"/>
            <w:vAlign w:val="bottom"/>
          </w:tcPr>
          <w:p>
            <w:pPr>
              <w:ind w:left="700"/>
              <w:spacing w:after="0" w:line="141" w:lineRule="exact"/>
              <w:rPr>
                <w:sz w:val="20"/>
                <w:szCs w:val="20"/>
                <w:color w:val="auto"/>
              </w:rPr>
            </w:pPr>
            <w:r>
              <w:rPr>
                <w:rFonts w:ascii="Arial" w:cs="Arial" w:eastAsia="Arial" w:hAnsi="Arial"/>
                <w:sz w:val="14"/>
                <w:szCs w:val="14"/>
                <w:color w:val="auto"/>
              </w:rPr>
              <w:t>​​Executive Officer,</w:t>
            </w:r>
          </w:p>
        </w:tc>
        <w:tc>
          <w:tcPr>
            <w:tcW w:w="280" w:type="dxa"/>
            <w:vAlign w:val="bottom"/>
            <w:vMerge w:val="continue"/>
          </w:tcPr>
          <w:p>
            <w:pPr>
              <w:spacing w:after="0"/>
              <w:rPr>
                <w:sz w:val="12"/>
                <w:szCs w:val="12"/>
                <w:color w:val="auto"/>
              </w:rPr>
            </w:pPr>
          </w:p>
        </w:tc>
        <w:tc>
          <w:tcPr>
            <w:tcW w:w="1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660" w:type="dxa"/>
            <w:vAlign w:val="bottom"/>
            <w:vMerge w:val="continue"/>
          </w:tcPr>
          <w:p>
            <w:pPr>
              <w:spacing w:after="0"/>
              <w:rPr>
                <w:sz w:val="12"/>
                <w:szCs w:val="12"/>
                <w:color w:val="auto"/>
              </w:rPr>
            </w:pPr>
          </w:p>
        </w:tc>
        <w:tc>
          <w:tcPr>
            <w:tcW w:w="280" w:type="dxa"/>
            <w:vAlign w:val="bottom"/>
          </w:tcPr>
          <w:p>
            <w:pPr>
              <w:ind w:left="40"/>
              <w:spacing w:after="0" w:line="141" w:lineRule="exact"/>
              <w:rPr>
                <w:sz w:val="20"/>
                <w:szCs w:val="20"/>
                <w:color w:val="auto"/>
              </w:rPr>
            </w:pPr>
            <w:r>
              <w:rPr>
                <w:rFonts w:ascii="Arial" w:cs="Arial" w:eastAsia="Arial" w:hAnsi="Arial"/>
                <w:sz w:val="14"/>
                <w:szCs w:val="14"/>
                <w:color w:val="auto"/>
              </w:rPr>
              <w:t>​</w:t>
            </w:r>
          </w:p>
        </w:tc>
        <w:tc>
          <w:tcPr>
            <w:tcW w:w="440" w:type="dxa"/>
            <w:vAlign w:val="bottom"/>
          </w:tcPr>
          <w:p>
            <w:pPr>
              <w:ind w:left="200"/>
              <w:spacing w:after="0" w:line="141" w:lineRule="exact"/>
              <w:rPr>
                <w:sz w:val="20"/>
                <w:szCs w:val="20"/>
                <w:color w:val="auto"/>
              </w:rPr>
            </w:pPr>
            <w:r>
              <w:rPr>
                <w:rFonts w:ascii="Arial" w:cs="Arial" w:eastAsia="Arial" w:hAnsi="Arial"/>
                <w:sz w:val="14"/>
                <w:szCs w:val="14"/>
                <w:color w:val="auto"/>
              </w:rPr>
              <w:t>​</w:t>
            </w:r>
          </w:p>
        </w:tc>
        <w:tc>
          <w:tcPr>
            <w:tcW w:w="280" w:type="dxa"/>
            <w:vAlign w:val="bottom"/>
          </w:tcPr>
          <w:p>
            <w:pPr>
              <w:ind w:left="200"/>
              <w:spacing w:after="0" w:line="141" w:lineRule="exact"/>
              <w:rPr>
                <w:sz w:val="20"/>
                <w:szCs w:val="20"/>
                <w:color w:val="auto"/>
              </w:rPr>
            </w:pPr>
            <w:r>
              <w:rPr>
                <w:rFonts w:ascii="Arial" w:cs="Arial" w:eastAsia="Arial" w:hAnsi="Arial"/>
                <w:sz w:val="14"/>
                <w:szCs w:val="14"/>
                <w:b w:val="1"/>
                <w:bCs w:val="1"/>
                <w:color w:val="auto"/>
              </w:rPr>
              <w:t>​</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F2F2F2"/>
            </w:tcBorders>
          </w:tcPr>
          <w:p>
            <w:pPr>
              <w:ind w:left="140"/>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ind w:left="360"/>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F2F2F2"/>
            </w:tcBorders>
          </w:tcPr>
          <w:p>
            <w:pPr>
              <w:ind w:left="50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940" w:type="dxa"/>
            <w:vAlign w:val="bottom"/>
          </w:tcPr>
          <w:p>
            <w:pPr>
              <w:ind w:left="440"/>
              <w:spacing w:after="0" w:line="141" w:lineRule="exact"/>
              <w:rPr>
                <w:sz w:val="20"/>
                <w:szCs w:val="20"/>
                <w:color w:val="auto"/>
              </w:rPr>
            </w:pPr>
            <w:r>
              <w:rPr>
                <w:rFonts w:ascii="Arial" w:cs="Arial" w:eastAsia="Arial" w:hAnsi="Arial"/>
                <w:sz w:val="14"/>
                <w:szCs w:val="14"/>
                <w:color w:val="auto"/>
              </w:rPr>
              <w:t>​</w:t>
            </w:r>
          </w:p>
        </w:tc>
        <w:tc>
          <w:tcPr>
            <w:tcW w:w="6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20" w:type="dxa"/>
            <w:vAlign w:val="bottom"/>
            <w:vMerge w:val="restart"/>
          </w:tcPr>
          <w:p>
            <w:pPr>
              <w:ind w:left="740"/>
              <w:spacing w:after="0"/>
              <w:rPr>
                <w:sz w:val="20"/>
                <w:szCs w:val="20"/>
                <w:color w:val="auto"/>
              </w:rPr>
            </w:pPr>
            <w:r>
              <w:rPr>
                <w:rFonts w:ascii="Arial" w:cs="Arial" w:eastAsia="Arial" w:hAnsi="Arial"/>
                <w:sz w:val="14"/>
                <w:szCs w:val="14"/>
                <w:color w:val="auto"/>
              </w:rPr>
              <w:t>Ribbon</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F2F2F2"/>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F2F2F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F2F2F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F2F2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20" w:type="dxa"/>
            <w:vAlign w:val="bottom"/>
            <w:tcBorders>
              <w:bottom w:val="single" w:sz="8" w:color="E7417A"/>
            </w:tcBorders>
          </w:tcPr>
          <w:p>
            <w:pPr>
              <w:ind w:left="740"/>
              <w:spacing w:after="0"/>
              <w:rPr>
                <w:sz w:val="20"/>
                <w:szCs w:val="20"/>
                <w:color w:val="auto"/>
              </w:rPr>
            </w:pPr>
            <w:r>
              <w:rPr>
                <w:rFonts w:ascii="Arial" w:cs="Arial" w:eastAsia="Arial" w:hAnsi="Arial"/>
                <w:sz w:val="14"/>
                <w:szCs w:val="14"/>
                <w:color w:val="auto"/>
              </w:rPr>
              <w:t>Communications Inc.</w:t>
            </w:r>
          </w:p>
        </w:tc>
        <w:tc>
          <w:tcPr>
            <w:tcW w:w="28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66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44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62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120" w:type="dxa"/>
            <w:vAlign w:val="bottom"/>
            <w:tcBorders>
              <w:bottom w:val="single" w:sz="8" w:color="E7417A"/>
            </w:tcBorders>
          </w:tcPr>
          <w:p>
            <w:pPr>
              <w:spacing w:after="0"/>
              <w:rPr>
                <w:sz w:val="16"/>
                <w:szCs w:val="16"/>
                <w:color w:val="auto"/>
              </w:rPr>
            </w:pPr>
          </w:p>
        </w:tc>
        <w:tc>
          <w:tcPr>
            <w:tcW w:w="400" w:type="dxa"/>
            <w:vAlign w:val="bottom"/>
            <w:tcBorders>
              <w:bottom w:val="single" w:sz="8" w:color="E7417A"/>
              <w:right w:val="single" w:sz="8" w:color="F2F2F2"/>
            </w:tcBorders>
          </w:tcPr>
          <w:p>
            <w:pPr>
              <w:spacing w:after="0"/>
              <w:rPr>
                <w:sz w:val="16"/>
                <w:szCs w:val="16"/>
                <w:color w:val="auto"/>
              </w:rPr>
            </w:pPr>
          </w:p>
        </w:tc>
        <w:tc>
          <w:tcPr>
            <w:tcW w:w="160" w:type="dxa"/>
            <w:vAlign w:val="bottom"/>
            <w:tcBorders>
              <w:bottom w:val="single" w:sz="8" w:color="E7417A"/>
            </w:tcBorders>
          </w:tcPr>
          <w:p>
            <w:pPr>
              <w:spacing w:after="0"/>
              <w:rPr>
                <w:sz w:val="16"/>
                <w:szCs w:val="16"/>
                <w:color w:val="auto"/>
              </w:rPr>
            </w:pPr>
          </w:p>
        </w:tc>
        <w:tc>
          <w:tcPr>
            <w:tcW w:w="640" w:type="dxa"/>
            <w:vAlign w:val="bottom"/>
            <w:tcBorders>
              <w:bottom w:val="single" w:sz="8" w:color="E7417A"/>
            </w:tcBorders>
          </w:tcPr>
          <w:p>
            <w:pPr>
              <w:spacing w:after="0"/>
              <w:rPr>
                <w:sz w:val="16"/>
                <w:szCs w:val="16"/>
                <w:color w:val="auto"/>
              </w:rPr>
            </w:pPr>
          </w:p>
        </w:tc>
        <w:tc>
          <w:tcPr>
            <w:tcW w:w="26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1100" w:type="dxa"/>
            <w:vAlign w:val="bottom"/>
            <w:tcBorders>
              <w:bottom w:val="single" w:sz="8" w:color="E7417A"/>
              <w:right w:val="single" w:sz="8" w:color="F2F2F2"/>
            </w:tcBorders>
          </w:tcPr>
          <w:p>
            <w:pPr>
              <w:spacing w:after="0"/>
              <w:rPr>
                <w:sz w:val="16"/>
                <w:szCs w:val="16"/>
                <w:color w:val="auto"/>
              </w:rPr>
            </w:pPr>
          </w:p>
        </w:tc>
        <w:tc>
          <w:tcPr>
            <w:tcW w:w="80" w:type="dxa"/>
            <w:vAlign w:val="bottom"/>
            <w:tcBorders>
              <w:bottom w:val="single" w:sz="8" w:color="E7417A"/>
            </w:tcBorders>
          </w:tcPr>
          <w:p>
            <w:pPr>
              <w:spacing w:after="0"/>
              <w:rPr>
                <w:sz w:val="16"/>
                <w:szCs w:val="16"/>
                <w:color w:val="auto"/>
              </w:rPr>
            </w:pPr>
          </w:p>
        </w:tc>
        <w:tc>
          <w:tcPr>
            <w:tcW w:w="94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740"/>
              <w:spacing w:after="0"/>
              <w:rPr>
                <w:sz w:val="20"/>
                <w:szCs w:val="20"/>
                <w:color w:val="auto"/>
              </w:rPr>
            </w:pPr>
            <w:r>
              <w:rPr>
                <w:rFonts w:ascii="Arial" w:cs="Arial" w:eastAsia="Arial" w:hAnsi="Arial"/>
                <w:sz w:val="14"/>
                <w:szCs w:val="14"/>
                <w:b w:val="1"/>
                <w:bCs w:val="1"/>
                <w:color w:val="auto"/>
              </w:rPr>
              <w:t>Scott Mair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F2F2F2"/>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F2F2F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740"/>
              <w:spacing w:after="0"/>
              <w:rPr>
                <w:sz w:val="20"/>
                <w:szCs w:val="20"/>
                <w:color w:val="auto"/>
              </w:rPr>
            </w:pPr>
            <w:r>
              <w:rPr>
                <w:rFonts w:ascii="Arial" w:cs="Arial" w:eastAsia="Arial" w:hAnsi="Arial"/>
                <w:sz w:val="14"/>
                <w:szCs w:val="14"/>
                <w:color w:val="auto"/>
              </w:rPr>
              <w:t>Former President,</w:t>
            </w:r>
          </w:p>
        </w:tc>
        <w:tc>
          <w:tcPr>
            <w:tcW w:w="1040" w:type="dxa"/>
            <w:vAlign w:val="bottom"/>
            <w:gridSpan w:val="3"/>
            <w:vMerge w:val="restart"/>
          </w:tcPr>
          <w:p>
            <w:pPr>
              <w:ind w:left="40"/>
              <w:spacing w:after="0" w:line="302" w:lineRule="exact"/>
              <w:rPr>
                <w:sz w:val="20"/>
                <w:szCs w:val="20"/>
                <w:color w:val="auto"/>
              </w:rPr>
            </w:pPr>
            <w:r>
              <w:rPr>
                <w:rFonts w:ascii="Arial" w:cs="Arial" w:eastAsia="Arial" w:hAnsi="Arial"/>
                <w:sz w:val="28"/>
                <w:szCs w:val="28"/>
                <w:color w:val="auto"/>
                <w:w w:val="98"/>
                <w:vertAlign w:val="subscript"/>
              </w:rPr>
              <w:t>​ 65 ​</w:t>
            </w:r>
            <w:r>
              <w:rPr>
                <w:rFonts w:ascii="Arial" w:cs="Arial" w:eastAsia="Arial" w:hAnsi="Arial"/>
                <w:sz w:val="14"/>
                <w:szCs w:val="14"/>
                <w:color w:val="auto"/>
                <w:w w:val="98"/>
              </w:rPr>
              <w:t>September</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restart"/>
          </w:tcPr>
          <w:p>
            <w:pPr>
              <w:jc w:val="right"/>
              <w:ind w:right="230"/>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F2F2F2"/>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F2F2F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320" w:type="dxa"/>
            <w:vAlign w:val="bottom"/>
          </w:tcPr>
          <w:p>
            <w:pPr>
              <w:ind w:left="700"/>
              <w:spacing w:after="0" w:line="141" w:lineRule="exact"/>
              <w:rPr>
                <w:sz w:val="20"/>
                <w:szCs w:val="20"/>
                <w:color w:val="auto"/>
              </w:rPr>
            </w:pPr>
            <w:r>
              <w:rPr>
                <w:rFonts w:ascii="Arial" w:cs="Arial" w:eastAsia="Arial" w:hAnsi="Arial"/>
                <w:sz w:val="14"/>
                <w:szCs w:val="14"/>
                <w:color w:val="auto"/>
              </w:rPr>
              <w:t>​​AT&amp;T Network</w:t>
            </w:r>
          </w:p>
        </w:tc>
        <w:tc>
          <w:tcPr>
            <w:tcW w:w="1040" w:type="dxa"/>
            <w:vAlign w:val="bottom"/>
            <w:gridSpan w:val="3"/>
            <w:vMerge w:val="continue"/>
          </w:tcPr>
          <w:p>
            <w:pPr>
              <w:spacing w:after="0"/>
              <w:rPr>
                <w:sz w:val="12"/>
                <w:szCs w:val="12"/>
                <w:color w:val="auto"/>
              </w:rPr>
            </w:pPr>
          </w:p>
        </w:tc>
        <w:tc>
          <w:tcPr>
            <w:tcW w:w="280" w:type="dxa"/>
            <w:vAlign w:val="bottom"/>
          </w:tcPr>
          <w:p>
            <w:pPr>
              <w:ind w:left="40"/>
              <w:spacing w:after="0" w:line="141"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280" w:type="dxa"/>
            <w:vAlign w:val="bottom"/>
          </w:tcPr>
          <w:p>
            <w:pPr>
              <w:ind w:left="200"/>
              <w:spacing w:after="0" w:line="141" w:lineRule="exact"/>
              <w:rPr>
                <w:sz w:val="20"/>
                <w:szCs w:val="20"/>
                <w:color w:val="auto"/>
              </w:rPr>
            </w:pPr>
            <w:r>
              <w:rPr>
                <w:rFonts w:ascii="Arial" w:cs="Arial" w:eastAsia="Arial" w:hAnsi="Arial"/>
                <w:sz w:val="14"/>
                <w:szCs w:val="14"/>
                <w:b w:val="1"/>
                <w:bCs w:val="1"/>
                <w:color w:val="auto"/>
              </w:rPr>
              <w:t>​</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400" w:type="dxa"/>
            <w:vAlign w:val="bottom"/>
            <w:tcBorders>
              <w:right w:val="single" w:sz="8" w:color="F2F2F2"/>
            </w:tcBorders>
          </w:tcPr>
          <w:p>
            <w:pPr>
              <w:spacing w:after="0"/>
              <w:rPr>
                <w:sz w:val="12"/>
                <w:szCs w:val="12"/>
                <w:color w:val="auto"/>
              </w:rPr>
            </w:pPr>
          </w:p>
        </w:tc>
        <w:tc>
          <w:tcPr>
            <w:tcW w:w="16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ind w:left="360"/>
              <w:spacing w:after="0" w:line="141"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line="141" w:lineRule="exact"/>
              <w:rPr>
                <w:sz w:val="20"/>
                <w:szCs w:val="20"/>
                <w:color w:val="auto"/>
              </w:rPr>
            </w:pPr>
            <w:r>
              <w:rPr>
                <w:rFonts w:ascii="Arial" w:cs="Arial" w:eastAsia="Arial" w:hAnsi="Arial"/>
                <w:sz w:val="14"/>
                <w:szCs w:val="14"/>
                <w:color w:val="auto"/>
              </w:rPr>
              <w:t>​​</w:t>
            </w:r>
          </w:p>
        </w:tc>
        <w:tc>
          <w:tcPr>
            <w:tcW w:w="1100" w:type="dxa"/>
            <w:vAlign w:val="bottom"/>
            <w:tcBorders>
              <w:right w:val="single" w:sz="8" w:color="F2F2F2"/>
            </w:tcBorders>
          </w:tcPr>
          <w:p>
            <w:pPr>
              <w:ind w:left="50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2"/>
                <w:szCs w:val="12"/>
                <w:color w:val="auto"/>
              </w:rPr>
            </w:pPr>
          </w:p>
        </w:tc>
        <w:tc>
          <w:tcPr>
            <w:tcW w:w="60" w:type="dxa"/>
            <w:vAlign w:val="bottom"/>
            <w:gridSpan w:val="2"/>
          </w:tcPr>
          <w:p>
            <w:pPr>
              <w:ind w:left="2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20" w:type="dxa"/>
            <w:vAlign w:val="bottom"/>
            <w:vMerge w:val="restart"/>
          </w:tcPr>
          <w:p>
            <w:pPr>
              <w:ind w:left="740"/>
              <w:spacing w:after="0"/>
              <w:rPr>
                <w:sz w:val="20"/>
                <w:szCs w:val="20"/>
                <w:color w:val="auto"/>
              </w:rPr>
            </w:pPr>
            <w:r>
              <w:rPr>
                <w:rFonts w:ascii="Arial" w:cs="Arial" w:eastAsia="Arial" w:hAnsi="Arial"/>
                <w:sz w:val="14"/>
                <w:szCs w:val="14"/>
                <w:color w:val="auto"/>
              </w:rPr>
              <w:t>Engineering &amp;</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2022</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F2F2F2"/>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F2F2F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32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F2F2F2"/>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right w:val="single" w:sz="8" w:color="F2F2F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20" w:type="dxa"/>
            <w:vAlign w:val="bottom"/>
            <w:tcBorders>
              <w:bottom w:val="single" w:sz="8" w:color="E7417A"/>
            </w:tcBorders>
          </w:tcPr>
          <w:p>
            <w:pPr>
              <w:ind w:left="740"/>
              <w:spacing w:after="0"/>
              <w:rPr>
                <w:sz w:val="20"/>
                <w:szCs w:val="20"/>
                <w:color w:val="auto"/>
              </w:rPr>
            </w:pPr>
            <w:r>
              <w:rPr>
                <w:rFonts w:ascii="Arial" w:cs="Arial" w:eastAsia="Arial" w:hAnsi="Arial"/>
                <w:sz w:val="14"/>
                <w:szCs w:val="14"/>
                <w:color w:val="auto"/>
              </w:rPr>
              <w:t>Operations</w:t>
            </w:r>
          </w:p>
        </w:tc>
        <w:tc>
          <w:tcPr>
            <w:tcW w:w="28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66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44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62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120" w:type="dxa"/>
            <w:vAlign w:val="bottom"/>
            <w:tcBorders>
              <w:bottom w:val="single" w:sz="8" w:color="E7417A"/>
            </w:tcBorders>
          </w:tcPr>
          <w:p>
            <w:pPr>
              <w:spacing w:after="0"/>
              <w:rPr>
                <w:sz w:val="16"/>
                <w:szCs w:val="16"/>
                <w:color w:val="auto"/>
              </w:rPr>
            </w:pPr>
          </w:p>
        </w:tc>
        <w:tc>
          <w:tcPr>
            <w:tcW w:w="400" w:type="dxa"/>
            <w:vAlign w:val="bottom"/>
            <w:tcBorders>
              <w:bottom w:val="single" w:sz="8" w:color="E7417A"/>
              <w:right w:val="single" w:sz="8" w:color="F2F2F2"/>
            </w:tcBorders>
          </w:tcPr>
          <w:p>
            <w:pPr>
              <w:spacing w:after="0"/>
              <w:rPr>
                <w:sz w:val="16"/>
                <w:szCs w:val="16"/>
                <w:color w:val="auto"/>
              </w:rPr>
            </w:pPr>
          </w:p>
        </w:tc>
        <w:tc>
          <w:tcPr>
            <w:tcW w:w="160" w:type="dxa"/>
            <w:vAlign w:val="bottom"/>
            <w:tcBorders>
              <w:bottom w:val="single" w:sz="8" w:color="E7417A"/>
            </w:tcBorders>
          </w:tcPr>
          <w:p>
            <w:pPr>
              <w:spacing w:after="0"/>
              <w:rPr>
                <w:sz w:val="16"/>
                <w:szCs w:val="16"/>
                <w:color w:val="auto"/>
              </w:rPr>
            </w:pPr>
          </w:p>
        </w:tc>
        <w:tc>
          <w:tcPr>
            <w:tcW w:w="640" w:type="dxa"/>
            <w:vAlign w:val="bottom"/>
            <w:tcBorders>
              <w:bottom w:val="single" w:sz="8" w:color="E7417A"/>
            </w:tcBorders>
          </w:tcPr>
          <w:p>
            <w:pPr>
              <w:spacing w:after="0"/>
              <w:rPr>
                <w:sz w:val="16"/>
                <w:szCs w:val="16"/>
                <w:color w:val="auto"/>
              </w:rPr>
            </w:pPr>
          </w:p>
        </w:tc>
        <w:tc>
          <w:tcPr>
            <w:tcW w:w="26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1100" w:type="dxa"/>
            <w:vAlign w:val="bottom"/>
            <w:tcBorders>
              <w:bottom w:val="single" w:sz="8" w:color="E7417A"/>
              <w:right w:val="single" w:sz="8" w:color="F2F2F2"/>
            </w:tcBorders>
          </w:tcPr>
          <w:p>
            <w:pPr>
              <w:spacing w:after="0"/>
              <w:rPr>
                <w:sz w:val="16"/>
                <w:szCs w:val="16"/>
                <w:color w:val="auto"/>
              </w:rPr>
            </w:pPr>
          </w:p>
        </w:tc>
        <w:tc>
          <w:tcPr>
            <w:tcW w:w="80" w:type="dxa"/>
            <w:vAlign w:val="bottom"/>
            <w:tcBorders>
              <w:bottom w:val="single" w:sz="8" w:color="E7417A"/>
            </w:tcBorders>
          </w:tcPr>
          <w:p>
            <w:pPr>
              <w:spacing w:after="0"/>
              <w:rPr>
                <w:sz w:val="16"/>
                <w:szCs w:val="16"/>
                <w:color w:val="auto"/>
              </w:rPr>
            </w:pPr>
          </w:p>
        </w:tc>
        <w:tc>
          <w:tcPr>
            <w:tcW w:w="94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320" w:type="dxa"/>
            <w:vAlign w:val="bottom"/>
          </w:tcPr>
          <w:p>
            <w:pPr>
              <w:ind w:left="740"/>
              <w:spacing w:after="0"/>
              <w:rPr>
                <w:sz w:val="20"/>
                <w:szCs w:val="20"/>
                <w:color w:val="auto"/>
              </w:rPr>
            </w:pPr>
            <w:r>
              <w:rPr>
                <w:rFonts w:ascii="Arial" w:cs="Arial" w:eastAsia="Arial" w:hAnsi="Arial"/>
                <w:sz w:val="14"/>
                <w:szCs w:val="14"/>
                <w:b w:val="1"/>
                <w:bCs w:val="1"/>
                <w:color w:val="auto"/>
              </w:rPr>
              <w:t>Shaul Shani </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vMerge w:val="restart"/>
          </w:tcPr>
          <w:p>
            <w:pPr>
              <w:jc w:val="center"/>
              <w:ind w:right="14"/>
              <w:spacing w:after="0"/>
              <w:rPr>
                <w:sz w:val="20"/>
                <w:szCs w:val="20"/>
                <w:color w:val="auto"/>
              </w:rPr>
            </w:pPr>
            <w:r>
              <w:rPr>
                <w:rFonts w:ascii="Arial" w:cs="Arial" w:eastAsia="Arial" w:hAnsi="Arial"/>
                <w:sz w:val="14"/>
                <w:szCs w:val="14"/>
                <w:color w:val="auto"/>
                <w:w w:val="98"/>
              </w:rPr>
              <w:t>June</w:t>
            </w: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right w:val="single" w:sz="8" w:color="F2F2F2"/>
            </w:tcBorders>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right w:val="single" w:sz="8" w:color="F2F2F2"/>
            </w:tcBorders>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320" w:type="dxa"/>
            <w:vAlign w:val="bottom"/>
            <w:vMerge w:val="restart"/>
          </w:tcPr>
          <w:p>
            <w:pPr>
              <w:ind w:left="700"/>
              <w:spacing w:after="0" w:line="168"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Founder and</w:t>
            </w:r>
          </w:p>
        </w:tc>
        <w:tc>
          <w:tcPr>
            <w:tcW w:w="280" w:type="dxa"/>
            <w:vAlign w:val="bottom"/>
            <w:vMerge w:val="restart"/>
          </w:tcPr>
          <w:p>
            <w:pPr>
              <w:ind w:left="40"/>
              <w:spacing w:after="0"/>
              <w:rPr>
                <w:sz w:val="20"/>
                <w:szCs w:val="20"/>
                <w:color w:val="auto"/>
              </w:rPr>
            </w:pPr>
            <w:r>
              <w:rPr>
                <w:rFonts w:ascii="Arial" w:cs="Arial" w:eastAsia="Arial" w:hAnsi="Arial"/>
                <w:sz w:val="14"/>
                <w:szCs w:val="14"/>
                <w:color w:val="auto"/>
              </w:rPr>
              <w:t>​ 71</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continue"/>
          </w:tcPr>
          <w:p>
            <w:pPr>
              <w:spacing w:after="0"/>
              <w:rPr>
                <w:sz w:val="8"/>
                <w:szCs w:val="8"/>
                <w:color w:val="auto"/>
              </w:rPr>
            </w:pPr>
          </w:p>
        </w:tc>
        <w:tc>
          <w:tcPr>
            <w:tcW w:w="28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ind w:right="230"/>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F2F2F2"/>
            </w:tcBorders>
            <w:vMerge w:val="restart"/>
          </w:tcPr>
          <w:p>
            <w:pPr>
              <w:ind w:left="1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3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8"/>
                <w:szCs w:val="8"/>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F2F2F2"/>
            </w:tcBorders>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6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32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color w:val="auto"/>
              </w:rPr>
              <w:t>2020</w:t>
            </w:r>
          </w:p>
        </w:tc>
        <w:tc>
          <w:tcPr>
            <w:tcW w:w="2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400" w:type="dxa"/>
            <w:vAlign w:val="bottom"/>
            <w:tcBorders>
              <w:right w:val="single" w:sz="8" w:color="F2F2F2"/>
            </w:tcBorders>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100" w:type="dxa"/>
            <w:vAlign w:val="bottom"/>
            <w:tcBorders>
              <w:right w:val="single" w:sz="8" w:color="F2F2F2"/>
            </w:tcBorders>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320" w:type="dxa"/>
            <w:vAlign w:val="bottom"/>
            <w:vMerge w:val="restart"/>
          </w:tcPr>
          <w:p>
            <w:pPr>
              <w:ind w:left="740"/>
              <w:spacing w:after="0" w:line="156" w:lineRule="exact"/>
              <w:rPr>
                <w:sz w:val="20"/>
                <w:szCs w:val="20"/>
                <w:color w:val="auto"/>
              </w:rPr>
            </w:pPr>
            <w:r>
              <w:rPr>
                <w:rFonts w:ascii="Arial" w:cs="Arial" w:eastAsia="Arial" w:hAnsi="Arial"/>
                <w:sz w:val="14"/>
                <w:szCs w:val="14"/>
                <w:color w:val="auto"/>
              </w:rPr>
              <w:t>Chairman,</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right w:val="single" w:sz="8" w:color="F2F2F2"/>
            </w:tcBorders>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Borders>
              <w:right w:val="single" w:sz="8" w:color="F2F2F2"/>
            </w:tcBorders>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3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right w:val="single" w:sz="8" w:color="F2F2F2"/>
            </w:tcBorders>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right w:val="single" w:sz="8" w:color="F2F2F2"/>
            </w:tcBorders>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320" w:type="dxa"/>
            <w:vAlign w:val="bottom"/>
            <w:tcBorders>
              <w:bottom w:val="single" w:sz="8" w:color="E7417A"/>
            </w:tcBorders>
          </w:tcPr>
          <w:p>
            <w:pPr>
              <w:ind w:left="740"/>
              <w:spacing w:after="0"/>
              <w:rPr>
                <w:sz w:val="20"/>
                <w:szCs w:val="20"/>
                <w:color w:val="auto"/>
              </w:rPr>
            </w:pPr>
            <w:r>
              <w:rPr>
                <w:rFonts w:ascii="Arial" w:cs="Arial" w:eastAsia="Arial" w:hAnsi="Arial"/>
                <w:sz w:val="14"/>
                <w:szCs w:val="14"/>
                <w:color w:val="auto"/>
              </w:rPr>
              <w:t>Swarth Group</w:t>
            </w:r>
          </w:p>
        </w:tc>
        <w:tc>
          <w:tcPr>
            <w:tcW w:w="28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66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44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62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120" w:type="dxa"/>
            <w:vAlign w:val="bottom"/>
            <w:tcBorders>
              <w:bottom w:val="single" w:sz="8" w:color="E7417A"/>
            </w:tcBorders>
          </w:tcPr>
          <w:p>
            <w:pPr>
              <w:spacing w:after="0"/>
              <w:rPr>
                <w:sz w:val="16"/>
                <w:szCs w:val="16"/>
                <w:color w:val="auto"/>
              </w:rPr>
            </w:pPr>
          </w:p>
        </w:tc>
        <w:tc>
          <w:tcPr>
            <w:tcW w:w="400" w:type="dxa"/>
            <w:vAlign w:val="bottom"/>
            <w:tcBorders>
              <w:bottom w:val="single" w:sz="8" w:color="E7417A"/>
              <w:right w:val="single" w:sz="8" w:color="F2F2F2"/>
            </w:tcBorders>
          </w:tcPr>
          <w:p>
            <w:pPr>
              <w:spacing w:after="0"/>
              <w:rPr>
                <w:sz w:val="16"/>
                <w:szCs w:val="16"/>
                <w:color w:val="auto"/>
              </w:rPr>
            </w:pPr>
          </w:p>
        </w:tc>
        <w:tc>
          <w:tcPr>
            <w:tcW w:w="160" w:type="dxa"/>
            <w:vAlign w:val="bottom"/>
            <w:tcBorders>
              <w:bottom w:val="single" w:sz="8" w:color="E7417A"/>
            </w:tcBorders>
          </w:tcPr>
          <w:p>
            <w:pPr>
              <w:spacing w:after="0"/>
              <w:rPr>
                <w:sz w:val="16"/>
                <w:szCs w:val="16"/>
                <w:color w:val="auto"/>
              </w:rPr>
            </w:pPr>
          </w:p>
        </w:tc>
        <w:tc>
          <w:tcPr>
            <w:tcW w:w="640" w:type="dxa"/>
            <w:vAlign w:val="bottom"/>
            <w:tcBorders>
              <w:bottom w:val="single" w:sz="8" w:color="E7417A"/>
            </w:tcBorders>
          </w:tcPr>
          <w:p>
            <w:pPr>
              <w:spacing w:after="0"/>
              <w:rPr>
                <w:sz w:val="16"/>
                <w:szCs w:val="16"/>
                <w:color w:val="auto"/>
              </w:rPr>
            </w:pPr>
          </w:p>
        </w:tc>
        <w:tc>
          <w:tcPr>
            <w:tcW w:w="26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1100" w:type="dxa"/>
            <w:vAlign w:val="bottom"/>
            <w:tcBorders>
              <w:bottom w:val="single" w:sz="8" w:color="E7417A"/>
              <w:right w:val="single" w:sz="8" w:color="F2F2F2"/>
            </w:tcBorders>
          </w:tcPr>
          <w:p>
            <w:pPr>
              <w:spacing w:after="0"/>
              <w:rPr>
                <w:sz w:val="16"/>
                <w:szCs w:val="16"/>
                <w:color w:val="auto"/>
              </w:rPr>
            </w:pPr>
          </w:p>
        </w:tc>
        <w:tc>
          <w:tcPr>
            <w:tcW w:w="80" w:type="dxa"/>
            <w:vAlign w:val="bottom"/>
            <w:tcBorders>
              <w:bottom w:val="single" w:sz="8" w:color="E7417A"/>
            </w:tcBorders>
          </w:tcPr>
          <w:p>
            <w:pPr>
              <w:spacing w:after="0"/>
              <w:rPr>
                <w:sz w:val="16"/>
                <w:szCs w:val="16"/>
                <w:color w:val="auto"/>
              </w:rPr>
            </w:pPr>
          </w:p>
        </w:tc>
        <w:tc>
          <w:tcPr>
            <w:tcW w:w="940" w:type="dxa"/>
            <w:vAlign w:val="bottom"/>
            <w:tcBorders>
              <w:bottom w:val="single" w:sz="8" w:color="E7417A"/>
            </w:tcBorders>
          </w:tcPr>
          <w:p>
            <w:pPr>
              <w:spacing w:after="0"/>
              <w:rPr>
                <w:sz w:val="16"/>
                <w:szCs w:val="16"/>
                <w:color w:val="auto"/>
              </w:rPr>
            </w:pPr>
          </w:p>
        </w:tc>
        <w:tc>
          <w:tcPr>
            <w:tcW w:w="40" w:type="dxa"/>
            <w:vAlign w:val="bottom"/>
            <w:tcBorders>
              <w:bottom w:val="single" w:sz="8" w:color="E7417A"/>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320" w:type="dxa"/>
            <w:vAlign w:val="bottom"/>
          </w:tcPr>
          <w:p>
            <w:pPr>
              <w:ind w:left="740"/>
              <w:spacing w:after="0"/>
              <w:rPr>
                <w:sz w:val="20"/>
                <w:szCs w:val="20"/>
                <w:color w:val="auto"/>
              </w:rPr>
            </w:pPr>
            <w:r>
              <w:rPr>
                <w:rFonts w:ascii="Arial" w:cs="Arial" w:eastAsia="Arial" w:hAnsi="Arial"/>
                <w:sz w:val="14"/>
                <w:szCs w:val="14"/>
                <w:b w:val="1"/>
                <w:bCs w:val="1"/>
                <w:color w:val="auto"/>
              </w:rPr>
              <w:t>Louis Silver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F2F2F2"/>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F2F2F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320" w:type="dxa"/>
            <w:vAlign w:val="bottom"/>
          </w:tcPr>
          <w:p>
            <w:pPr>
              <w:ind w:left="740"/>
              <w:spacing w:after="0" w:line="141" w:lineRule="exact"/>
              <w:rPr>
                <w:sz w:val="20"/>
                <w:szCs w:val="20"/>
                <w:color w:val="auto"/>
              </w:rPr>
            </w:pPr>
            <w:r>
              <w:rPr>
                <w:rFonts w:ascii="Arial" w:cs="Arial" w:eastAsia="Arial" w:hAnsi="Arial"/>
                <w:sz w:val="14"/>
                <w:szCs w:val="14"/>
                <w:color w:val="auto"/>
              </w:rPr>
              <w:t>Managing Director, Alba</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right w:val="single" w:sz="8" w:color="F2F2F2"/>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F2F2F2"/>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6"/>
        </w:trPr>
        <w:tc>
          <w:tcPr>
            <w:tcW w:w="2320" w:type="dxa"/>
            <w:vAlign w:val="bottom"/>
          </w:tcPr>
          <w:p>
            <w:pPr>
              <w:ind w:left="70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S.A. and Wicklow Corp.</w:t>
            </w:r>
          </w:p>
        </w:tc>
        <w:tc>
          <w:tcPr>
            <w:tcW w:w="1320" w:type="dxa"/>
            <w:vAlign w:val="bottom"/>
            <w:gridSpan w:val="4"/>
          </w:tcPr>
          <w:p>
            <w:pPr>
              <w:ind w:left="40"/>
              <w:spacing w:after="0"/>
              <w:rPr>
                <w:sz w:val="20"/>
                <w:szCs w:val="20"/>
                <w:color w:val="auto"/>
              </w:rPr>
            </w:pPr>
            <w:r>
              <w:rPr>
                <w:rFonts w:ascii="Arial" w:cs="Arial" w:eastAsia="Arial" w:hAnsi="Arial"/>
                <w:sz w:val="14"/>
                <w:szCs w:val="14"/>
                <w:color w:val="auto"/>
              </w:rPr>
              <w:t>​ 72 ​April 2026 ​</w:t>
            </w:r>
          </w:p>
        </w:tc>
        <w:tc>
          <w:tcPr>
            <w:tcW w:w="440" w:type="dxa"/>
            <w:vAlign w:val="bottom"/>
          </w:tcPr>
          <w:p>
            <w:pPr>
              <w:spacing w:after="0"/>
              <w:rPr>
                <w:sz w:val="24"/>
                <w:szCs w:val="24"/>
                <w:color w:val="auto"/>
              </w:rPr>
            </w:pPr>
          </w:p>
        </w:tc>
        <w:tc>
          <w:tcPr>
            <w:tcW w:w="28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3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F2F2F2"/>
            </w:tcBorders>
          </w:tcPr>
          <w:p>
            <w:pPr>
              <w:ind w:lef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ind w:left="3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F2F2F2"/>
            </w:tcBorders>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ind w:left="440"/>
              <w:spacing w:after="0"/>
              <w:rPr>
                <w:sz w:val="20"/>
                <w:szCs w:val="20"/>
                <w:color w:val="auto"/>
              </w:rPr>
            </w:pPr>
            <w:r>
              <w:rPr>
                <w:rFonts w:ascii="Arial" w:cs="Arial" w:eastAsia="Arial" w:hAnsi="Arial"/>
                <w:sz w:val="14"/>
                <w:szCs w:val="14"/>
                <w:color w:val="auto"/>
              </w:rPr>
              <w:t>​</w:t>
            </w:r>
          </w:p>
        </w:tc>
        <w:tc>
          <w:tcPr>
            <w:tcW w:w="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7"/>
        </w:trPr>
        <w:tc>
          <w:tcPr>
            <w:tcW w:w="2320" w:type="dxa"/>
            <w:vAlign w:val="bottom"/>
            <w:tcBorders>
              <w:bottom w:val="single" w:sz="8" w:color="E7417A"/>
            </w:tcBorders>
          </w:tcPr>
          <w:p>
            <w:pPr>
              <w:spacing w:after="0"/>
              <w:rPr>
                <w:sz w:val="8"/>
                <w:szCs w:val="8"/>
                <w:color w:val="auto"/>
              </w:rPr>
            </w:pPr>
          </w:p>
        </w:tc>
        <w:tc>
          <w:tcPr>
            <w:tcW w:w="28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660" w:type="dxa"/>
            <w:vAlign w:val="bottom"/>
            <w:tcBorders>
              <w:bottom w:val="single" w:sz="8" w:color="E7417A"/>
            </w:tcBorders>
          </w:tcPr>
          <w:p>
            <w:pPr>
              <w:spacing w:after="0"/>
              <w:rPr>
                <w:sz w:val="8"/>
                <w:szCs w:val="8"/>
                <w:color w:val="auto"/>
              </w:rPr>
            </w:pPr>
          </w:p>
        </w:tc>
        <w:tc>
          <w:tcPr>
            <w:tcW w:w="280" w:type="dxa"/>
            <w:vAlign w:val="bottom"/>
            <w:tcBorders>
              <w:bottom w:val="single" w:sz="8" w:color="E7417A"/>
            </w:tcBorders>
          </w:tcPr>
          <w:p>
            <w:pPr>
              <w:spacing w:after="0"/>
              <w:rPr>
                <w:sz w:val="8"/>
                <w:szCs w:val="8"/>
                <w:color w:val="auto"/>
              </w:rPr>
            </w:pPr>
          </w:p>
        </w:tc>
        <w:tc>
          <w:tcPr>
            <w:tcW w:w="440" w:type="dxa"/>
            <w:vAlign w:val="bottom"/>
            <w:tcBorders>
              <w:bottom w:val="single" w:sz="8" w:color="E7417A"/>
            </w:tcBorders>
          </w:tcPr>
          <w:p>
            <w:pPr>
              <w:spacing w:after="0"/>
              <w:rPr>
                <w:sz w:val="8"/>
                <w:szCs w:val="8"/>
                <w:color w:val="auto"/>
              </w:rPr>
            </w:pPr>
          </w:p>
        </w:tc>
        <w:tc>
          <w:tcPr>
            <w:tcW w:w="280" w:type="dxa"/>
            <w:vAlign w:val="bottom"/>
            <w:tcBorders>
              <w:bottom w:val="single" w:sz="8" w:color="E7417A"/>
            </w:tcBorders>
          </w:tcPr>
          <w:p>
            <w:pPr>
              <w:spacing w:after="0"/>
              <w:rPr>
                <w:sz w:val="8"/>
                <w:szCs w:val="8"/>
                <w:color w:val="auto"/>
              </w:rPr>
            </w:pPr>
          </w:p>
        </w:tc>
        <w:tc>
          <w:tcPr>
            <w:tcW w:w="620" w:type="dxa"/>
            <w:vAlign w:val="bottom"/>
            <w:tcBorders>
              <w:bottom w:val="single" w:sz="8" w:color="E7417A"/>
            </w:tcBorders>
          </w:tcPr>
          <w:p>
            <w:pPr>
              <w:spacing w:after="0"/>
              <w:rPr>
                <w:sz w:val="8"/>
                <w:szCs w:val="8"/>
                <w:color w:val="auto"/>
              </w:rPr>
            </w:pPr>
          </w:p>
        </w:tc>
        <w:tc>
          <w:tcPr>
            <w:tcW w:w="40" w:type="dxa"/>
            <w:vAlign w:val="bottom"/>
            <w:tcBorders>
              <w:bottom w:val="single" w:sz="8" w:color="E7417A"/>
            </w:tcBorders>
          </w:tcPr>
          <w:p>
            <w:pPr>
              <w:spacing w:after="0"/>
              <w:rPr>
                <w:sz w:val="8"/>
                <w:szCs w:val="8"/>
                <w:color w:val="auto"/>
              </w:rPr>
            </w:pPr>
          </w:p>
        </w:tc>
        <w:tc>
          <w:tcPr>
            <w:tcW w:w="120" w:type="dxa"/>
            <w:vAlign w:val="bottom"/>
            <w:tcBorders>
              <w:bottom w:val="single" w:sz="8" w:color="E7417A"/>
            </w:tcBorders>
          </w:tcPr>
          <w:p>
            <w:pPr>
              <w:spacing w:after="0"/>
              <w:rPr>
                <w:sz w:val="8"/>
                <w:szCs w:val="8"/>
                <w:color w:val="auto"/>
              </w:rPr>
            </w:pPr>
          </w:p>
        </w:tc>
        <w:tc>
          <w:tcPr>
            <w:tcW w:w="400" w:type="dxa"/>
            <w:vAlign w:val="bottom"/>
            <w:tcBorders>
              <w:bottom w:val="single" w:sz="8" w:color="E7417A"/>
              <w:right w:val="single" w:sz="8" w:color="F2F2F2"/>
            </w:tcBorders>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640" w:type="dxa"/>
            <w:vAlign w:val="bottom"/>
            <w:tcBorders>
              <w:bottom w:val="single" w:sz="8" w:color="E7417A"/>
            </w:tcBorders>
          </w:tcPr>
          <w:p>
            <w:pPr>
              <w:spacing w:after="0"/>
              <w:rPr>
                <w:sz w:val="8"/>
                <w:szCs w:val="8"/>
                <w:color w:val="auto"/>
              </w:rPr>
            </w:pPr>
          </w:p>
        </w:tc>
        <w:tc>
          <w:tcPr>
            <w:tcW w:w="26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1100" w:type="dxa"/>
            <w:vAlign w:val="bottom"/>
            <w:tcBorders>
              <w:bottom w:val="single" w:sz="8" w:color="E7417A"/>
              <w:right w:val="single" w:sz="8" w:color="F2F2F2"/>
            </w:tcBorders>
          </w:tcPr>
          <w:p>
            <w:pPr>
              <w:spacing w:after="0"/>
              <w:rPr>
                <w:sz w:val="8"/>
                <w:szCs w:val="8"/>
                <w:color w:val="auto"/>
              </w:rPr>
            </w:pPr>
          </w:p>
        </w:tc>
        <w:tc>
          <w:tcPr>
            <w:tcW w:w="80" w:type="dxa"/>
            <w:vAlign w:val="bottom"/>
            <w:tcBorders>
              <w:bottom w:val="single" w:sz="8" w:color="E7417A"/>
            </w:tcBorders>
          </w:tcPr>
          <w:p>
            <w:pPr>
              <w:spacing w:after="0"/>
              <w:rPr>
                <w:sz w:val="8"/>
                <w:szCs w:val="8"/>
                <w:color w:val="auto"/>
              </w:rPr>
            </w:pPr>
          </w:p>
        </w:tc>
        <w:tc>
          <w:tcPr>
            <w:tcW w:w="940" w:type="dxa"/>
            <w:vAlign w:val="bottom"/>
            <w:tcBorders>
              <w:bottom w:val="single" w:sz="8" w:color="E7417A"/>
            </w:tcBorders>
          </w:tcPr>
          <w:p>
            <w:pPr>
              <w:spacing w:after="0"/>
              <w:rPr>
                <w:sz w:val="8"/>
                <w:szCs w:val="8"/>
                <w:color w:val="auto"/>
              </w:rPr>
            </w:pPr>
          </w:p>
        </w:tc>
        <w:tc>
          <w:tcPr>
            <w:tcW w:w="4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320" w:type="dxa"/>
            <w:vAlign w:val="bottom"/>
          </w:tcPr>
          <w:p>
            <w:pPr>
              <w:ind w:left="740"/>
              <w:spacing w:after="0"/>
              <w:rPr>
                <w:sz w:val="20"/>
                <w:szCs w:val="20"/>
                <w:color w:val="auto"/>
              </w:rPr>
            </w:pPr>
            <w:r>
              <w:rPr>
                <w:rFonts w:ascii="Arial" w:cs="Arial" w:eastAsia="Arial" w:hAnsi="Arial"/>
                <w:sz w:val="14"/>
                <w:szCs w:val="14"/>
                <w:b w:val="1"/>
                <w:bCs w:val="1"/>
                <w:color w:val="auto"/>
              </w:rPr>
              <w:t>Richard W. Smith</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F2F2F2"/>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F2F2F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320" w:type="dxa"/>
            <w:vAlign w:val="bottom"/>
          </w:tcPr>
          <w:p>
            <w:pPr>
              <w:ind w:left="700"/>
              <w:spacing w:after="0" w:line="262"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Chairman of Private</w:t>
            </w:r>
          </w:p>
        </w:tc>
        <w:tc>
          <w:tcPr>
            <w:tcW w:w="280" w:type="dxa"/>
            <w:vAlign w:val="bottom"/>
          </w:tcPr>
          <w:p>
            <w:pPr>
              <w:ind w:left="40"/>
              <w:spacing w:after="0"/>
              <w:rPr>
                <w:sz w:val="20"/>
                <w:szCs w:val="20"/>
                <w:color w:val="auto"/>
              </w:rPr>
            </w:pPr>
            <w:r>
              <w:rPr>
                <w:rFonts w:ascii="Arial" w:cs="Arial" w:eastAsia="Arial" w:hAnsi="Arial"/>
                <w:sz w:val="14"/>
                <w:szCs w:val="14"/>
                <w:color w:val="auto"/>
              </w:rPr>
              <w:t>​ 73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center"/>
              <w:ind w:right="14"/>
              <w:spacing w:after="0"/>
              <w:rPr>
                <w:sz w:val="20"/>
                <w:szCs w:val="20"/>
                <w:color w:val="auto"/>
              </w:rPr>
            </w:pPr>
            <w:r>
              <w:rPr>
                <w:rFonts w:ascii="Arial" w:cs="Arial" w:eastAsia="Arial" w:hAnsi="Arial"/>
                <w:sz w:val="14"/>
                <w:szCs w:val="14"/>
                <w:color w:val="auto"/>
              </w:rPr>
              <w:t>October</w:t>
            </w: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ind w:left="200"/>
              <w:spacing w:after="0"/>
              <w:rPr>
                <w:sz w:val="20"/>
                <w:szCs w:val="20"/>
                <w:color w:val="auto"/>
              </w:rPr>
            </w:pPr>
            <w:r>
              <w:rPr>
                <w:rFonts w:ascii="Arial" w:cs="Arial" w:eastAsia="Arial" w:hAnsi="Arial"/>
                <w:sz w:val="14"/>
                <w:szCs w:val="14"/>
                <w:color w:val="auto"/>
              </w:rPr>
              <w:t>​</w:t>
            </w:r>
          </w:p>
        </w:tc>
        <w:tc>
          <w:tcPr>
            <w:tcW w:w="28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30"/>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F2F2F2"/>
            </w:tcBorders>
          </w:tcPr>
          <w:p>
            <w:pPr>
              <w:ind w:lef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ind w:left="3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F2F2F2"/>
            </w:tcBorders>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ind w:left="440"/>
              <w:spacing w:after="0"/>
              <w:rPr>
                <w:sz w:val="20"/>
                <w:szCs w:val="20"/>
                <w:color w:val="auto"/>
              </w:rPr>
            </w:pPr>
            <w:r>
              <w:rPr>
                <w:rFonts w:ascii="Arial" w:cs="Arial" w:eastAsia="Arial" w:hAnsi="Arial"/>
                <w:sz w:val="14"/>
                <w:szCs w:val="14"/>
                <w:color w:val="auto"/>
              </w:rPr>
              <w:t>​</w:t>
            </w:r>
          </w:p>
        </w:tc>
        <w:tc>
          <w:tcPr>
            <w:tcW w:w="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2320" w:type="dxa"/>
            <w:vAlign w:val="bottom"/>
          </w:tcPr>
          <w:p>
            <w:pPr>
              <w:ind w:left="740"/>
              <w:spacing w:after="0" w:line="68" w:lineRule="exact"/>
              <w:rPr>
                <w:sz w:val="20"/>
                <w:szCs w:val="20"/>
                <w:color w:val="auto"/>
              </w:rPr>
            </w:pPr>
            <w:r>
              <w:rPr>
                <w:rFonts w:ascii="Arial" w:cs="Arial" w:eastAsia="Arial" w:hAnsi="Arial"/>
                <w:sz w:val="7"/>
                <w:szCs w:val="7"/>
                <w:color w:val="auto"/>
              </w:rPr>
              <w:t>Capital, JPMorgan</w:t>
            </w: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jc w:val="center"/>
              <w:spacing w:after="0" w:line="68" w:lineRule="exact"/>
              <w:rPr>
                <w:sz w:val="20"/>
                <w:szCs w:val="20"/>
                <w:color w:val="auto"/>
              </w:rPr>
            </w:pPr>
            <w:r>
              <w:rPr>
                <w:rFonts w:ascii="Arial" w:cs="Arial" w:eastAsia="Arial" w:hAnsi="Arial"/>
                <w:sz w:val="7"/>
                <w:szCs w:val="7"/>
                <w:color w:val="auto"/>
              </w:rPr>
              <w:t>2017</w:t>
            </w: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right w:val="single" w:sz="8" w:color="F2F2F2"/>
            </w:tcBorders>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Borders>
              <w:right w:val="single" w:sz="8" w:color="F2F2F2"/>
            </w:tcBorders>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320" w:type="dxa"/>
            <w:vAlign w:val="bottom"/>
          </w:tcPr>
          <w:p>
            <w:pPr>
              <w:ind w:left="740"/>
              <w:spacing w:after="0"/>
              <w:rPr>
                <w:sz w:val="20"/>
                <w:szCs w:val="20"/>
                <w:color w:val="auto"/>
              </w:rPr>
            </w:pPr>
            <w:r>
              <w:rPr>
                <w:rFonts w:ascii="Arial" w:cs="Arial" w:eastAsia="Arial" w:hAnsi="Arial"/>
                <w:sz w:val="14"/>
                <w:szCs w:val="14"/>
                <w:color w:val="auto"/>
              </w:rPr>
              <w:t>Chase &amp; Co.</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right w:val="single" w:sz="8" w:color="F2F2F2"/>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right w:val="single" w:sz="8" w:color="F2F2F2"/>
            </w:tcBorders>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2320" w:type="dxa"/>
            <w:vAlign w:val="bottom"/>
            <w:tcBorders>
              <w:bottom w:val="single" w:sz="8" w:color="E7417A"/>
            </w:tcBorders>
          </w:tcPr>
          <w:p>
            <w:pPr>
              <w:spacing w:after="0"/>
              <w:rPr>
                <w:sz w:val="8"/>
                <w:szCs w:val="8"/>
                <w:color w:val="auto"/>
              </w:rPr>
            </w:pPr>
          </w:p>
        </w:tc>
        <w:tc>
          <w:tcPr>
            <w:tcW w:w="28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660" w:type="dxa"/>
            <w:vAlign w:val="bottom"/>
            <w:tcBorders>
              <w:bottom w:val="single" w:sz="8" w:color="E7417A"/>
            </w:tcBorders>
          </w:tcPr>
          <w:p>
            <w:pPr>
              <w:spacing w:after="0"/>
              <w:rPr>
                <w:sz w:val="8"/>
                <w:szCs w:val="8"/>
                <w:color w:val="auto"/>
              </w:rPr>
            </w:pPr>
          </w:p>
        </w:tc>
        <w:tc>
          <w:tcPr>
            <w:tcW w:w="280" w:type="dxa"/>
            <w:vAlign w:val="bottom"/>
            <w:tcBorders>
              <w:bottom w:val="single" w:sz="8" w:color="E7417A"/>
            </w:tcBorders>
          </w:tcPr>
          <w:p>
            <w:pPr>
              <w:spacing w:after="0"/>
              <w:rPr>
                <w:sz w:val="8"/>
                <w:szCs w:val="8"/>
                <w:color w:val="auto"/>
              </w:rPr>
            </w:pPr>
          </w:p>
        </w:tc>
        <w:tc>
          <w:tcPr>
            <w:tcW w:w="440" w:type="dxa"/>
            <w:vAlign w:val="bottom"/>
            <w:tcBorders>
              <w:bottom w:val="single" w:sz="8" w:color="E7417A"/>
            </w:tcBorders>
          </w:tcPr>
          <w:p>
            <w:pPr>
              <w:spacing w:after="0"/>
              <w:rPr>
                <w:sz w:val="8"/>
                <w:szCs w:val="8"/>
                <w:color w:val="auto"/>
              </w:rPr>
            </w:pPr>
          </w:p>
        </w:tc>
        <w:tc>
          <w:tcPr>
            <w:tcW w:w="280" w:type="dxa"/>
            <w:vAlign w:val="bottom"/>
            <w:tcBorders>
              <w:bottom w:val="single" w:sz="8" w:color="E7417A"/>
            </w:tcBorders>
          </w:tcPr>
          <w:p>
            <w:pPr>
              <w:spacing w:after="0"/>
              <w:rPr>
                <w:sz w:val="8"/>
                <w:szCs w:val="8"/>
                <w:color w:val="auto"/>
              </w:rPr>
            </w:pPr>
          </w:p>
        </w:tc>
        <w:tc>
          <w:tcPr>
            <w:tcW w:w="620" w:type="dxa"/>
            <w:vAlign w:val="bottom"/>
            <w:tcBorders>
              <w:bottom w:val="single" w:sz="8" w:color="E7417A"/>
            </w:tcBorders>
          </w:tcPr>
          <w:p>
            <w:pPr>
              <w:spacing w:after="0"/>
              <w:rPr>
                <w:sz w:val="8"/>
                <w:szCs w:val="8"/>
                <w:color w:val="auto"/>
              </w:rPr>
            </w:pPr>
          </w:p>
        </w:tc>
        <w:tc>
          <w:tcPr>
            <w:tcW w:w="40" w:type="dxa"/>
            <w:vAlign w:val="bottom"/>
            <w:tcBorders>
              <w:bottom w:val="single" w:sz="8" w:color="E7417A"/>
            </w:tcBorders>
          </w:tcPr>
          <w:p>
            <w:pPr>
              <w:spacing w:after="0"/>
              <w:rPr>
                <w:sz w:val="8"/>
                <w:szCs w:val="8"/>
                <w:color w:val="auto"/>
              </w:rPr>
            </w:pPr>
          </w:p>
        </w:tc>
        <w:tc>
          <w:tcPr>
            <w:tcW w:w="120" w:type="dxa"/>
            <w:vAlign w:val="bottom"/>
            <w:tcBorders>
              <w:bottom w:val="single" w:sz="8" w:color="E7417A"/>
            </w:tcBorders>
          </w:tcPr>
          <w:p>
            <w:pPr>
              <w:spacing w:after="0"/>
              <w:rPr>
                <w:sz w:val="8"/>
                <w:szCs w:val="8"/>
                <w:color w:val="auto"/>
              </w:rPr>
            </w:pPr>
          </w:p>
        </w:tc>
        <w:tc>
          <w:tcPr>
            <w:tcW w:w="400" w:type="dxa"/>
            <w:vAlign w:val="bottom"/>
            <w:tcBorders>
              <w:bottom w:val="single" w:sz="8" w:color="E7417A"/>
              <w:right w:val="single" w:sz="8" w:color="F2F2F2"/>
            </w:tcBorders>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640" w:type="dxa"/>
            <w:vAlign w:val="bottom"/>
            <w:tcBorders>
              <w:bottom w:val="single" w:sz="8" w:color="E7417A"/>
            </w:tcBorders>
          </w:tcPr>
          <w:p>
            <w:pPr>
              <w:spacing w:after="0"/>
              <w:rPr>
                <w:sz w:val="8"/>
                <w:szCs w:val="8"/>
                <w:color w:val="auto"/>
              </w:rPr>
            </w:pPr>
          </w:p>
        </w:tc>
        <w:tc>
          <w:tcPr>
            <w:tcW w:w="26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1100" w:type="dxa"/>
            <w:vAlign w:val="bottom"/>
            <w:tcBorders>
              <w:bottom w:val="single" w:sz="8" w:color="E7417A"/>
              <w:right w:val="single" w:sz="8" w:color="F2F2F2"/>
            </w:tcBorders>
          </w:tcPr>
          <w:p>
            <w:pPr>
              <w:spacing w:after="0"/>
              <w:rPr>
                <w:sz w:val="8"/>
                <w:szCs w:val="8"/>
                <w:color w:val="auto"/>
              </w:rPr>
            </w:pPr>
          </w:p>
        </w:tc>
        <w:tc>
          <w:tcPr>
            <w:tcW w:w="80" w:type="dxa"/>
            <w:vAlign w:val="bottom"/>
            <w:tcBorders>
              <w:bottom w:val="single" w:sz="8" w:color="E7417A"/>
            </w:tcBorders>
          </w:tcPr>
          <w:p>
            <w:pPr>
              <w:spacing w:after="0"/>
              <w:rPr>
                <w:sz w:val="8"/>
                <w:szCs w:val="8"/>
                <w:color w:val="auto"/>
              </w:rPr>
            </w:pPr>
          </w:p>
        </w:tc>
        <w:tc>
          <w:tcPr>
            <w:tcW w:w="940" w:type="dxa"/>
            <w:vAlign w:val="bottom"/>
            <w:tcBorders>
              <w:bottom w:val="single" w:sz="8" w:color="E7417A"/>
            </w:tcBorders>
          </w:tcPr>
          <w:p>
            <w:pPr>
              <w:spacing w:after="0"/>
              <w:rPr>
                <w:sz w:val="8"/>
                <w:szCs w:val="8"/>
                <w:color w:val="auto"/>
              </w:rPr>
            </w:pPr>
          </w:p>
        </w:tc>
        <w:tc>
          <w:tcPr>
            <w:tcW w:w="4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320" w:type="dxa"/>
            <w:vAlign w:val="bottom"/>
          </w:tcPr>
          <w:p>
            <w:pPr>
              <w:ind w:left="740"/>
              <w:spacing w:after="0"/>
              <w:rPr>
                <w:sz w:val="20"/>
                <w:szCs w:val="20"/>
                <w:color w:val="auto"/>
              </w:rPr>
            </w:pPr>
            <w:r>
              <w:rPr>
                <w:rFonts w:ascii="Arial" w:cs="Arial" w:eastAsia="Arial" w:hAnsi="Arial"/>
                <w:sz w:val="14"/>
                <w:szCs w:val="14"/>
                <w:b w:val="1"/>
                <w:bCs w:val="1"/>
                <w:color w:val="auto"/>
              </w:rPr>
              <w:t>Tanya Tamone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right w:val="single" w:sz="8" w:color="F2F2F2"/>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right w:val="single" w:sz="8" w:color="F2F2F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320" w:type="dxa"/>
            <w:vAlign w:val="bottom"/>
          </w:tcPr>
          <w:p>
            <w:pPr>
              <w:ind w:left="740"/>
              <w:spacing w:after="0" w:line="141" w:lineRule="exact"/>
              <w:rPr>
                <w:sz w:val="20"/>
                <w:szCs w:val="20"/>
                <w:color w:val="auto"/>
              </w:rPr>
            </w:pPr>
            <w:r>
              <w:rPr>
                <w:rFonts w:ascii="Arial" w:cs="Arial" w:eastAsia="Arial" w:hAnsi="Arial"/>
                <w:sz w:val="14"/>
                <w:szCs w:val="14"/>
                <w:color w:val="auto"/>
              </w:rPr>
              <w:t>Chief Executive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4"/>
              <w:spacing w:after="0" w:line="141" w:lineRule="exact"/>
              <w:rPr>
                <w:sz w:val="20"/>
                <w:szCs w:val="20"/>
                <w:color w:val="auto"/>
              </w:rPr>
            </w:pPr>
            <w:r>
              <w:rPr>
                <w:rFonts w:ascii="Arial" w:cs="Arial" w:eastAsia="Arial" w:hAnsi="Arial"/>
                <w:sz w:val="14"/>
                <w:szCs w:val="14"/>
                <w:color w:val="auto"/>
                <w:w w:val="98"/>
              </w:rPr>
              <w:t>June</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right w:val="single" w:sz="8" w:color="F2F2F2"/>
            </w:tcBorders>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right w:val="single" w:sz="8" w:color="F2F2F2"/>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6"/>
        </w:trPr>
        <w:tc>
          <w:tcPr>
            <w:tcW w:w="2320" w:type="dxa"/>
            <w:vAlign w:val="bottom"/>
          </w:tcPr>
          <w:p>
            <w:pPr>
              <w:ind w:left="700"/>
              <w:spacing w:after="0"/>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Officer, Sogerco S.A.</w:t>
            </w:r>
          </w:p>
        </w:tc>
        <w:tc>
          <w:tcPr>
            <w:tcW w:w="280" w:type="dxa"/>
            <w:vAlign w:val="bottom"/>
          </w:tcPr>
          <w:p>
            <w:pPr>
              <w:ind w:left="40"/>
              <w:spacing w:after="0"/>
              <w:rPr>
                <w:sz w:val="20"/>
                <w:szCs w:val="20"/>
                <w:color w:val="auto"/>
              </w:rPr>
            </w:pPr>
            <w:r>
              <w:rPr>
                <w:rFonts w:ascii="Arial" w:cs="Arial" w:eastAsia="Arial" w:hAnsi="Arial"/>
                <w:sz w:val="14"/>
                <w:szCs w:val="14"/>
                <w:color w:val="auto"/>
              </w:rPr>
              <w:t>​ 64</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center"/>
              <w:spacing w:after="0"/>
              <w:rPr>
                <w:sz w:val="20"/>
                <w:szCs w:val="20"/>
                <w:color w:val="auto"/>
              </w:rPr>
            </w:pPr>
            <w:r>
              <w:rPr>
                <w:rFonts w:ascii="Arial" w:cs="Arial" w:eastAsia="Arial" w:hAnsi="Arial"/>
                <w:sz w:val="14"/>
                <w:szCs w:val="14"/>
                <w:color w:val="auto"/>
              </w:rPr>
              <w:t>2020</w:t>
            </w: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28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30"/>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tcBorders>
              <w:right w:val="single" w:sz="8" w:color="F2F2F2"/>
            </w:tcBorders>
          </w:tcPr>
          <w:p>
            <w:pPr>
              <w:ind w:lef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ind w:left="440"/>
              <w:spacing w:after="0"/>
              <w:rPr>
                <w:sz w:val="20"/>
                <w:szCs w:val="20"/>
                <w:color w:val="auto"/>
              </w:rPr>
            </w:pPr>
            <w:r>
              <w:rPr>
                <w:rFonts w:ascii="Arial" w:cs="Arial" w:eastAsia="Arial" w:hAnsi="Arial"/>
                <w:sz w:val="14"/>
                <w:szCs w:val="14"/>
                <w:color w:val="auto"/>
              </w:rPr>
              <w:t>​</w:t>
            </w:r>
          </w:p>
        </w:tc>
        <w:tc>
          <w:tcPr>
            <w:tcW w:w="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7"/>
        </w:trPr>
        <w:tc>
          <w:tcPr>
            <w:tcW w:w="2320" w:type="dxa"/>
            <w:vAlign w:val="bottom"/>
            <w:tcBorders>
              <w:bottom w:val="single" w:sz="8" w:color="62259D"/>
            </w:tcBorders>
          </w:tcPr>
          <w:p>
            <w:pPr>
              <w:spacing w:after="0"/>
              <w:rPr>
                <w:sz w:val="8"/>
                <w:szCs w:val="8"/>
                <w:color w:val="auto"/>
              </w:rPr>
            </w:pPr>
          </w:p>
        </w:tc>
        <w:tc>
          <w:tcPr>
            <w:tcW w:w="280" w:type="dxa"/>
            <w:vAlign w:val="bottom"/>
            <w:tcBorders>
              <w:bottom w:val="single" w:sz="8" w:color="62259D"/>
            </w:tcBorders>
          </w:tcPr>
          <w:p>
            <w:pPr>
              <w:spacing w:after="0"/>
              <w:rPr>
                <w:sz w:val="8"/>
                <w:szCs w:val="8"/>
                <w:color w:val="auto"/>
              </w:rPr>
            </w:pPr>
          </w:p>
        </w:tc>
        <w:tc>
          <w:tcPr>
            <w:tcW w:w="100" w:type="dxa"/>
            <w:vAlign w:val="bottom"/>
            <w:tcBorders>
              <w:bottom w:val="single" w:sz="8" w:color="62259D"/>
            </w:tcBorders>
          </w:tcPr>
          <w:p>
            <w:pPr>
              <w:spacing w:after="0"/>
              <w:rPr>
                <w:sz w:val="8"/>
                <w:szCs w:val="8"/>
                <w:color w:val="auto"/>
              </w:rPr>
            </w:pPr>
          </w:p>
        </w:tc>
        <w:tc>
          <w:tcPr>
            <w:tcW w:w="660" w:type="dxa"/>
            <w:vAlign w:val="bottom"/>
            <w:tcBorders>
              <w:bottom w:val="single" w:sz="8" w:color="62259D"/>
            </w:tcBorders>
          </w:tcPr>
          <w:p>
            <w:pPr>
              <w:spacing w:after="0"/>
              <w:rPr>
                <w:sz w:val="8"/>
                <w:szCs w:val="8"/>
                <w:color w:val="auto"/>
              </w:rPr>
            </w:pPr>
          </w:p>
        </w:tc>
        <w:tc>
          <w:tcPr>
            <w:tcW w:w="280" w:type="dxa"/>
            <w:vAlign w:val="bottom"/>
            <w:tcBorders>
              <w:bottom w:val="single" w:sz="8" w:color="62259D"/>
            </w:tcBorders>
          </w:tcPr>
          <w:p>
            <w:pPr>
              <w:spacing w:after="0"/>
              <w:rPr>
                <w:sz w:val="8"/>
                <w:szCs w:val="8"/>
                <w:color w:val="auto"/>
              </w:rPr>
            </w:pPr>
          </w:p>
        </w:tc>
        <w:tc>
          <w:tcPr>
            <w:tcW w:w="440" w:type="dxa"/>
            <w:vAlign w:val="bottom"/>
            <w:tcBorders>
              <w:bottom w:val="single" w:sz="8" w:color="62259D"/>
            </w:tcBorders>
          </w:tcPr>
          <w:p>
            <w:pPr>
              <w:spacing w:after="0"/>
              <w:rPr>
                <w:sz w:val="8"/>
                <w:szCs w:val="8"/>
                <w:color w:val="auto"/>
              </w:rPr>
            </w:pPr>
          </w:p>
        </w:tc>
        <w:tc>
          <w:tcPr>
            <w:tcW w:w="280" w:type="dxa"/>
            <w:vAlign w:val="bottom"/>
            <w:tcBorders>
              <w:bottom w:val="single" w:sz="8" w:color="62259D"/>
            </w:tcBorders>
          </w:tcPr>
          <w:p>
            <w:pPr>
              <w:spacing w:after="0"/>
              <w:rPr>
                <w:sz w:val="8"/>
                <w:szCs w:val="8"/>
                <w:color w:val="auto"/>
              </w:rPr>
            </w:pPr>
          </w:p>
        </w:tc>
        <w:tc>
          <w:tcPr>
            <w:tcW w:w="620" w:type="dxa"/>
            <w:vAlign w:val="bottom"/>
            <w:tcBorders>
              <w:bottom w:val="single" w:sz="8" w:color="62259D"/>
            </w:tcBorders>
          </w:tcPr>
          <w:p>
            <w:pPr>
              <w:spacing w:after="0"/>
              <w:rPr>
                <w:sz w:val="8"/>
                <w:szCs w:val="8"/>
                <w:color w:val="auto"/>
              </w:rPr>
            </w:pPr>
          </w:p>
        </w:tc>
        <w:tc>
          <w:tcPr>
            <w:tcW w:w="40" w:type="dxa"/>
            <w:vAlign w:val="bottom"/>
            <w:tcBorders>
              <w:bottom w:val="single" w:sz="8" w:color="62259D"/>
            </w:tcBorders>
          </w:tcPr>
          <w:p>
            <w:pPr>
              <w:spacing w:after="0"/>
              <w:rPr>
                <w:sz w:val="8"/>
                <w:szCs w:val="8"/>
                <w:color w:val="auto"/>
              </w:rPr>
            </w:pPr>
          </w:p>
        </w:tc>
        <w:tc>
          <w:tcPr>
            <w:tcW w:w="120" w:type="dxa"/>
            <w:vAlign w:val="bottom"/>
            <w:tcBorders>
              <w:bottom w:val="single" w:sz="8" w:color="62259D"/>
            </w:tcBorders>
          </w:tcPr>
          <w:p>
            <w:pPr>
              <w:spacing w:after="0"/>
              <w:rPr>
                <w:sz w:val="8"/>
                <w:szCs w:val="8"/>
                <w:color w:val="auto"/>
              </w:rPr>
            </w:pPr>
          </w:p>
        </w:tc>
        <w:tc>
          <w:tcPr>
            <w:tcW w:w="400" w:type="dxa"/>
            <w:vAlign w:val="bottom"/>
            <w:tcBorders>
              <w:bottom w:val="single" w:sz="8" w:color="62259D"/>
              <w:right w:val="single" w:sz="8" w:color="F2F2F2"/>
            </w:tcBorders>
          </w:tcPr>
          <w:p>
            <w:pPr>
              <w:spacing w:after="0"/>
              <w:rPr>
                <w:sz w:val="8"/>
                <w:szCs w:val="8"/>
                <w:color w:val="auto"/>
              </w:rPr>
            </w:pPr>
          </w:p>
        </w:tc>
        <w:tc>
          <w:tcPr>
            <w:tcW w:w="160" w:type="dxa"/>
            <w:vAlign w:val="bottom"/>
            <w:tcBorders>
              <w:bottom w:val="single" w:sz="8" w:color="62259D"/>
            </w:tcBorders>
          </w:tcPr>
          <w:p>
            <w:pPr>
              <w:spacing w:after="0"/>
              <w:rPr>
                <w:sz w:val="8"/>
                <w:szCs w:val="8"/>
                <w:color w:val="auto"/>
              </w:rPr>
            </w:pPr>
          </w:p>
        </w:tc>
        <w:tc>
          <w:tcPr>
            <w:tcW w:w="640" w:type="dxa"/>
            <w:vAlign w:val="bottom"/>
            <w:tcBorders>
              <w:bottom w:val="single" w:sz="8" w:color="62259D"/>
            </w:tcBorders>
          </w:tcPr>
          <w:p>
            <w:pPr>
              <w:spacing w:after="0"/>
              <w:rPr>
                <w:sz w:val="8"/>
                <w:szCs w:val="8"/>
                <w:color w:val="auto"/>
              </w:rPr>
            </w:pPr>
          </w:p>
        </w:tc>
        <w:tc>
          <w:tcPr>
            <w:tcW w:w="260" w:type="dxa"/>
            <w:vAlign w:val="bottom"/>
            <w:tcBorders>
              <w:bottom w:val="single" w:sz="8" w:color="62259D"/>
            </w:tcBorders>
          </w:tcPr>
          <w:p>
            <w:pPr>
              <w:spacing w:after="0"/>
              <w:rPr>
                <w:sz w:val="8"/>
                <w:szCs w:val="8"/>
                <w:color w:val="auto"/>
              </w:rPr>
            </w:pPr>
          </w:p>
        </w:tc>
        <w:tc>
          <w:tcPr>
            <w:tcW w:w="100" w:type="dxa"/>
            <w:vAlign w:val="bottom"/>
            <w:tcBorders>
              <w:bottom w:val="single" w:sz="8" w:color="62259D"/>
            </w:tcBorders>
          </w:tcPr>
          <w:p>
            <w:pPr>
              <w:spacing w:after="0"/>
              <w:rPr>
                <w:sz w:val="8"/>
                <w:szCs w:val="8"/>
                <w:color w:val="auto"/>
              </w:rPr>
            </w:pPr>
          </w:p>
        </w:tc>
        <w:tc>
          <w:tcPr>
            <w:tcW w:w="1100" w:type="dxa"/>
            <w:vAlign w:val="bottom"/>
            <w:tcBorders>
              <w:bottom w:val="single" w:sz="8" w:color="62259D"/>
              <w:right w:val="single" w:sz="8" w:color="F2F2F2"/>
            </w:tcBorders>
          </w:tcPr>
          <w:p>
            <w:pPr>
              <w:spacing w:after="0"/>
              <w:rPr>
                <w:sz w:val="8"/>
                <w:szCs w:val="8"/>
                <w:color w:val="auto"/>
              </w:rPr>
            </w:pPr>
          </w:p>
        </w:tc>
        <w:tc>
          <w:tcPr>
            <w:tcW w:w="80" w:type="dxa"/>
            <w:vAlign w:val="bottom"/>
            <w:tcBorders>
              <w:bottom w:val="single" w:sz="8" w:color="62259D"/>
            </w:tcBorders>
          </w:tcPr>
          <w:p>
            <w:pPr>
              <w:spacing w:after="0"/>
              <w:rPr>
                <w:sz w:val="8"/>
                <w:szCs w:val="8"/>
                <w:color w:val="auto"/>
              </w:rPr>
            </w:pPr>
          </w:p>
        </w:tc>
        <w:tc>
          <w:tcPr>
            <w:tcW w:w="940" w:type="dxa"/>
            <w:vAlign w:val="bottom"/>
            <w:tcBorders>
              <w:bottom w:val="single" w:sz="8" w:color="62259D"/>
            </w:tcBorders>
          </w:tcPr>
          <w:p>
            <w:pPr>
              <w:spacing w:after="0"/>
              <w:rPr>
                <w:sz w:val="8"/>
                <w:szCs w:val="8"/>
                <w:color w:val="auto"/>
              </w:rPr>
            </w:pPr>
          </w:p>
        </w:tc>
        <w:tc>
          <w:tcPr>
            <w:tcW w:w="40" w:type="dxa"/>
            <w:vAlign w:val="bottom"/>
            <w:tcBorders>
              <w:bottom w:val="single" w:sz="8" w:color="62259D"/>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-4679950</wp:posOffset>
            </wp:positionV>
            <wp:extent cx="5349240" cy="46716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4671695"/>
                    </a:xfrm>
                    <a:prstGeom prst="rect">
                      <a:avLst/>
                    </a:prstGeom>
                    <a:noFill/>
                  </pic:spPr>
                </pic:pic>
              </a:graphicData>
            </a:graphic>
          </wp:anchor>
        </w:drawing>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ind w:left="380"/>
              <w:spacing w:after="0"/>
              <w:rPr>
                <w:sz w:val="20"/>
                <w:szCs w:val="20"/>
                <w:color w:val="auto"/>
              </w:rPr>
            </w:pPr>
            <w:r>
              <w:rPr>
                <w:rFonts w:ascii="Arial" w:cs="Arial" w:eastAsia="Arial" w:hAnsi="Arial"/>
                <w:sz w:val="14"/>
                <w:szCs w:val="14"/>
                <w:color w:val="auto"/>
              </w:rPr>
              <w:t>Committee</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Committee</w:t>
            </w:r>
          </w:p>
        </w:tc>
        <w:tc>
          <w:tcPr>
            <w:tcW w:w="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ind w:left="20"/>
              <w:spacing w:after="0"/>
              <w:rPr>
                <w:sz w:val="20"/>
                <w:szCs w:val="20"/>
                <w:color w:val="auto"/>
              </w:rPr>
            </w:pPr>
            <w:r>
              <w:rPr>
                <w:rFonts w:ascii="Arial" w:cs="Arial" w:eastAsia="Arial" w:hAnsi="Arial"/>
                <w:sz w:val="14"/>
                <w:szCs w:val="14"/>
                <w:color w:val="auto"/>
              </w:rPr>
              <w:t>Lead Independent</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Audit Committee</w:t>
            </w:r>
          </w:p>
        </w:tc>
        <w:tc>
          <w:tcPr>
            <w:tcW w:w="100" w:type="dxa"/>
            <w:vAlign w:val="bottom"/>
          </w:tcPr>
          <w:p>
            <w:pPr>
              <w:spacing w:after="0"/>
              <w:rPr>
                <w:sz w:val="14"/>
                <w:szCs w:val="14"/>
                <w:color w:val="auto"/>
              </w:rPr>
            </w:pPr>
          </w:p>
        </w:tc>
      </w:tr>
      <w:tr>
        <w:trPr>
          <w:trHeight w:val="386"/>
        </w:trPr>
        <w:tc>
          <w:tcPr>
            <w:tcW w:w="1140" w:type="dxa"/>
            <w:vAlign w:val="bottom"/>
          </w:tcPr>
          <w:p>
            <w:pPr>
              <w:spacing w:after="0"/>
              <w:rPr>
                <w:sz w:val="20"/>
                <w:szCs w:val="20"/>
                <w:color w:val="auto"/>
              </w:rPr>
            </w:pPr>
            <w:r>
              <w:rPr>
                <w:rFonts w:ascii="Arial" w:cs="Arial" w:eastAsia="Arial" w:hAnsi="Arial"/>
                <w:sz w:val="28"/>
                <w:szCs w:val="28"/>
                <w:color w:val="auto"/>
                <w:vertAlign w:val="superscript"/>
              </w:rPr>
              <w:t>​   ​ ​</w:t>
            </w:r>
            <w:r>
              <w:rPr>
                <w:rFonts w:ascii="Arial" w:cs="Arial" w:eastAsia="Arial" w:hAnsi="Arial"/>
                <w:sz w:val="14"/>
                <w:szCs w:val="14"/>
                <w:color w:val="auto"/>
              </w:rPr>
              <w:t xml:space="preserve"> Chair</w:t>
            </w:r>
          </w:p>
        </w:tc>
        <w:tc>
          <w:tcPr>
            <w:tcW w:w="540" w:type="dxa"/>
            <w:vAlign w:val="bottom"/>
          </w:tcPr>
          <w:p>
            <w:pPr>
              <w:ind w:left="20"/>
              <w:spacing w:after="0"/>
              <w:rPr>
                <w:sz w:val="20"/>
                <w:szCs w:val="20"/>
                <w:color w:val="auto"/>
              </w:rPr>
            </w:pPr>
            <w:r>
              <w:rPr>
                <w:rFonts w:ascii="Arial" w:cs="Arial" w:eastAsia="Arial" w:hAnsi="Arial"/>
                <w:sz w:val="14"/>
                <w:szCs w:val="14"/>
                <w:color w:val="auto"/>
              </w:rPr>
              <w:t>​   ​</w:t>
            </w:r>
          </w:p>
        </w:tc>
        <w:tc>
          <w:tcPr>
            <w:tcW w:w="340" w:type="dxa"/>
            <w:vAlign w:val="bottom"/>
          </w:tcPr>
          <w:p>
            <w:pPr>
              <w:ind w:left="200"/>
              <w:spacing w:after="0"/>
              <w:rPr>
                <w:sz w:val="20"/>
                <w:szCs w:val="20"/>
                <w:color w:val="auto"/>
              </w:rPr>
            </w:pPr>
            <w:r>
              <w:rPr>
                <w:rFonts w:ascii="Arial" w:cs="Arial" w:eastAsia="Arial" w:hAnsi="Arial"/>
                <w:sz w:val="14"/>
                <w:szCs w:val="14"/>
                <w:color w:val="auto"/>
              </w:rPr>
              <w:t>​ ​</w:t>
            </w:r>
          </w:p>
        </w:tc>
        <w:tc>
          <w:tcPr>
            <w:tcW w:w="780" w:type="dxa"/>
            <w:vAlign w:val="bottom"/>
          </w:tcPr>
          <w:p>
            <w:pPr>
              <w:ind w:left="20"/>
              <w:spacing w:after="0"/>
              <w:rPr>
                <w:sz w:val="20"/>
                <w:szCs w:val="20"/>
                <w:color w:val="auto"/>
              </w:rPr>
            </w:pPr>
            <w:r>
              <w:rPr>
                <w:rFonts w:ascii="Arial" w:cs="Arial" w:eastAsia="Arial" w:hAnsi="Arial"/>
                <w:sz w:val="14"/>
                <w:szCs w:val="14"/>
                <w:color w:val="auto"/>
              </w:rPr>
              <w:t>Member</w:t>
            </w:r>
          </w:p>
        </w:tc>
        <w:tc>
          <w:tcPr>
            <w:tcW w:w="560" w:type="dxa"/>
            <w:vAlign w:val="bottom"/>
          </w:tcPr>
          <w:p>
            <w:pPr>
              <w:ind w:left="20"/>
              <w:spacing w:after="0"/>
              <w:rPr>
                <w:sz w:val="20"/>
                <w:szCs w:val="20"/>
                <w:color w:val="auto"/>
              </w:rPr>
            </w:pPr>
            <w:r>
              <w:rPr>
                <w:rFonts w:ascii="Arial" w:cs="Arial" w:eastAsia="Arial" w:hAnsi="Arial"/>
                <w:sz w:val="14"/>
                <w:szCs w:val="14"/>
                <w:color w:val="auto"/>
              </w:rPr>
              <w:t>​   ​</w:t>
            </w:r>
          </w:p>
        </w:tc>
        <w:tc>
          <w:tcPr>
            <w:tcW w:w="1640" w:type="dxa"/>
            <w:vAlign w:val="bottom"/>
          </w:tcPr>
          <w:p>
            <w:pPr>
              <w:ind w:left="240"/>
              <w:spacing w:after="0"/>
              <w:rPr>
                <w:sz w:val="20"/>
                <w:szCs w:val="20"/>
                <w:color w:val="auto"/>
              </w:rPr>
            </w:pPr>
            <w:r>
              <w:rPr>
                <w:rFonts w:ascii="Arial" w:cs="Arial" w:eastAsia="Arial" w:hAnsi="Arial"/>
                <w:sz w:val="14"/>
                <w:szCs w:val="14"/>
                <w:color w:val="auto"/>
              </w:rPr>
              <w:t>​ ​ Chairman ​   ​</w:t>
            </w:r>
          </w:p>
        </w:tc>
        <w:tc>
          <w:tcPr>
            <w:tcW w:w="380" w:type="dxa"/>
            <w:vAlign w:val="bottom"/>
          </w:tcPr>
          <w:p>
            <w:pPr>
              <w:ind w:left="240"/>
              <w:spacing w:after="0"/>
              <w:rPr>
                <w:sz w:val="20"/>
                <w:szCs w:val="20"/>
                <w:color w:val="auto"/>
              </w:rPr>
            </w:pPr>
            <w:r>
              <w:rPr>
                <w:rFonts w:ascii="Arial" w:cs="Arial" w:eastAsia="Arial" w:hAnsi="Arial"/>
                <w:sz w:val="14"/>
                <w:szCs w:val="14"/>
                <w:color w:val="auto"/>
              </w:rPr>
              <w:t>​ ​</w:t>
            </w:r>
          </w:p>
        </w:tc>
        <w:tc>
          <w:tcPr>
            <w:tcW w:w="1280" w:type="dxa"/>
            <w:vAlign w:val="bottom"/>
          </w:tcPr>
          <w:p>
            <w:pPr>
              <w:ind w:left="20"/>
              <w:spacing w:after="0"/>
              <w:rPr>
                <w:sz w:val="20"/>
                <w:szCs w:val="20"/>
                <w:color w:val="auto"/>
              </w:rPr>
            </w:pPr>
            <w:r>
              <w:rPr>
                <w:rFonts w:ascii="Arial" w:cs="Arial" w:eastAsia="Arial" w:hAnsi="Arial"/>
                <w:sz w:val="14"/>
                <w:szCs w:val="14"/>
                <w:color w:val="auto"/>
              </w:rPr>
              <w:t>Director</w:t>
            </w:r>
          </w:p>
        </w:tc>
        <w:tc>
          <w:tcPr>
            <w:tcW w:w="580" w:type="dxa"/>
            <w:vAlign w:val="bottom"/>
          </w:tcPr>
          <w:p>
            <w:pPr>
              <w:ind w:left="40"/>
              <w:spacing w:after="0"/>
              <w:rPr>
                <w:sz w:val="20"/>
                <w:szCs w:val="20"/>
                <w:color w:val="auto"/>
              </w:rPr>
            </w:pPr>
            <w:r>
              <w:rPr>
                <w:rFonts w:ascii="Arial" w:cs="Arial" w:eastAsia="Arial" w:hAnsi="Arial"/>
                <w:sz w:val="14"/>
                <w:szCs w:val="14"/>
                <w:color w:val="auto"/>
              </w:rPr>
              <w:t>​   ​</w:t>
            </w:r>
          </w:p>
        </w:tc>
        <w:tc>
          <w:tcPr>
            <w:tcW w:w="380" w:type="dxa"/>
            <w:vAlign w:val="bottom"/>
          </w:tcPr>
          <w:p>
            <w:pPr>
              <w:ind w:left="220"/>
              <w:spacing w:after="0"/>
              <w:rPr>
                <w:sz w:val="20"/>
                <w:szCs w:val="20"/>
                <w:color w:val="auto"/>
              </w:rPr>
            </w:pPr>
            <w:r>
              <w:rPr>
                <w:rFonts w:ascii="Arial" w:cs="Arial" w:eastAsia="Arial" w:hAnsi="Arial"/>
                <w:sz w:val="14"/>
                <w:szCs w:val="14"/>
                <w:color w:val="auto"/>
              </w:rPr>
              <w:t>​ ​</w:t>
            </w:r>
          </w:p>
        </w:tc>
        <w:tc>
          <w:tcPr>
            <w:tcW w:w="1180" w:type="dxa"/>
            <w:vAlign w:val="bottom"/>
          </w:tcPr>
          <w:p>
            <w:pPr>
              <w:ind w:left="20"/>
              <w:spacing w:after="0"/>
              <w:rPr>
                <w:sz w:val="20"/>
                <w:szCs w:val="20"/>
                <w:color w:val="auto"/>
              </w:rPr>
            </w:pPr>
            <w:r>
              <w:rPr>
                <w:rFonts w:ascii="Arial" w:cs="Arial" w:eastAsia="Arial" w:hAnsi="Arial"/>
                <w:sz w:val="14"/>
                <w:szCs w:val="14"/>
                <w:color w:val="auto"/>
              </w:rPr>
              <w:t>Financial expert</w:t>
            </w:r>
          </w:p>
        </w:tc>
        <w:tc>
          <w:tcPr>
            <w:tcW w:w="100" w:type="dxa"/>
            <w:vAlign w:val="bottom"/>
          </w:tcPr>
          <w:p>
            <w:pPr>
              <w:ind w:left="6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594360</wp:posOffset>
            </wp:positionH>
            <wp:positionV relativeFrom="paragraph">
              <wp:posOffset>-287020</wp:posOffset>
            </wp:positionV>
            <wp:extent cx="137160"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1657350</wp:posOffset>
            </wp:positionH>
            <wp:positionV relativeFrom="paragraph">
              <wp:posOffset>-269875</wp:posOffset>
            </wp:positionV>
            <wp:extent cx="111760"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760" cy="111125"/>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-278765</wp:posOffset>
            </wp:positionV>
            <wp:extent cx="14605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-287020</wp:posOffset>
            </wp:positionV>
            <wp:extent cx="1371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-295910</wp:posOffset>
            </wp:positionV>
            <wp:extent cx="12890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6" w:lineRule="exact"/>
        <w:rPr>
          <w:sz w:val="20"/>
          <w:szCs w:val="20"/>
          <w:color w:val="auto"/>
        </w:rPr>
      </w:pPr>
    </w:p>
    <w:p>
      <w:pPr>
        <w:ind w:left="920" w:right="1460"/>
        <w:spacing w:after="0" w:line="255" w:lineRule="auto"/>
        <w:rPr>
          <w:sz w:val="20"/>
          <w:szCs w:val="20"/>
          <w:color w:val="auto"/>
        </w:rPr>
      </w:pPr>
      <w:r>
        <w:rPr>
          <w:rFonts w:ascii="Arial" w:cs="Arial" w:eastAsia="Arial" w:hAnsi="Arial"/>
          <w:sz w:val="43"/>
          <w:szCs w:val="43"/>
          <w:b w:val="1"/>
          <w:bCs w:val="1"/>
          <w:color w:val="62259D"/>
        </w:rPr>
        <w:t>CORPORATE GOVERNANCE AND BOARD MATTERS</w:t>
      </w:r>
    </w:p>
    <w:p>
      <w:pPr>
        <w:ind w:left="920"/>
        <w:spacing w:after="0"/>
        <w:tabs>
          <w:tab w:leader="none" w:pos="1840" w:val="left"/>
          <w:tab w:leader="none" w:pos="9760" w:val="left"/>
        </w:tabs>
        <w:rPr>
          <w:sz w:val="20"/>
          <w:szCs w:val="20"/>
          <w:color w:val="auto"/>
        </w:rPr>
      </w:pPr>
      <w:r>
        <w:rPr>
          <w:rFonts w:ascii="Arial" w:cs="Arial" w:eastAsia="Arial" w:hAnsi="Arial"/>
          <w:sz w:val="71"/>
          <w:szCs w:val="71"/>
          <w:b w:val="1"/>
          <w:bCs w:val="1"/>
          <w:color w:val="FEFEFE"/>
          <w:vertAlign w:val="superscript"/>
        </w:rPr>
        <w:t>​</w:t>
      </w:r>
      <w:r>
        <w:rPr>
          <w:rFonts w:ascii="Arial" w:cs="Arial" w:eastAsia="Arial" w:hAnsi="Arial"/>
          <w:sz w:val="36"/>
          <w:szCs w:val="36"/>
          <w:b w:val="1"/>
          <w:bCs w:val="1"/>
          <w:color w:val="FEFEFE"/>
        </w:rPr>
        <w:t xml:space="preserve"> </w:t>
      </w:r>
      <w:r>
        <w:rPr>
          <w:rFonts w:ascii="Arial" w:cs="Arial" w:eastAsia="Arial" w:hAnsi="Arial"/>
          <w:sz w:val="93"/>
          <w:szCs w:val="93"/>
          <w:b w:val="1"/>
          <w:bCs w:val="1"/>
          <w:color w:val="FEFEFE"/>
          <w:vertAlign w:val="subscript"/>
        </w:rPr>
        <w:t>1</w:t>
      </w:r>
      <w:r>
        <w:rPr>
          <w:sz w:val="20"/>
          <w:szCs w:val="20"/>
          <w:color w:val="auto"/>
        </w:rPr>
        <w:tab/>
      </w:r>
      <w:r>
        <w:rPr>
          <w:rFonts w:ascii="Arial" w:cs="Arial" w:eastAsia="Arial" w:hAnsi="Arial"/>
          <w:sz w:val="48"/>
          <w:szCs w:val="48"/>
          <w:b w:val="1"/>
          <w:bCs w:val="1"/>
          <w:color w:val="FEFEFE"/>
          <w:vertAlign w:val="superscript"/>
        </w:rPr>
        <w:t xml:space="preserve">​​ </w:t>
      </w:r>
      <w:r>
        <w:rPr>
          <w:rFonts w:ascii="Arial" w:cs="Arial" w:eastAsia="Arial" w:hAnsi="Arial"/>
          <w:sz w:val="48"/>
          <w:szCs w:val="48"/>
          <w:b w:val="1"/>
          <w:bCs w:val="1"/>
          <w:color w:val="FEFEFE"/>
        </w:rPr>
        <w:t>Proposal 1 — Election of Directors</w:t>
      </w:r>
      <w:r>
        <w:rPr>
          <w:sz w:val="20"/>
          <w:szCs w:val="20"/>
          <w:color w:val="auto"/>
        </w:rPr>
        <w:tab/>
      </w:r>
      <w:r>
        <w:rPr>
          <w:rFonts w:ascii="Arial" w:cs="Arial" w:eastAsia="Arial" w:hAnsi="Arial"/>
          <w:sz w:val="72"/>
          <w:szCs w:val="72"/>
          <w:b w:val="1"/>
          <w:bCs w:val="1"/>
          <w:color w:val="FEFEF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-538480</wp:posOffset>
            </wp:positionV>
            <wp:extent cx="5623560" cy="3860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23560" cy="386080"/>
                    </a:xfrm>
                    <a:prstGeom prst="rect">
                      <a:avLst/>
                    </a:prstGeom>
                    <a:noFill/>
                  </pic:spPr>
                </pic:pic>
              </a:graphicData>
            </a:graphic>
          </wp:anchor>
        </w:drawing>
      </w:r>
    </w:p>
    <w:p>
      <w:pPr>
        <w:ind w:left="920" w:right="160"/>
        <w:spacing w:after="0" w:line="226" w:lineRule="auto"/>
        <w:rPr>
          <w:sz w:val="20"/>
          <w:szCs w:val="20"/>
          <w:color w:val="auto"/>
        </w:rPr>
      </w:pPr>
      <w:r>
        <w:rPr>
          <w:rFonts w:ascii="Arial" w:cs="Arial" w:eastAsia="Arial" w:hAnsi="Arial"/>
          <w:sz w:val="18"/>
          <w:szCs w:val="18"/>
          <w:color w:val="auto"/>
        </w:rPr>
        <w:t>The Board of Directors (the “Board”) has nominated the following nine director nominees for election to the Board to hold office until the 2027 annual meeting of stockholders (the “2027 Annual Meeting”) and until</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his or her respective successor is duly elected and qualified:</w:t>
      </w:r>
    </w:p>
    <w:p>
      <w:pPr>
        <w:spacing w:after="0" w:line="60" w:lineRule="exact"/>
        <w:rPr>
          <w:sz w:val="20"/>
          <w:szCs w:val="20"/>
          <w:color w:val="auto"/>
        </w:rPr>
      </w:pPr>
    </w:p>
    <w:tbl>
      <w:tblPr>
        <w:tblLayout w:type="fixed"/>
        <w:tblInd w:w="920" w:type="dxa"/>
        <w:tblCellMar>
          <w:top w:w="0" w:type="dxa"/>
          <w:left w:w="0" w:type="dxa"/>
          <w:bottom w:w="0" w:type="dxa"/>
          <w:right w:w="0" w:type="dxa"/>
        </w:tblCellMar>
      </w:tblPr>
      <w:tr>
        <w:trPr>
          <w:trHeight w:val="368"/>
        </w:trPr>
        <w:tc>
          <w:tcPr>
            <w:tcW w:w="2200" w:type="dxa"/>
            <w:vAlign w:val="bottom"/>
            <w:shd w:val="clear" w:color="auto" w:fill="62259D"/>
          </w:tcPr>
          <w:p>
            <w:pPr>
              <w:spacing w:after="0"/>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 xml:space="preserve"> Nominee</w:t>
            </w:r>
          </w:p>
        </w:tc>
        <w:tc>
          <w:tcPr>
            <w:tcW w:w="5820" w:type="dxa"/>
            <w:vAlign w:val="bottom"/>
            <w:shd w:val="clear" w:color="auto" w:fill="62259D"/>
          </w:tcPr>
          <w:p>
            <w:pPr>
              <w:ind w:left="540"/>
              <w:spacing w:after="0"/>
              <w:rPr>
                <w:sz w:val="20"/>
                <w:szCs w:val="20"/>
                <w:color w:val="auto"/>
              </w:rPr>
            </w:pPr>
            <w:r>
              <w:rPr>
                <w:rFonts w:ascii="Arial" w:cs="Arial" w:eastAsia="Arial" w:hAnsi="Arial"/>
                <w:sz w:val="32"/>
                <w:szCs w:val="32"/>
                <w:b w:val="1"/>
                <w:bCs w:val="1"/>
                <w:color w:val="FEFEFE"/>
                <w:vertAlign w:val="subscript"/>
              </w:rPr>
              <w:t>​ ​</w:t>
            </w:r>
            <w:r>
              <w:rPr>
                <w:rFonts w:ascii="Arial" w:cs="Arial" w:eastAsia="Arial" w:hAnsi="Arial"/>
                <w:sz w:val="16"/>
                <w:szCs w:val="16"/>
                <w:b w:val="1"/>
                <w:bCs w:val="1"/>
                <w:color w:val="FEFEFE"/>
              </w:rPr>
              <w:t xml:space="preserve"> Designated By</w:t>
            </w:r>
          </w:p>
        </w:tc>
        <w:tc>
          <w:tcPr>
            <w:tcW w:w="840" w:type="dxa"/>
            <w:vAlign w:val="bottom"/>
            <w:shd w:val="clear" w:color="auto" w:fill="62259D"/>
          </w:tcPr>
          <w:p>
            <w:pPr>
              <w:ind w:left="180"/>
              <w:spacing w:after="0"/>
              <w:rPr>
                <w:sz w:val="20"/>
                <w:szCs w:val="20"/>
                <w:color w:val="auto"/>
              </w:rPr>
            </w:pPr>
            <w:r>
              <w:rPr>
                <w:rFonts w:ascii="Arial" w:cs="Arial" w:eastAsia="Arial" w:hAnsi="Arial"/>
                <w:sz w:val="16"/>
                <w:szCs w:val="16"/>
                <w:b w:val="1"/>
                <w:bCs w:val="1"/>
                <w:color w:val="FEFEFE"/>
              </w:rPr>
              <w:t>​</w:t>
            </w:r>
          </w:p>
        </w:tc>
      </w:tr>
      <w:tr>
        <w:trPr>
          <w:trHeight w:val="257"/>
        </w:trPr>
        <w:tc>
          <w:tcPr>
            <w:tcW w:w="2200" w:type="dxa"/>
            <w:vAlign w:val="bottom"/>
            <w:tcBorders>
              <w:bottom w:val="single" w:sz="8" w:color="E7417A"/>
            </w:tcBorders>
          </w:tcPr>
          <w:p>
            <w:pP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R. Stewart Ewing, Jr.</w:t>
            </w:r>
          </w:p>
        </w:tc>
        <w:tc>
          <w:tcPr>
            <w:tcW w:w="5820" w:type="dxa"/>
            <w:vAlign w:val="bottom"/>
            <w:tcBorders>
              <w:bottom w:val="single" w:sz="8" w:color="E7417A"/>
            </w:tcBorders>
          </w:tcPr>
          <w:p>
            <w:pPr>
              <w:ind w:left="54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 xml:space="preserve"> JPM Stockholders (as defined below)</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Richard W. Smith</w:t>
            </w:r>
          </w:p>
        </w:tc>
        <w:tc>
          <w:tcPr>
            <w:tcW w:w="5820" w:type="dxa"/>
            <w:vAlign w:val="bottom"/>
            <w:tcBorders>
              <w:bottom w:val="single" w:sz="8" w:color="E7417A"/>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JPM Stockholders</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Scott Mair</w:t>
            </w:r>
          </w:p>
        </w:tc>
        <w:tc>
          <w:tcPr>
            <w:tcW w:w="5820" w:type="dxa"/>
            <w:vAlign w:val="bottom"/>
            <w:tcBorders>
              <w:bottom w:val="single" w:sz="8" w:color="E7417A"/>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JPM Stockholders</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Shaul Shani</w:t>
            </w:r>
          </w:p>
        </w:tc>
        <w:tc>
          <w:tcPr>
            <w:tcW w:w="5820" w:type="dxa"/>
            <w:vAlign w:val="bottom"/>
            <w:tcBorders>
              <w:bottom w:val="single" w:sz="8" w:color="E7417A"/>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Swarth (as defined below)</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Louis Silver</w:t>
            </w:r>
          </w:p>
        </w:tc>
        <w:tc>
          <w:tcPr>
            <w:tcW w:w="5820" w:type="dxa"/>
            <w:vAlign w:val="bottom"/>
            <w:tcBorders>
              <w:bottom w:val="single" w:sz="8" w:color="E7417A"/>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Swarth</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Tanya Tamone</w:t>
            </w:r>
          </w:p>
        </w:tc>
        <w:tc>
          <w:tcPr>
            <w:tcW w:w="5820" w:type="dxa"/>
            <w:vAlign w:val="bottom"/>
            <w:tcBorders>
              <w:bottom w:val="single" w:sz="8" w:color="E7417A"/>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Swarth</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Bruns H. Grayson</w:t>
            </w:r>
          </w:p>
        </w:tc>
        <w:tc>
          <w:tcPr>
            <w:tcW w:w="5820" w:type="dxa"/>
            <w:vAlign w:val="bottom"/>
            <w:tcBorders>
              <w:bottom w:val="single" w:sz="8" w:color="E7417A"/>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Nominating, Sustainability and Corporate Governance Committee</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50"/>
        </w:trPr>
        <w:tc>
          <w:tcPr>
            <w:tcW w:w="22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Beatriz V. Infante</w:t>
            </w:r>
          </w:p>
        </w:tc>
        <w:tc>
          <w:tcPr>
            <w:tcW w:w="5820" w:type="dxa"/>
            <w:vAlign w:val="bottom"/>
            <w:tcBorders>
              <w:bottom w:val="single" w:sz="8" w:color="E7417A"/>
            </w:tcBorders>
          </w:tcPr>
          <w:p>
            <w:pPr>
              <w:ind w:left="540"/>
              <w:spacing w:after="0" w:line="250"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Nominating, Sustainability and Corporate Governance Committee</w:t>
            </w:r>
          </w:p>
        </w:tc>
        <w:tc>
          <w:tcPr>
            <w:tcW w:w="840" w:type="dxa"/>
            <w:vAlign w:val="bottom"/>
            <w:tcBorders>
              <w:bottom w:val="single" w:sz="8" w:color="E7417A"/>
            </w:tcBorders>
          </w:tcPr>
          <w:p>
            <w:pPr>
              <w:ind w:left="180"/>
              <w:spacing w:after="0"/>
              <w:rPr>
                <w:sz w:val="20"/>
                <w:szCs w:val="20"/>
                <w:color w:val="auto"/>
              </w:rPr>
            </w:pPr>
            <w:r>
              <w:rPr>
                <w:rFonts w:ascii="Arial" w:cs="Arial" w:eastAsia="Arial" w:hAnsi="Arial"/>
                <w:sz w:val="16"/>
                <w:szCs w:val="16"/>
                <w:color w:val="auto"/>
              </w:rPr>
              <w:t>​</w:t>
            </w:r>
          </w:p>
        </w:tc>
      </w:tr>
      <w:tr>
        <w:trPr>
          <w:trHeight w:val="237"/>
        </w:trPr>
        <w:tc>
          <w:tcPr>
            <w:tcW w:w="2200" w:type="dxa"/>
            <w:vAlign w:val="bottom"/>
            <w:tcBorders>
              <w:bottom w:val="single" w:sz="8" w:color="62259D"/>
            </w:tcBorders>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 xml:space="preserve"> Bruce W. McClelland</w:t>
            </w:r>
          </w:p>
        </w:tc>
        <w:tc>
          <w:tcPr>
            <w:tcW w:w="5820" w:type="dxa"/>
            <w:vAlign w:val="bottom"/>
            <w:tcBorders>
              <w:bottom w:val="single" w:sz="8" w:color="62259D"/>
            </w:tcBorders>
          </w:tcPr>
          <w:p>
            <w:pPr>
              <w:ind w:left="540"/>
              <w:spacing w:after="0" w:line="236"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 xml:space="preserve"> Nominating, Sustainability and Corporate Governance Committee</w:t>
            </w:r>
          </w:p>
        </w:tc>
        <w:tc>
          <w:tcPr>
            <w:tcW w:w="840" w:type="dxa"/>
            <w:vAlign w:val="bottom"/>
            <w:tcBorders>
              <w:bottom w:val="single" w:sz="8" w:color="62259D"/>
            </w:tcBorders>
          </w:tcPr>
          <w:p>
            <w:pPr>
              <w:ind w:left="180"/>
              <w:spacing w:after="0"/>
              <w:rPr>
                <w:sz w:val="20"/>
                <w:szCs w:val="20"/>
                <w:color w:val="auto"/>
              </w:rPr>
            </w:pPr>
            <w:r>
              <w:rPr>
                <w:rFonts w:ascii="Arial" w:cs="Arial" w:eastAsia="Arial" w:hAnsi="Arial"/>
                <w:sz w:val="16"/>
                <w:szCs w:val="16"/>
                <w:color w:val="auto"/>
              </w:rPr>
              <w:t>​</w:t>
            </w:r>
          </w:p>
        </w:tc>
      </w:tr>
    </w:tbl>
    <w:p>
      <w:pPr>
        <w:spacing w:after="0" w:line="103" w:lineRule="exact"/>
        <w:rPr>
          <w:sz w:val="20"/>
          <w:szCs w:val="20"/>
          <w:color w:val="auto"/>
        </w:rPr>
      </w:pPr>
    </w:p>
    <w:p>
      <w:pPr>
        <w:ind w:left="920" w:right="140"/>
        <w:spacing w:after="0" w:line="271" w:lineRule="auto"/>
        <w:rPr>
          <w:sz w:val="20"/>
          <w:szCs w:val="20"/>
          <w:color w:val="auto"/>
        </w:rPr>
      </w:pPr>
      <w:r>
        <w:rPr>
          <w:rFonts w:ascii="Arial" w:cs="Arial" w:eastAsia="Arial" w:hAnsi="Arial"/>
          <w:sz w:val="18"/>
          <w:szCs w:val="18"/>
          <w:color w:val="auto"/>
        </w:rPr>
        <w:t>All of the nominees are currently directors. Each nominee agreed to be named in this Proxy Statement and to serve if elected. All nominees are expected to attend the 2026 Annual Meeting.</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Designation Rights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 March 3, 2020, we entered into a First Amended and Restated Stockholders Agreement (the</w:t>
      </w:r>
    </w:p>
    <w:p>
      <w:pPr>
        <w:spacing w:after="0" w:line="14" w:lineRule="exact"/>
        <w:rPr>
          <w:sz w:val="20"/>
          <w:szCs w:val="20"/>
          <w:color w:val="auto"/>
        </w:rPr>
      </w:pPr>
    </w:p>
    <w:p>
      <w:pPr>
        <w:ind w:left="920" w:right="100"/>
        <w:spacing w:after="0" w:line="226" w:lineRule="auto"/>
        <w:rPr>
          <w:sz w:val="20"/>
          <w:szCs w:val="20"/>
          <w:color w:val="auto"/>
        </w:rPr>
      </w:pPr>
      <w:r>
        <w:rPr>
          <w:rFonts w:ascii="Arial" w:cs="Arial" w:eastAsia="Arial" w:hAnsi="Arial"/>
          <w:sz w:val="18"/>
          <w:szCs w:val="18"/>
          <w:color w:val="auto"/>
        </w:rPr>
        <w:t>“Stockholders Agreement”) with JPMC Heritage Parent LLC (“JPMC”), Heritage PE (OEP) III, L.P. (together with JPMC, entities affiliated with the Company’s largest stockholder, JPMorgan Chase &amp; Co. (collectively</w:t>
      </w:r>
    </w:p>
    <w:p>
      <w:pPr>
        <w:spacing w:after="0" w:line="2" w:lineRule="exact"/>
        <w:rPr>
          <w:sz w:val="20"/>
          <w:szCs w:val="20"/>
          <w:color w:val="auto"/>
        </w:rPr>
      </w:pPr>
    </w:p>
    <w:p>
      <w:pPr>
        <w:ind w:left="920" w:right="180"/>
        <w:spacing w:after="0" w:line="250" w:lineRule="auto"/>
        <w:rPr>
          <w:sz w:val="20"/>
          <w:szCs w:val="20"/>
          <w:color w:val="auto"/>
        </w:rPr>
      </w:pPr>
      <w:r>
        <w:rPr>
          <w:rFonts w:ascii="Arial" w:cs="Arial" w:eastAsia="Arial" w:hAnsi="Arial"/>
          <w:sz w:val="18"/>
          <w:szCs w:val="18"/>
          <w:color w:val="auto"/>
        </w:rPr>
        <w:t>with any successor entities, the “JPM Stockholders”)), and ECI Holding (Hungary) Kft (“Swarth”). Pursuant to the Stockholders Agreement, unless otherwise agreed, the Board is required to consist of:</w:t>
      </w:r>
    </w:p>
    <w:p>
      <w:pPr>
        <w:spacing w:after="0" w:line="104" w:lineRule="exact"/>
        <w:rPr>
          <w:sz w:val="20"/>
          <w:szCs w:val="20"/>
          <w:color w:val="auto"/>
        </w:rPr>
      </w:pPr>
    </w:p>
    <w:p>
      <w:pPr>
        <w:ind w:left="1640" w:hanging="356"/>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individuals designated by the JPM Stockholders,</w:t>
      </w:r>
    </w:p>
    <w:p>
      <w:pPr>
        <w:spacing w:after="0" w:line="130" w:lineRule="exact"/>
        <w:rPr>
          <w:rFonts w:ascii="Arial" w:cs="Arial" w:eastAsia="Arial" w:hAnsi="Arial"/>
          <w:sz w:val="18"/>
          <w:szCs w:val="18"/>
          <w:color w:val="auto"/>
        </w:rPr>
      </w:pPr>
    </w:p>
    <w:p>
      <w:pPr>
        <w:ind w:left="1640" w:hanging="356"/>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three individuals designated by Swarth,</w:t>
      </w:r>
    </w:p>
    <w:p>
      <w:pPr>
        <w:spacing w:after="0" w:line="144" w:lineRule="exact"/>
        <w:rPr>
          <w:rFonts w:ascii="Arial" w:cs="Arial" w:eastAsia="Arial" w:hAnsi="Arial"/>
          <w:sz w:val="18"/>
          <w:szCs w:val="18"/>
          <w:color w:val="auto"/>
        </w:rPr>
      </w:pPr>
    </w:p>
    <w:p>
      <w:pPr>
        <w:ind w:left="1640" w:hanging="356"/>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Chief Executive Officer, and</w:t>
      </w:r>
    </w:p>
    <w:p>
      <w:pPr>
        <w:spacing w:after="0" w:line="144" w:lineRule="exact"/>
        <w:rPr>
          <w:rFonts w:ascii="Arial" w:cs="Arial" w:eastAsia="Arial" w:hAnsi="Arial"/>
          <w:sz w:val="18"/>
          <w:szCs w:val="18"/>
          <w:color w:val="auto"/>
        </w:rPr>
      </w:pPr>
    </w:p>
    <w:p>
      <w:pPr>
        <w:ind w:left="1640" w:right="1000" w:hanging="356"/>
        <w:spacing w:after="0" w:line="271" w:lineRule="auto"/>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number of other individuals designated by the Nominating and Corporate Governance Committee sufficient to ensure that there are no vacancies on the Board.</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directors designated for election by each of the JPM Stockholders and Swarth under the Stockholders</w:t>
      </w:r>
    </w:p>
    <w:p>
      <w:pPr>
        <w:spacing w:after="0" w:line="14" w:lineRule="exact"/>
        <w:rPr>
          <w:sz w:val="20"/>
          <w:szCs w:val="20"/>
          <w:color w:val="auto"/>
        </w:rPr>
      </w:pPr>
    </w:p>
    <w:p>
      <w:pPr>
        <w:ind w:left="920" w:right="460"/>
        <w:spacing w:after="0" w:line="237" w:lineRule="auto"/>
        <w:rPr>
          <w:sz w:val="20"/>
          <w:szCs w:val="20"/>
          <w:color w:val="auto"/>
        </w:rPr>
      </w:pPr>
      <w:r>
        <w:rPr>
          <w:rFonts w:ascii="Arial" w:cs="Arial" w:eastAsia="Arial" w:hAnsi="Arial"/>
          <w:sz w:val="18"/>
          <w:szCs w:val="18"/>
          <w:color w:val="auto"/>
        </w:rPr>
        <w:t>Agreement are noted in the table above. The JPM Stockholders and Swarth owned approximately 30% and 16%, respectively, of Ribbon’s common stock as of April 6, 2026.</w:t>
      </w:r>
    </w:p>
    <w:p>
      <w:pPr>
        <w:spacing w:after="0" w:line="113" w:lineRule="exact"/>
        <w:rPr>
          <w:sz w:val="20"/>
          <w:szCs w:val="20"/>
          <w:color w:val="auto"/>
        </w:rPr>
      </w:pPr>
    </w:p>
    <w:p>
      <w:pPr>
        <w:ind w:left="920" w:right="200"/>
        <w:spacing w:after="0" w:line="237" w:lineRule="auto"/>
        <w:rPr>
          <w:sz w:val="20"/>
          <w:szCs w:val="20"/>
          <w:color w:val="auto"/>
        </w:rPr>
      </w:pPr>
      <w:r>
        <w:rPr>
          <w:rFonts w:ascii="Arial" w:cs="Arial" w:eastAsia="Arial" w:hAnsi="Arial"/>
          <w:sz w:val="18"/>
          <w:szCs w:val="18"/>
          <w:color w:val="auto"/>
        </w:rPr>
        <w:t>In April 2026, the Board set the size of the Board of Directors at nine members and appointed Louis Silver to fill the vacancy created by the increase in the size of the Board. Mr. Silver was designated by Swarth</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pursuant to the terms of the Stockholders Agreement.</w:t>
      </w:r>
    </w:p>
    <w:p>
      <w:pPr>
        <w:spacing w:after="0" w:line="113" w:lineRule="exact"/>
        <w:rPr>
          <w:sz w:val="20"/>
          <w:szCs w:val="20"/>
          <w:color w:val="auto"/>
        </w:rPr>
      </w:pPr>
    </w:p>
    <w:p>
      <w:pPr>
        <w:ind w:left="920" w:right="240"/>
        <w:spacing w:after="0" w:line="245" w:lineRule="auto"/>
        <w:rPr>
          <w:sz w:val="20"/>
          <w:szCs w:val="20"/>
          <w:color w:val="auto"/>
        </w:rPr>
      </w:pPr>
      <w:r>
        <w:rPr>
          <w:rFonts w:ascii="Arial" w:cs="Arial" w:eastAsia="Arial" w:hAnsi="Arial"/>
          <w:sz w:val="18"/>
          <w:szCs w:val="18"/>
          <w:color w:val="auto"/>
        </w:rPr>
        <w:t>The Company has agreed to take all necessary actions within its control to include both the JPM Stockholders’ and Swarths’ designees in the slate of nominees recommended by the Board for election of</w:t>
      </w:r>
    </w:p>
    <w:p>
      <w:pPr>
        <w:ind w:left="920" w:right="440"/>
        <w:spacing w:after="0" w:line="226" w:lineRule="auto"/>
        <w:rPr>
          <w:sz w:val="20"/>
          <w:szCs w:val="20"/>
          <w:color w:val="auto"/>
        </w:rPr>
      </w:pPr>
      <w:r>
        <w:rPr>
          <w:rFonts w:ascii="Arial" w:cs="Arial" w:eastAsia="Arial" w:hAnsi="Arial"/>
          <w:sz w:val="18"/>
          <w:szCs w:val="18"/>
          <w:color w:val="auto"/>
        </w:rPr>
        <w:t>directors and to cause the stockholders of the Company to elect the designees. For so long as the JPM Stockholders or Swarth has the right to designate a director under the Stockholders Agreement, with</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respect to any proposal or resolution relating to the election of directors, each of</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319"/>
        <w:spacing w:after="0" w:line="247" w:lineRule="auto"/>
        <w:rPr>
          <w:sz w:val="20"/>
          <w:szCs w:val="20"/>
          <w:color w:val="auto"/>
        </w:rPr>
      </w:pPr>
      <w:r>
        <w:rPr>
          <w:rFonts w:ascii="Arial" w:cs="Arial" w:eastAsia="Arial" w:hAnsi="Arial"/>
          <w:sz w:val="18"/>
          <w:szCs w:val="18"/>
          <w:color w:val="auto"/>
        </w:rPr>
        <w:t>the JPM Stockholders and Swarth, respectively, has agreed to take all necessary actions within their control to vote their shares (A) affirmatively in favor of the election of the other’s designees and (B) with respect to each person nominated to serve as a director by the Nominating, Sustainability and Corporate Governance Committee, either affirmatively in favor of such nominee, or in the same proportion to all shares voted by other stockholders of the Company.</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Independence of Director Nominees</w:t>
      </w:r>
    </w:p>
    <w:p>
      <w:pPr>
        <w:spacing w:after="0" w:line="139" w:lineRule="exact"/>
        <w:rPr>
          <w:sz w:val="20"/>
          <w:szCs w:val="20"/>
          <w:color w:val="auto"/>
        </w:rPr>
      </w:pPr>
    </w:p>
    <w:p>
      <w:pPr>
        <w:ind w:left="920" w:right="279"/>
        <w:spacing w:after="0" w:line="247" w:lineRule="auto"/>
        <w:rPr>
          <w:sz w:val="20"/>
          <w:szCs w:val="20"/>
          <w:color w:val="auto"/>
        </w:rPr>
      </w:pPr>
      <w:r>
        <w:rPr>
          <w:rFonts w:ascii="Arial" w:cs="Arial" w:eastAsia="Arial" w:hAnsi="Arial"/>
          <w:sz w:val="18"/>
          <w:szCs w:val="18"/>
          <w:color w:val="auto"/>
        </w:rPr>
        <w:t>Except for Bruce W. McClelland, our President and CEO, Shaul Shani and Richard W. Smith, each of our nominees is independent according to the director independence standards set forth in our Corporate Governance Guidelines, which meet the director independence standards of the Nasdaq Stock Market (“Nasdaq”). For more information, see “</w:t>
      </w:r>
      <w:r>
        <w:rPr>
          <w:rFonts w:ascii="Arial" w:cs="Arial" w:eastAsia="Arial" w:hAnsi="Arial"/>
          <w:sz w:val="18"/>
          <w:szCs w:val="18"/>
          <w:i w:val="1"/>
          <w:iCs w:val="1"/>
          <w:color w:val="auto"/>
        </w:rPr>
        <w:t xml:space="preserve">Corporate Governance and Board Matters  —   </w:t>
      </w:r>
    </w:p>
    <w:p>
      <w:pPr>
        <w:spacing w:after="0" w:line="3" w:lineRule="exact"/>
        <w:rPr>
          <w:sz w:val="20"/>
          <w:szCs w:val="20"/>
          <w:color w:val="auto"/>
        </w:rPr>
      </w:pPr>
    </w:p>
    <w:p>
      <w:pPr>
        <w:ind w:left="920" w:right="159"/>
        <w:spacing w:after="0" w:line="242" w:lineRule="auto"/>
        <w:rPr>
          <w:sz w:val="20"/>
          <w:szCs w:val="20"/>
          <w:color w:val="auto"/>
        </w:rPr>
      </w:pPr>
      <w:r>
        <w:rPr>
          <w:rFonts w:ascii="Arial" w:cs="Arial" w:eastAsia="Arial" w:hAnsi="Arial"/>
          <w:sz w:val="18"/>
          <w:szCs w:val="18"/>
          <w:i w:val="1"/>
          <w:iCs w:val="1"/>
          <w:color w:val="auto"/>
        </w:rPr>
        <w:t>Director Independence</w:t>
      </w:r>
      <w:r>
        <w:rPr>
          <w:rFonts w:ascii="Arial" w:cs="Arial" w:eastAsia="Arial" w:hAnsi="Arial"/>
          <w:sz w:val="18"/>
          <w:szCs w:val="18"/>
          <w:color w:val="auto"/>
        </w:rPr>
        <w:t>.” We have no reason to believe that any of the nominees will be unable or unwilling</w:t>
      </w:r>
      <w:r>
        <w:rPr>
          <w:rFonts w:ascii="Arial" w:cs="Arial" w:eastAsia="Arial" w:hAnsi="Arial"/>
          <w:sz w:val="18"/>
          <w:szCs w:val="18"/>
          <w:i w:val="1"/>
          <w:iCs w:val="1"/>
          <w:color w:val="auto"/>
        </w:rPr>
        <w:t xml:space="preserve"> </w:t>
      </w:r>
      <w:r>
        <w:rPr>
          <w:rFonts w:ascii="Arial" w:cs="Arial" w:eastAsia="Arial" w:hAnsi="Arial"/>
          <w:sz w:val="18"/>
          <w:szCs w:val="18"/>
          <w:color w:val="auto"/>
        </w:rPr>
        <w:t>to serve if elected. However, if any nominee should become unable to serve, or for good cause will not serve as a director, proxies may be voted for another person nominated as a substitute by the Board, or the Board may reduce the number of directors. In the event any director designated by either the JPM Stockholders or Swarth is unable to serve, the JPM Stockholders or Swarth, as the case may be, are entitled to designate a replacement director, subject to the conditions set forth in the Stockholders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1417320</wp:posOffset>
            </wp:positionH>
            <wp:positionV relativeFrom="paragraph">
              <wp:posOffset>302895</wp:posOffset>
            </wp:positionV>
            <wp:extent cx="4791710" cy="6172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91710" cy="6172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920" w:type="dxa"/>
        <w:tblCellMar>
          <w:top w:w="0" w:type="dxa"/>
          <w:left w:w="0" w:type="dxa"/>
          <w:bottom w:w="0" w:type="dxa"/>
          <w:right w:w="0" w:type="dxa"/>
        </w:tblCellMar>
      </w:tblPr>
      <w:tr>
        <w:trPr>
          <w:trHeight w:val="235"/>
        </w:trPr>
        <w:tc>
          <w:tcPr>
            <w:tcW w:w="120" w:type="dxa"/>
            <w:vAlign w:val="bottom"/>
            <w:shd w:val="clear" w:color="auto" w:fill="62259D"/>
          </w:tcPr>
          <w:p>
            <w:pPr>
              <w:spacing w:after="0"/>
              <w:rPr>
                <w:sz w:val="20"/>
                <w:szCs w:val="20"/>
                <w:color w:val="auto"/>
              </w:rPr>
            </w:pPr>
          </w:p>
        </w:tc>
        <w:tc>
          <w:tcPr>
            <w:tcW w:w="1200" w:type="dxa"/>
            <w:vAlign w:val="bottom"/>
            <w:shd w:val="clear" w:color="auto" w:fill="62259D"/>
          </w:tcPr>
          <w:p>
            <w:pPr>
              <w:jc w:val="center"/>
              <w:spacing w:after="0"/>
              <w:rPr>
                <w:sz w:val="20"/>
                <w:szCs w:val="20"/>
                <w:color w:val="auto"/>
              </w:rPr>
            </w:pPr>
            <w:r>
              <w:rPr>
                <w:rFonts w:ascii="Arial" w:cs="Arial" w:eastAsia="Arial" w:hAnsi="Arial"/>
                <w:sz w:val="16"/>
                <w:szCs w:val="16"/>
                <w:color w:val="FEFEFE"/>
              </w:rPr>
              <w:t>PROPOSAL</w:t>
            </w:r>
          </w:p>
        </w:tc>
        <w:tc>
          <w:tcPr>
            <w:tcW w:w="7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20" w:type="dxa"/>
            <w:vAlign w:val="bottom"/>
            <w:shd w:val="clear" w:color="auto" w:fill="62259D"/>
          </w:tcPr>
          <w:p>
            <w:pPr>
              <w:spacing w:after="0"/>
              <w:rPr>
                <w:sz w:val="20"/>
                <w:szCs w:val="20"/>
                <w:color w:val="auto"/>
              </w:rPr>
            </w:pPr>
            <w:r>
              <w:rPr>
                <w:rFonts w:ascii="Arial" w:cs="Arial" w:eastAsia="Arial" w:hAnsi="Arial"/>
                <w:sz w:val="16"/>
                <w:szCs w:val="16"/>
                <w:color w:val="FEFEFE"/>
              </w:rPr>
              <w:t>​</w:t>
            </w:r>
          </w:p>
        </w:tc>
        <w:tc>
          <w:tcPr>
            <w:tcW w:w="1200" w:type="dxa"/>
            <w:vAlign w:val="bottom"/>
            <w:vMerge w:val="restart"/>
            <w:shd w:val="clear" w:color="auto" w:fill="62259D"/>
          </w:tcPr>
          <w:p>
            <w:pPr>
              <w:jc w:val="center"/>
              <w:spacing w:after="0" w:line="386" w:lineRule="exact"/>
              <w:rPr>
                <w:sz w:val="20"/>
                <w:szCs w:val="20"/>
                <w:color w:val="auto"/>
              </w:rPr>
            </w:pPr>
            <w:r>
              <w:rPr>
                <w:rFonts w:ascii="Arial" w:cs="Arial" w:eastAsia="Arial" w:hAnsi="Arial"/>
                <w:sz w:val="44"/>
                <w:szCs w:val="44"/>
                <w:b w:val="1"/>
                <w:bCs w:val="1"/>
                <w:color w:val="FEFEFE"/>
              </w:rPr>
              <w:t>1</w:t>
            </w:r>
            <w:r>
              <w:rPr>
                <w:rFonts w:ascii="Arial" w:cs="Arial" w:eastAsia="Arial" w:hAnsi="Arial"/>
                <w:sz w:val="16"/>
                <w:szCs w:val="16"/>
                <w:color w:val="FEFEFE"/>
              </w:rPr>
              <w:t>​</w:t>
            </w:r>
          </w:p>
        </w:tc>
        <w:tc>
          <w:tcPr>
            <w:tcW w:w="7540" w:type="dxa"/>
            <w:vAlign w:val="bottom"/>
          </w:tcPr>
          <w:p>
            <w:pPr>
              <w:spacing w:after="0" w:line="205" w:lineRule="exact"/>
              <w:rPr>
                <w:sz w:val="20"/>
                <w:szCs w:val="20"/>
                <w:color w:val="auto"/>
              </w:rPr>
            </w:pPr>
            <w:r>
              <w:rPr>
                <w:rFonts w:ascii="Arial" w:cs="Arial" w:eastAsia="Arial" w:hAnsi="Arial"/>
                <w:sz w:val="23"/>
                <w:szCs w:val="23"/>
                <w:color w:val="FEFEFE"/>
                <w:vertAlign w:val="subscript"/>
              </w:rPr>
              <w:t>​​</w:t>
            </w:r>
            <w:r>
              <w:rPr>
                <w:rFonts w:ascii="Arial" w:cs="Arial" w:eastAsia="Arial" w:hAnsi="Arial"/>
                <w:sz w:val="14"/>
                <w:szCs w:val="14"/>
                <w:color w:val="FEFEFE"/>
              </w:rPr>
              <w:t xml:space="preserve">   The Board recommends that stockholders vote FOR the election of each </w:t>
            </w:r>
            <w:r>
              <w:rPr>
                <w:rFonts w:ascii="Arial" w:cs="Arial" w:eastAsia="Arial" w:hAnsi="Arial"/>
                <w:sz w:val="23"/>
                <w:szCs w:val="23"/>
                <w:color w:val="FEFEFE"/>
                <w:vertAlign w:val="subscript"/>
              </w:rPr>
              <w:t>​</w:t>
            </w:r>
          </w:p>
        </w:tc>
        <w:tc>
          <w:tcPr>
            <w:tcW w:w="40" w:type="dxa"/>
            <w:vAlign w:val="bottom"/>
          </w:tcPr>
          <w:p>
            <w:pPr>
              <w:spacing w:after="0"/>
              <w:rPr>
                <w:sz w:val="20"/>
                <w:szCs w:val="20"/>
                <w:color w:val="auto"/>
              </w:rPr>
            </w:pPr>
            <w:r>
              <w:rPr>
                <w:rFonts w:ascii="Arial" w:cs="Arial" w:eastAsia="Arial" w:hAnsi="Arial"/>
                <w:sz w:val="16"/>
                <w:szCs w:val="16"/>
                <w:color w:val="FEFEFE"/>
              </w:rPr>
              <w:t>​</w:t>
            </w:r>
          </w:p>
        </w:tc>
        <w:tc>
          <w:tcPr>
            <w:tcW w:w="0" w:type="dxa"/>
            <w:vAlign w:val="bottom"/>
          </w:tcPr>
          <w:p>
            <w:pPr>
              <w:spacing w:after="0"/>
              <w:rPr>
                <w:sz w:val="1"/>
                <w:szCs w:val="1"/>
                <w:color w:val="auto"/>
              </w:rPr>
            </w:pPr>
          </w:p>
        </w:tc>
      </w:tr>
      <w:tr>
        <w:trPr>
          <w:trHeight w:val="181"/>
        </w:trPr>
        <w:tc>
          <w:tcPr>
            <w:tcW w:w="120" w:type="dxa"/>
            <w:vAlign w:val="bottom"/>
            <w:shd w:val="clear" w:color="auto" w:fill="62259D"/>
          </w:tcPr>
          <w:p>
            <w:pPr>
              <w:spacing w:after="0"/>
              <w:rPr>
                <w:sz w:val="15"/>
                <w:szCs w:val="15"/>
                <w:color w:val="auto"/>
              </w:rPr>
            </w:pPr>
          </w:p>
        </w:tc>
        <w:tc>
          <w:tcPr>
            <w:tcW w:w="1200" w:type="dxa"/>
            <w:vAlign w:val="bottom"/>
            <w:vMerge w:val="continue"/>
            <w:shd w:val="clear" w:color="auto" w:fill="62259D"/>
          </w:tcPr>
          <w:p>
            <w:pPr>
              <w:spacing w:after="0"/>
              <w:rPr>
                <w:sz w:val="15"/>
                <w:szCs w:val="15"/>
                <w:color w:val="auto"/>
              </w:rPr>
            </w:pPr>
          </w:p>
        </w:tc>
        <w:tc>
          <w:tcPr>
            <w:tcW w:w="7540" w:type="dxa"/>
            <w:vAlign w:val="bottom"/>
            <w:vMerge w:val="restart"/>
          </w:tcPr>
          <w:p>
            <w:pPr>
              <w:ind w:left="300"/>
              <w:spacing w:after="0"/>
              <w:rPr>
                <w:sz w:val="20"/>
                <w:szCs w:val="20"/>
                <w:color w:val="auto"/>
              </w:rPr>
            </w:pPr>
            <w:r>
              <w:rPr>
                <w:rFonts w:ascii="Arial" w:cs="Arial" w:eastAsia="Arial" w:hAnsi="Arial"/>
                <w:sz w:val="18"/>
                <w:szCs w:val="18"/>
                <w:color w:val="FEFEFE"/>
              </w:rPr>
              <w:t>of the nominees listed above.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20" w:type="dxa"/>
            <w:vAlign w:val="bottom"/>
            <w:shd w:val="clear" w:color="auto" w:fill="62259D"/>
          </w:tcPr>
          <w:p>
            <w:pPr>
              <w:spacing w:after="0"/>
              <w:rPr>
                <w:sz w:val="5"/>
                <w:szCs w:val="5"/>
                <w:color w:val="auto"/>
              </w:rPr>
            </w:pPr>
          </w:p>
        </w:tc>
        <w:tc>
          <w:tcPr>
            <w:tcW w:w="1200" w:type="dxa"/>
            <w:vAlign w:val="bottom"/>
            <w:shd w:val="clear" w:color="auto" w:fill="62259D"/>
          </w:tcPr>
          <w:p>
            <w:pPr>
              <w:spacing w:after="0"/>
              <w:rPr>
                <w:sz w:val="5"/>
                <w:szCs w:val="5"/>
                <w:color w:val="auto"/>
              </w:rPr>
            </w:pPr>
          </w:p>
        </w:tc>
        <w:tc>
          <w:tcPr>
            <w:tcW w:w="7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120" w:type="dxa"/>
            <w:vAlign w:val="bottom"/>
            <w:shd w:val="clear" w:color="auto" w:fill="62259D"/>
          </w:tcPr>
          <w:p>
            <w:pPr>
              <w:spacing w:after="0"/>
              <w:rPr>
                <w:sz w:val="24"/>
                <w:szCs w:val="24"/>
                <w:color w:val="auto"/>
              </w:rPr>
            </w:pPr>
          </w:p>
        </w:tc>
        <w:tc>
          <w:tcPr>
            <w:tcW w:w="1200" w:type="dxa"/>
            <w:vAlign w:val="bottom"/>
            <w:shd w:val="clear" w:color="auto" w:fill="62259D"/>
          </w:tcPr>
          <w:p>
            <w:pPr>
              <w:spacing w:after="0"/>
              <w:rPr>
                <w:sz w:val="24"/>
                <w:szCs w:val="24"/>
                <w:color w:val="auto"/>
              </w:rPr>
            </w:pPr>
          </w:p>
        </w:tc>
        <w:tc>
          <w:tcPr>
            <w:tcW w:w="7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Director Nominees</w:t>
      </w:r>
    </w:p>
    <w:p>
      <w:pPr>
        <w:spacing w:after="0" w:line="104" w:lineRule="exact"/>
        <w:rPr>
          <w:sz w:val="20"/>
          <w:szCs w:val="20"/>
          <w:color w:val="auto"/>
        </w:rPr>
      </w:pPr>
    </w:p>
    <w:p>
      <w:pPr>
        <w:jc w:val="both"/>
        <w:ind w:left="920" w:right="119"/>
        <w:spacing w:after="0" w:line="261" w:lineRule="auto"/>
        <w:rPr>
          <w:sz w:val="20"/>
          <w:szCs w:val="20"/>
          <w:color w:val="auto"/>
        </w:rPr>
      </w:pPr>
      <w:r>
        <w:rPr>
          <w:rFonts w:ascii="Arial" w:cs="Arial" w:eastAsia="Arial" w:hAnsi="Arial"/>
          <w:sz w:val="18"/>
          <w:szCs w:val="18"/>
          <w:color w:val="auto"/>
        </w:rPr>
        <w:t>The biographies below describe the skills, qualities, attributes and experience of the director nominees that led the Board and its Nominating, Sustainability and Corporate Governance Committee to determine that it is appropriate to nominate these individuals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114935</wp:posOffset>
            </wp:positionV>
            <wp:extent cx="1088390" cy="10883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161"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92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tcPr>
          <w:p>
            <w:pPr>
              <w:ind w:left="860"/>
              <w:spacing w:after="0"/>
              <w:rPr>
                <w:sz w:val="20"/>
                <w:szCs w:val="20"/>
                <w:color w:val="auto"/>
              </w:rPr>
            </w:pPr>
            <w:r>
              <w:rPr>
                <w:rFonts w:ascii="Arial" w:cs="Arial" w:eastAsia="Arial" w:hAnsi="Arial"/>
                <w:sz w:val="16"/>
                <w:szCs w:val="16"/>
                <w:color w:val="auto"/>
              </w:rPr>
              <w:t>​</w:t>
            </w:r>
          </w:p>
        </w:tc>
        <w:tc>
          <w:tcPr>
            <w:tcW w:w="4480" w:type="dxa"/>
            <w:vAlign w:val="bottom"/>
            <w:shd w:val="clear" w:color="auto" w:fill="E7417A"/>
          </w:tcPr>
          <w:p>
            <w:pPr>
              <w:spacing w:after="0"/>
              <w:rPr>
                <w:sz w:val="19"/>
                <w:szCs w:val="19"/>
                <w:color w:val="auto"/>
              </w:rPr>
            </w:pPr>
          </w:p>
        </w:tc>
        <w:tc>
          <w:tcPr>
            <w:tcW w:w="2320" w:type="dxa"/>
            <w:vAlign w:val="bottom"/>
            <w:vMerge w:val="restart"/>
            <w:shd w:val="clear" w:color="auto" w:fill="E7417A"/>
          </w:tcPr>
          <w:p>
            <w:pPr>
              <w:ind w:left="360"/>
              <w:spacing w:after="0"/>
              <w:rPr>
                <w:sz w:val="20"/>
                <w:szCs w:val="20"/>
                <w:color w:val="auto"/>
              </w:rPr>
            </w:pPr>
            <w:r>
              <w:rPr>
                <w:rFonts w:ascii="Arial" w:cs="Arial" w:eastAsia="Arial" w:hAnsi="Arial"/>
                <w:sz w:val="15"/>
                <w:szCs w:val="15"/>
                <w:b w:val="1"/>
                <w:bCs w:val="1"/>
                <w:color w:val="FEFEFE"/>
              </w:rPr>
              <w:t>Independent Director</w:t>
            </w:r>
          </w:p>
        </w:tc>
        <w:tc>
          <w:tcPr>
            <w:tcW w:w="0" w:type="dxa"/>
            <w:vAlign w:val="bottom"/>
          </w:tcPr>
          <w:p>
            <w:pPr>
              <w:spacing w:after="0"/>
              <w:rPr>
                <w:sz w:val="1"/>
                <w:szCs w:val="1"/>
                <w:color w:val="auto"/>
              </w:rPr>
            </w:pPr>
          </w:p>
        </w:tc>
      </w:tr>
      <w:tr>
        <w:trPr>
          <w:trHeight w:val="48"/>
        </w:trPr>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80" w:type="dxa"/>
            <w:vAlign w:val="bottom"/>
            <w:vMerge w:val="restart"/>
            <w:shd w:val="clear" w:color="auto" w:fill="E7417A"/>
          </w:tcPr>
          <w:p>
            <w:pPr>
              <w:spacing w:after="0"/>
              <w:rPr>
                <w:sz w:val="20"/>
                <w:szCs w:val="20"/>
                <w:color w:val="auto"/>
              </w:rPr>
            </w:pPr>
            <w:r>
              <w:rPr>
                <w:rFonts w:ascii="Arial" w:cs="Arial" w:eastAsia="Arial" w:hAnsi="Arial"/>
                <w:sz w:val="15"/>
                <w:szCs w:val="15"/>
                <w:b w:val="1"/>
                <w:bCs w:val="1"/>
                <w:color w:val="FEFEFE"/>
              </w:rPr>
              <w:t xml:space="preserve">​  </w:t>
            </w:r>
            <w:r>
              <w:rPr>
                <w:rFonts w:ascii="Arial" w:cs="Arial" w:eastAsia="Arial" w:hAnsi="Arial"/>
                <w:sz w:val="25"/>
                <w:szCs w:val="25"/>
                <w:b w:val="1"/>
                <w:bCs w:val="1"/>
                <w:color w:val="FEFEFE"/>
              </w:rPr>
              <w:t>R. STEWART EWING, JR.</w:t>
            </w:r>
            <w:r>
              <w:rPr>
                <w:rFonts w:ascii="Arial" w:cs="Arial" w:eastAsia="Arial" w:hAnsi="Arial"/>
                <w:sz w:val="15"/>
                <w:szCs w:val="15"/>
                <w:b w:val="1"/>
                <w:bCs w:val="1"/>
                <w:color w:val="FEFEFE"/>
              </w:rPr>
              <w:t xml:space="preserve"> ​​</w:t>
            </w:r>
          </w:p>
        </w:tc>
        <w:tc>
          <w:tcPr>
            <w:tcW w:w="2320" w:type="dxa"/>
            <w:vAlign w:val="bottom"/>
            <w:vMerge w:val="continue"/>
            <w:shd w:val="clear" w:color="auto" w:fill="E7417A"/>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80" w:type="dxa"/>
            <w:vAlign w:val="bottom"/>
            <w:vMerge w:val="continue"/>
            <w:shd w:val="clear" w:color="auto" w:fill="E7417A"/>
          </w:tcPr>
          <w:p>
            <w:pPr>
              <w:spacing w:after="0"/>
              <w:rPr>
                <w:sz w:val="18"/>
                <w:szCs w:val="18"/>
                <w:color w:val="auto"/>
              </w:rPr>
            </w:pPr>
          </w:p>
        </w:tc>
        <w:tc>
          <w:tcPr>
            <w:tcW w:w="2320" w:type="dxa"/>
            <w:vAlign w:val="bottom"/>
            <w:shd w:val="clear" w:color="auto" w:fill="E7417A"/>
          </w:tcPr>
          <w:p>
            <w:pPr>
              <w:ind w:left="980"/>
              <w:spacing w:after="0"/>
              <w:rPr>
                <w:sz w:val="20"/>
                <w:szCs w:val="20"/>
                <w:color w:val="auto"/>
              </w:rPr>
            </w:pPr>
            <w:r>
              <w:rPr>
                <w:rFonts w:ascii="Arial" w:cs="Arial" w:eastAsia="Arial" w:hAnsi="Arial"/>
                <w:sz w:val="15"/>
                <w:szCs w:val="15"/>
                <w:b w:val="1"/>
                <w:bCs w:val="1"/>
                <w:color w:val="FEFEFE"/>
              </w:rPr>
              <w:t>Director since​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80" w:type="dxa"/>
            <w:vAlign w:val="bottom"/>
            <w:shd w:val="clear" w:color="auto" w:fill="E7417A"/>
          </w:tcPr>
          <w:p>
            <w:pPr>
              <w:spacing w:after="0"/>
              <w:rPr>
                <w:sz w:val="18"/>
                <w:szCs w:val="18"/>
                <w:color w:val="auto"/>
              </w:rPr>
            </w:pPr>
          </w:p>
        </w:tc>
        <w:tc>
          <w:tcPr>
            <w:tcW w:w="2320" w:type="dxa"/>
            <w:vAlign w:val="bottom"/>
            <w:shd w:val="clear" w:color="auto" w:fill="E7417A"/>
          </w:tcPr>
          <w:p>
            <w:pPr>
              <w:ind w:left="1200"/>
              <w:spacing w:after="0"/>
              <w:rPr>
                <w:sz w:val="20"/>
                <w:szCs w:val="20"/>
                <w:color w:val="auto"/>
              </w:rPr>
            </w:pPr>
            <w:r>
              <w:rPr>
                <w:rFonts w:ascii="Arial" w:cs="Arial" w:eastAsia="Arial" w:hAnsi="Arial"/>
                <w:sz w:val="15"/>
                <w:szCs w:val="15"/>
                <w:b w:val="1"/>
                <w:bCs w:val="1"/>
                <w:color w:val="FEFEFE"/>
              </w:rPr>
              <w:t>March 2020</w:t>
            </w:r>
          </w:p>
        </w:tc>
        <w:tc>
          <w:tcPr>
            <w:tcW w:w="0" w:type="dxa"/>
            <w:vAlign w:val="bottom"/>
          </w:tcPr>
          <w:p>
            <w:pPr>
              <w:spacing w:after="0"/>
              <w:rPr>
                <w:sz w:val="1"/>
                <w:szCs w:val="1"/>
                <w:color w:val="auto"/>
              </w:rPr>
            </w:pPr>
          </w:p>
        </w:tc>
      </w:tr>
      <w:tr>
        <w:trPr>
          <w:trHeight w:val="66"/>
        </w:trPr>
        <w:tc>
          <w:tcPr>
            <w:tcW w:w="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80" w:type="dxa"/>
            <w:vAlign w:val="bottom"/>
            <w:shd w:val="clear" w:color="auto" w:fill="E7417A"/>
          </w:tcPr>
          <w:p>
            <w:pPr>
              <w:spacing w:after="0"/>
              <w:rPr>
                <w:sz w:val="5"/>
                <w:szCs w:val="5"/>
                <w:color w:val="auto"/>
              </w:rPr>
            </w:pPr>
          </w:p>
        </w:tc>
        <w:tc>
          <w:tcPr>
            <w:tcW w:w="2320" w:type="dxa"/>
            <w:vAlign w:val="bottom"/>
            <w:shd w:val="clear" w:color="auto" w:fill="E7417A"/>
          </w:tcPr>
          <w:p>
            <w:pPr>
              <w:spacing w:after="0"/>
              <w:rPr>
                <w:sz w:val="5"/>
                <w:szCs w:val="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74</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59" w:lineRule="exact"/>
        <w:rPr>
          <w:sz w:val="20"/>
          <w:szCs w:val="20"/>
          <w:color w:val="auto"/>
        </w:rPr>
      </w:pPr>
    </w:p>
    <w:p>
      <w:pPr>
        <w:jc w:val="both"/>
        <w:ind w:left="1200" w:right="60" w:hanging="168"/>
        <w:spacing w:after="0" w:line="257" w:lineRule="auto"/>
        <w:tabs>
          <w:tab w:leader="none" w:pos="1200" w:val="left"/>
        </w:tabs>
        <w:numPr>
          <w:ilvl w:val="0"/>
          <w:numId w:val="10"/>
        </w:numPr>
        <w:rPr>
          <w:rFonts w:ascii="Arial" w:cs="Arial" w:eastAsia="Arial" w:hAnsi="Arial"/>
          <w:sz w:val="16"/>
          <w:szCs w:val="16"/>
          <w:color w:val="62259D"/>
        </w:rPr>
      </w:pPr>
      <w:r>
        <w:rPr>
          <w:rFonts w:ascii="Arial" w:cs="Arial" w:eastAsia="Arial" w:hAnsi="Arial"/>
          <w:sz w:val="16"/>
          <w:szCs w:val="16"/>
          <w:color w:val="auto"/>
        </w:rPr>
        <w:t>Audit (Chair and Audit Committee Financial Expert)</w:t>
      </w:r>
    </w:p>
    <w:p>
      <w:pPr>
        <w:spacing w:after="0" w:line="43" w:lineRule="exact"/>
        <w:rPr>
          <w:rFonts w:ascii="Arial" w:cs="Arial" w:eastAsia="Arial" w:hAnsi="Arial"/>
          <w:sz w:val="16"/>
          <w:szCs w:val="16"/>
          <w:color w:val="62259D"/>
        </w:rPr>
      </w:pPr>
    </w:p>
    <w:p>
      <w:pPr>
        <w:ind w:left="1200" w:hanging="168"/>
        <w:spacing w:after="0" w:line="248" w:lineRule="auto"/>
        <w:tabs>
          <w:tab w:leader="none" w:pos="1200" w:val="left"/>
        </w:tabs>
        <w:numPr>
          <w:ilvl w:val="0"/>
          <w:numId w:val="10"/>
        </w:numPr>
        <w:rPr>
          <w:rFonts w:ascii="Arial" w:cs="Arial" w:eastAsia="Arial" w:hAnsi="Arial"/>
          <w:sz w:val="16"/>
          <w:szCs w:val="16"/>
          <w:color w:val="62259D"/>
        </w:rPr>
      </w:pPr>
      <w:r>
        <w:rPr>
          <w:rFonts w:ascii="Arial" w:cs="Arial" w:eastAsia="Arial" w:hAnsi="Arial"/>
          <w:sz w:val="16"/>
          <w:szCs w:val="16"/>
          <w:color w:val="auto"/>
        </w:rPr>
        <w:t>Nominating, Sustainability and Corporate Governance</w:t>
      </w:r>
    </w:p>
    <w:p>
      <w:pPr>
        <w:spacing w:after="0" w:line="20" w:lineRule="exact"/>
        <w:rPr>
          <w:sz w:val="20"/>
          <w:szCs w:val="20"/>
          <w:color w:val="auto"/>
        </w:rPr>
      </w:pPr>
      <w:r>
        <w:rPr>
          <w:sz w:val="20"/>
          <w:szCs w:val="20"/>
          <w:color w:val="auto"/>
        </w:rPr>
        <w:br w:type="column"/>
      </w:r>
    </w:p>
    <w:p>
      <w:pPr>
        <w:spacing w:after="0"/>
        <w:tabs>
          <w:tab w:leader="none" w:pos="32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62259D"/>
        </w:rPr>
        <w:t>BACKGROUND</w:t>
      </w:r>
      <w:r>
        <w:rPr>
          <w:sz w:val="20"/>
          <w:szCs w:val="20"/>
          <w:color w:val="auto"/>
        </w:rPr>
        <w:tab/>
      </w:r>
      <w:r>
        <w:rPr>
          <w:rFonts w:ascii="Arial" w:cs="Arial" w:eastAsia="Arial" w:hAnsi="Arial"/>
          <w:sz w:val="16"/>
          <w:szCs w:val="16"/>
          <w:color w:val="auto"/>
        </w:rPr>
        <w:t>​ ​</w:t>
      </w:r>
    </w:p>
    <w:p>
      <w:pPr>
        <w:spacing w:after="0" w:line="33" w:lineRule="exact"/>
        <w:rPr>
          <w:sz w:val="20"/>
          <w:szCs w:val="20"/>
          <w:color w:val="auto"/>
        </w:rPr>
      </w:pPr>
    </w:p>
    <w:p>
      <w:pPr>
        <w:ind w:left="100" w:right="200"/>
        <w:spacing w:after="0" w:line="260" w:lineRule="auto"/>
        <w:rPr>
          <w:sz w:val="20"/>
          <w:szCs w:val="20"/>
          <w:color w:val="auto"/>
        </w:rPr>
      </w:pPr>
      <w:r>
        <w:rPr>
          <w:rFonts w:ascii="Arial" w:cs="Arial" w:eastAsia="Arial" w:hAnsi="Arial"/>
          <w:sz w:val="16"/>
          <w:szCs w:val="16"/>
          <w:b w:val="1"/>
          <w:bCs w:val="1"/>
          <w:color w:val="auto"/>
        </w:rPr>
        <w:t>InterMountain Management</w:t>
      </w:r>
      <w:r>
        <w:rPr>
          <w:rFonts w:ascii="Arial" w:cs="Arial" w:eastAsia="Arial" w:hAnsi="Arial"/>
          <w:sz w:val="16"/>
          <w:szCs w:val="16"/>
          <w:color w:val="auto"/>
        </w:rPr>
        <w:t>, a privately-owned hotel management company</w:t>
      </w:r>
    </w:p>
    <w:p>
      <w:pPr>
        <w:spacing w:after="0" w:line="34" w:lineRule="exact"/>
        <w:rPr>
          <w:sz w:val="20"/>
          <w:szCs w:val="20"/>
          <w:color w:val="auto"/>
        </w:rPr>
      </w:pPr>
    </w:p>
    <w:p>
      <w:pPr>
        <w:ind w:left="260" w:right="540" w:hanging="156"/>
        <w:spacing w:after="0" w:line="259" w:lineRule="auto"/>
        <w:tabs>
          <w:tab w:leader="none" w:pos="260" w:val="left"/>
        </w:tabs>
        <w:numPr>
          <w:ilvl w:val="0"/>
          <w:numId w:val="11"/>
        </w:numPr>
        <w:rPr>
          <w:rFonts w:ascii="Arial" w:cs="Arial" w:eastAsia="Arial" w:hAnsi="Arial"/>
          <w:sz w:val="16"/>
          <w:szCs w:val="16"/>
          <w:color w:val="62259D"/>
        </w:rPr>
      </w:pPr>
      <w:r>
        <w:rPr>
          <w:rFonts w:ascii="Arial" w:cs="Arial" w:eastAsia="Arial" w:hAnsi="Arial"/>
          <w:sz w:val="16"/>
          <w:szCs w:val="16"/>
          <w:color w:val="auto"/>
        </w:rPr>
        <w:t>Chief Financial Officer (April 2020 to present)</w:t>
      </w:r>
    </w:p>
    <w:p>
      <w:pPr>
        <w:spacing w:after="0" w:line="19" w:lineRule="exact"/>
        <w:rPr>
          <w:sz w:val="20"/>
          <w:szCs w:val="20"/>
          <w:color w:val="auto"/>
        </w:rPr>
      </w:pPr>
    </w:p>
    <w:p>
      <w:pPr>
        <w:ind w:left="100" w:right="260"/>
        <w:spacing w:after="0" w:line="230" w:lineRule="auto"/>
        <w:rPr>
          <w:sz w:val="20"/>
          <w:szCs w:val="20"/>
          <w:color w:val="auto"/>
        </w:rPr>
      </w:pPr>
      <w:r>
        <w:rPr>
          <w:rFonts w:ascii="Arial" w:cs="Arial" w:eastAsia="Arial" w:hAnsi="Arial"/>
          <w:sz w:val="16"/>
          <w:szCs w:val="16"/>
          <w:b w:val="1"/>
          <w:bCs w:val="1"/>
          <w:color w:val="auto"/>
        </w:rPr>
        <w:t xml:space="preserve">CenturyLink, Inc. </w:t>
      </w:r>
      <w:r>
        <w:rPr>
          <w:rFonts w:ascii="Arial" w:cs="Arial" w:eastAsia="Arial" w:hAnsi="Arial"/>
          <w:sz w:val="16"/>
          <w:szCs w:val="16"/>
          <w:color w:val="auto"/>
        </w:rPr>
        <w:t>(“C</w:t>
      </w:r>
      <w:r>
        <w:rPr>
          <w:rFonts w:ascii="Arial" w:cs="Arial" w:eastAsia="Arial" w:hAnsi="Arial"/>
          <w:sz w:val="16"/>
          <w:szCs w:val="16"/>
          <w:i w:val="1"/>
          <w:iCs w:val="1"/>
          <w:color w:val="auto"/>
        </w:rPr>
        <w:t>enturyLink</w:t>
      </w:r>
      <w:r>
        <w:rPr>
          <w:rFonts w:ascii="Arial" w:cs="Arial" w:eastAsia="Arial" w:hAnsi="Arial"/>
          <w:sz w:val="16"/>
          <w:szCs w:val="16"/>
          <w:color w:val="auto"/>
        </w:rPr>
        <w:t>,” now</w:t>
      </w:r>
      <w:r>
        <w:rPr>
          <w:rFonts w:ascii="Arial" w:cs="Arial" w:eastAsia="Arial" w:hAnsi="Arial"/>
          <w:sz w:val="16"/>
          <w:szCs w:val="16"/>
          <w:b w:val="1"/>
          <w:bCs w:val="1"/>
          <w:color w:val="auto"/>
        </w:rPr>
        <w:t xml:space="preserve"> </w:t>
      </w:r>
      <w:r>
        <w:rPr>
          <w:rFonts w:ascii="Arial" w:cs="Arial" w:eastAsia="Arial" w:hAnsi="Arial"/>
          <w:sz w:val="16"/>
          <w:szCs w:val="16"/>
          <w:color w:val="auto"/>
        </w:rPr>
        <w:t>Lumen Technologies), a global technology</w:t>
      </w:r>
    </w:p>
    <w:p>
      <w:pPr>
        <w:ind w:left="100"/>
        <w:spacing w:after="0" w:line="230" w:lineRule="auto"/>
        <w:rPr>
          <w:sz w:val="20"/>
          <w:szCs w:val="20"/>
          <w:color w:val="auto"/>
        </w:rPr>
      </w:pPr>
      <w:r>
        <w:rPr>
          <w:rFonts w:ascii="Arial" w:cs="Arial" w:eastAsia="Arial" w:hAnsi="Arial"/>
          <w:sz w:val="16"/>
          <w:szCs w:val="16"/>
          <w:color w:val="auto"/>
        </w:rPr>
        <w:t>company offering communications, network</w:t>
      </w:r>
    </w:p>
    <w:p>
      <w:pPr>
        <w:ind w:left="100" w:right="160"/>
        <w:spacing w:after="0" w:line="231" w:lineRule="auto"/>
        <w:rPr>
          <w:sz w:val="20"/>
          <w:szCs w:val="20"/>
          <w:color w:val="auto"/>
        </w:rPr>
      </w:pPr>
      <w:r>
        <w:rPr>
          <w:rFonts w:ascii="Arial" w:cs="Arial" w:eastAsia="Arial" w:hAnsi="Arial"/>
          <w:sz w:val="16"/>
          <w:szCs w:val="16"/>
          <w:color w:val="auto"/>
        </w:rPr>
        <w:t>services, security, cloud solutions and voice and managed services</w:t>
      </w:r>
    </w:p>
    <w:p>
      <w:pPr>
        <w:spacing w:after="0" w:line="50" w:lineRule="exact"/>
        <w:rPr>
          <w:sz w:val="20"/>
          <w:szCs w:val="20"/>
          <w:color w:val="auto"/>
        </w:rPr>
      </w:pPr>
    </w:p>
    <w:p>
      <w:pPr>
        <w:ind w:left="260" w:right="620" w:hanging="156"/>
        <w:spacing w:after="0" w:line="244" w:lineRule="auto"/>
        <w:tabs>
          <w:tab w:leader="none" w:pos="260" w:val="left"/>
        </w:tabs>
        <w:numPr>
          <w:ilvl w:val="0"/>
          <w:numId w:val="12"/>
        </w:numPr>
        <w:rPr>
          <w:rFonts w:ascii="Arial" w:cs="Arial" w:eastAsia="Arial" w:hAnsi="Arial"/>
          <w:sz w:val="16"/>
          <w:szCs w:val="16"/>
          <w:color w:val="62259D"/>
        </w:rPr>
      </w:pPr>
      <w:r>
        <w:rPr>
          <w:rFonts w:ascii="Arial" w:cs="Arial" w:eastAsia="Arial" w:hAnsi="Arial"/>
          <w:sz w:val="16"/>
          <w:szCs w:val="16"/>
          <w:color w:val="auto"/>
        </w:rPr>
        <w:t>Executive Vice President and Chief Financial Officer (1989 to November 2017)</w:t>
      </w:r>
    </w:p>
    <w:p>
      <w:pPr>
        <w:spacing w:after="0" w:line="46" w:lineRule="exact"/>
        <w:rPr>
          <w:rFonts w:ascii="Arial" w:cs="Arial" w:eastAsia="Arial" w:hAnsi="Arial"/>
          <w:sz w:val="16"/>
          <w:szCs w:val="16"/>
          <w:color w:val="62259D"/>
        </w:rPr>
      </w:pPr>
    </w:p>
    <w:p>
      <w:pPr>
        <w:ind w:left="260" w:right="400" w:hanging="156"/>
        <w:spacing w:after="0" w:line="259" w:lineRule="auto"/>
        <w:tabs>
          <w:tab w:leader="none" w:pos="260" w:val="left"/>
        </w:tabs>
        <w:numPr>
          <w:ilvl w:val="0"/>
          <w:numId w:val="12"/>
        </w:numPr>
        <w:rPr>
          <w:rFonts w:ascii="Arial" w:cs="Arial" w:eastAsia="Arial" w:hAnsi="Arial"/>
          <w:sz w:val="16"/>
          <w:szCs w:val="16"/>
          <w:color w:val="62259D"/>
        </w:rPr>
      </w:pPr>
      <w:r>
        <w:rPr>
          <w:rFonts w:ascii="Arial" w:cs="Arial" w:eastAsia="Arial" w:hAnsi="Arial"/>
          <w:sz w:val="16"/>
          <w:szCs w:val="16"/>
          <w:color w:val="auto"/>
        </w:rPr>
        <w:t>Vice President and Controller (1984 to 1989)</w:t>
      </w:r>
    </w:p>
    <w:p>
      <w:pPr>
        <w:spacing w:after="0" w:line="34" w:lineRule="exact"/>
        <w:rPr>
          <w:rFonts w:ascii="Arial" w:cs="Arial" w:eastAsia="Arial" w:hAnsi="Arial"/>
          <w:sz w:val="16"/>
          <w:szCs w:val="16"/>
          <w:color w:val="62259D"/>
        </w:rPr>
      </w:pPr>
    </w:p>
    <w:p>
      <w:pPr>
        <w:ind w:left="260" w:hanging="156"/>
        <w:spacing w:after="0"/>
        <w:tabs>
          <w:tab w:leader="none" w:pos="260" w:val="left"/>
        </w:tabs>
        <w:numPr>
          <w:ilvl w:val="0"/>
          <w:numId w:val="12"/>
        </w:numPr>
        <w:rPr>
          <w:rFonts w:ascii="Arial" w:cs="Arial" w:eastAsia="Arial" w:hAnsi="Arial"/>
          <w:sz w:val="16"/>
          <w:szCs w:val="16"/>
          <w:color w:val="62259D"/>
        </w:rPr>
      </w:pPr>
      <w:r>
        <w:rPr>
          <w:rFonts w:ascii="Arial" w:cs="Arial" w:eastAsia="Arial" w:hAnsi="Arial"/>
          <w:sz w:val="16"/>
          <w:szCs w:val="16"/>
          <w:color w:val="auto"/>
        </w:rPr>
        <w:t>Vice President of Finance (1983 to 1984)</w:t>
      </w:r>
    </w:p>
    <w:p>
      <w:pPr>
        <w:spacing w:after="0" w:line="20" w:lineRule="exact"/>
        <w:rPr>
          <w:sz w:val="20"/>
          <w:szCs w:val="20"/>
          <w:color w:val="auto"/>
        </w:rPr>
      </w:pPr>
      <w:r>
        <w:rPr>
          <w:sz w:val="20"/>
          <w:szCs w:val="20"/>
          <w:color w:val="auto"/>
        </w:rPr>
        <w:br w:type="column"/>
      </w:r>
    </w:p>
    <w:p>
      <w:pPr>
        <w:spacing w:after="0"/>
        <w:tabs>
          <w:tab w:leader="none" w:pos="3180" w:val="left"/>
        </w:tabs>
        <w:rPr>
          <w:sz w:val="20"/>
          <w:szCs w:val="20"/>
          <w:color w:val="auto"/>
        </w:rPr>
      </w:pPr>
      <w:r>
        <w:rPr>
          <w:rFonts w:ascii="Arial" w:cs="Arial" w:eastAsia="Arial" w:hAnsi="Arial"/>
          <w:sz w:val="16"/>
          <w:szCs w:val="16"/>
          <w:b w:val="1"/>
          <w:bCs w:val="1"/>
          <w:color w:val="62259D"/>
        </w:rPr>
        <w:t>BOARD SERVICE</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160" w:right="819" w:hanging="154"/>
        <w:spacing w:after="0" w:line="254" w:lineRule="auto"/>
        <w:tabs>
          <w:tab w:leader="none" w:pos="160" w:val="left"/>
        </w:tabs>
        <w:numPr>
          <w:ilvl w:val="0"/>
          <w:numId w:val="13"/>
        </w:numPr>
        <w:rPr>
          <w:rFonts w:ascii="Arial" w:cs="Arial" w:eastAsia="Arial" w:hAnsi="Arial"/>
          <w:sz w:val="16"/>
          <w:szCs w:val="16"/>
          <w:color w:val="62259D"/>
        </w:rPr>
      </w:pPr>
      <w:r>
        <w:rPr>
          <w:rFonts w:ascii="Arial" w:cs="Arial" w:eastAsia="Arial" w:hAnsi="Arial"/>
          <w:sz w:val="16"/>
          <w:szCs w:val="16"/>
          <w:b w:val="1"/>
          <w:bCs w:val="1"/>
          <w:color w:val="auto"/>
        </w:rPr>
        <w:t xml:space="preserve">Louisiana Endowment for the Humanities </w:t>
      </w:r>
      <w:r>
        <w:rPr>
          <w:rFonts w:ascii="Arial" w:cs="Arial" w:eastAsia="Arial" w:hAnsi="Arial"/>
          <w:sz w:val="16"/>
          <w:szCs w:val="16"/>
          <w:color w:val="auto"/>
        </w:rPr>
        <w:t>(2019 to present)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62259D"/>
        </w:rPr>
        <w:t>EDUCATION</w:t>
      </w:r>
    </w:p>
    <w:p>
      <w:pPr>
        <w:spacing w:after="0" w:line="61" w:lineRule="exact"/>
        <w:rPr>
          <w:sz w:val="20"/>
          <w:szCs w:val="20"/>
          <w:color w:val="auto"/>
        </w:rPr>
      </w:pPr>
    </w:p>
    <w:p>
      <w:pPr>
        <w:ind w:left="160" w:hanging="154"/>
        <w:spacing w:after="0"/>
        <w:tabs>
          <w:tab w:leader="none" w:pos="160" w:val="left"/>
        </w:tabs>
        <w:numPr>
          <w:ilvl w:val="0"/>
          <w:numId w:val="14"/>
        </w:numPr>
        <w:rPr>
          <w:rFonts w:ascii="Arial" w:cs="Arial" w:eastAsia="Arial" w:hAnsi="Arial"/>
          <w:sz w:val="16"/>
          <w:szCs w:val="16"/>
          <w:color w:val="62259D"/>
        </w:rPr>
      </w:pPr>
      <w:r>
        <w:rPr>
          <w:rFonts w:ascii="Arial" w:cs="Arial" w:eastAsia="Arial" w:hAnsi="Arial"/>
          <w:sz w:val="16"/>
          <w:szCs w:val="16"/>
          <w:color w:val="auto"/>
        </w:rPr>
        <w:t>B.S., Northwestern State University</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62259D"/>
        </w:rPr>
        <w:t>SKILLS AND EXPERTISE</w:t>
      </w:r>
    </w:p>
    <w:p>
      <w:pPr>
        <w:spacing w:after="0" w:line="48" w:lineRule="exact"/>
        <w:rPr>
          <w:sz w:val="20"/>
          <w:szCs w:val="20"/>
          <w:color w:val="auto"/>
        </w:rPr>
      </w:pPr>
    </w:p>
    <w:p>
      <w:pPr>
        <w:ind w:right="319"/>
        <w:spacing w:after="0" w:line="229" w:lineRule="auto"/>
        <w:rPr>
          <w:sz w:val="20"/>
          <w:szCs w:val="20"/>
          <w:color w:val="auto"/>
        </w:rPr>
      </w:pPr>
      <w:r>
        <w:rPr>
          <w:rFonts w:ascii="Arial" w:cs="Arial" w:eastAsia="Arial" w:hAnsi="Arial"/>
          <w:sz w:val="16"/>
          <w:szCs w:val="16"/>
          <w:color w:val="auto"/>
        </w:rPr>
        <w:t>We believe Mr. Ewing brings to the Board executive leadership experience gained at</w:t>
      </w:r>
    </w:p>
    <w:p>
      <w:pPr>
        <w:spacing w:after="0" w:line="229" w:lineRule="auto"/>
        <w:rPr>
          <w:sz w:val="20"/>
          <w:szCs w:val="20"/>
          <w:color w:val="auto"/>
        </w:rPr>
      </w:pPr>
      <w:r>
        <w:rPr>
          <w:rFonts w:ascii="Arial" w:cs="Arial" w:eastAsia="Arial" w:hAnsi="Arial"/>
          <w:sz w:val="16"/>
          <w:szCs w:val="16"/>
          <w:color w:val="auto"/>
        </w:rPr>
        <w:t>CenturyLink, along with extensive financial</w:t>
      </w:r>
    </w:p>
    <w:p>
      <w:pPr>
        <w:ind w:right="239"/>
        <w:spacing w:after="0" w:line="220" w:lineRule="auto"/>
        <w:rPr>
          <w:sz w:val="20"/>
          <w:szCs w:val="20"/>
          <w:color w:val="auto"/>
        </w:rPr>
      </w:pPr>
      <w:r>
        <w:rPr>
          <w:rFonts w:ascii="Arial" w:cs="Arial" w:eastAsia="Arial" w:hAnsi="Arial"/>
          <w:sz w:val="16"/>
          <w:szCs w:val="16"/>
          <w:color w:val="auto"/>
        </w:rPr>
        <w:t>expertise. We believe Mr. Ewing is qualified to serve on the Board because of his</w:t>
      </w:r>
    </w:p>
    <w:p>
      <w:pPr>
        <w:ind w:right="239"/>
        <w:spacing w:after="0" w:line="228" w:lineRule="auto"/>
        <w:rPr>
          <w:sz w:val="20"/>
          <w:szCs w:val="20"/>
          <w:color w:val="auto"/>
        </w:rPr>
      </w:pPr>
      <w:r>
        <w:rPr>
          <w:rFonts w:ascii="Arial" w:cs="Arial" w:eastAsia="Arial" w:hAnsi="Arial"/>
          <w:sz w:val="16"/>
          <w:szCs w:val="16"/>
          <w:color w:val="auto"/>
        </w:rPr>
        <w:t>experience as chief financial officer at CenturyLink and his experience leading the</w:t>
      </w:r>
    </w:p>
    <w:p>
      <w:pPr>
        <w:spacing w:after="0" w:line="1" w:lineRule="exact"/>
        <w:rPr>
          <w:sz w:val="20"/>
          <w:szCs w:val="20"/>
          <w:color w:val="auto"/>
        </w:rPr>
      </w:pPr>
    </w:p>
    <w:p>
      <w:pPr>
        <w:ind w:right="619"/>
        <w:spacing w:after="0" w:line="220" w:lineRule="auto"/>
        <w:rPr>
          <w:sz w:val="20"/>
          <w:szCs w:val="20"/>
          <w:color w:val="auto"/>
        </w:rPr>
      </w:pPr>
      <w:r>
        <w:rPr>
          <w:rFonts w:ascii="Arial" w:cs="Arial" w:eastAsia="Arial" w:hAnsi="Arial"/>
          <w:sz w:val="16"/>
          <w:szCs w:val="16"/>
          <w:color w:val="auto"/>
        </w:rPr>
        <w:t>integration of acquired companies into CenturyLink’s corporate structure and</w:t>
      </w:r>
    </w:p>
    <w:p>
      <w:pPr>
        <w:spacing w:after="0"/>
        <w:rPr>
          <w:sz w:val="20"/>
          <w:szCs w:val="20"/>
          <w:color w:val="auto"/>
        </w:rPr>
      </w:pPr>
      <w:r>
        <w:rPr>
          <w:rFonts w:ascii="Arial" w:cs="Arial" w:eastAsia="Arial" w:hAnsi="Arial"/>
          <w:sz w:val="16"/>
          <w:szCs w:val="16"/>
          <w:color w:val="auto"/>
        </w:rPr>
        <w:t>philosophy.</w:t>
      </w:r>
    </w:p>
    <w:p>
      <w:pPr>
        <w:spacing w:after="0" w:line="70" w:lineRule="exact"/>
        <w:rPr>
          <w:sz w:val="20"/>
          <w:szCs w:val="20"/>
          <w:color w:val="auto"/>
        </w:rPr>
      </w:pPr>
    </w:p>
    <w:p>
      <w:pPr>
        <w:sectPr>
          <w:pgSz w:w="11900" w:h="16838" w:orient="portrait"/>
          <w:cols w:equalWidth="0" w:num="3">
            <w:col w:w="2520" w:space="460"/>
            <w:col w:w="3440" w:space="60"/>
            <w:col w:w="3399"/>
          </w:cols>
          <w:pgMar w:left="580" w:top="97" w:right="1440" w:bottom="1440" w:gutter="0" w:footer="0" w:header="0"/>
          <w:type w:val="continuous"/>
        </w:sectPr>
      </w:pPr>
    </w:p>
    <w:p>
      <w:pPr>
        <w:ind w:left="3080"/>
        <w:spacing w:after="0"/>
        <w:rPr>
          <w:sz w:val="20"/>
          <w:szCs w:val="20"/>
          <w:color w:val="auto"/>
        </w:rPr>
      </w:pPr>
      <w:r>
        <w:rPr>
          <w:rFonts w:ascii="Arial" w:cs="Arial" w:eastAsia="Arial" w:hAnsi="Arial"/>
          <w:sz w:val="16"/>
          <w:szCs w:val="16"/>
          <w:b w:val="1"/>
          <w:bCs w:val="1"/>
          <w:color w:val="auto"/>
        </w:rPr>
        <w:t>KPMG</w:t>
      </w:r>
    </w:p>
    <w:p>
      <w:pPr>
        <w:spacing w:after="0" w:line="61" w:lineRule="exact"/>
        <w:rPr>
          <w:sz w:val="20"/>
          <w:szCs w:val="20"/>
          <w:color w:val="auto"/>
        </w:rPr>
      </w:pPr>
    </w:p>
    <w:p>
      <w:pPr>
        <w:jc w:val="right"/>
        <w:ind w:right="4699"/>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Accountant (1973 to 1982)</w:t>
      </w:r>
    </w:p>
    <w:p>
      <w:pPr>
        <w:spacing w:after="0" w:line="311"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-4445</wp:posOffset>
            </wp:positionV>
            <wp:extent cx="56235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8"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920" w:type="dxa"/>
            <w:vAlign w:val="bottom"/>
          </w:tcPr>
          <w:p>
            <w:pPr>
              <w:spacing w:after="0"/>
              <w:rPr>
                <w:sz w:val="20"/>
                <w:szCs w:val="20"/>
                <w:color w:val="auto"/>
              </w:rPr>
            </w:pPr>
            <w:r>
              <w:rPr>
                <w:rFonts w:ascii="Arial" w:cs="Arial" w:eastAsia="Arial" w:hAnsi="Arial"/>
                <w:sz w:val="16"/>
                <w:szCs w:val="16"/>
                <w:color w:val="auto"/>
              </w:rPr>
              <w:t>​</w:t>
            </w:r>
          </w:p>
        </w:tc>
        <w:tc>
          <w:tcPr>
            <w:tcW w:w="3560" w:type="dxa"/>
            <w:vAlign w:val="bottom"/>
          </w:tcPr>
          <w:p>
            <w:pPr>
              <w:ind w:left="860"/>
              <w:spacing w:after="0"/>
              <w:rPr>
                <w:sz w:val="20"/>
                <w:szCs w:val="20"/>
                <w:color w:val="auto"/>
              </w:rPr>
            </w:pPr>
            <w:r>
              <w:rPr>
                <w:rFonts w:ascii="Arial" w:cs="Arial" w:eastAsia="Arial" w:hAnsi="Arial"/>
                <w:sz w:val="16"/>
                <w:szCs w:val="16"/>
                <w:color w:val="auto"/>
              </w:rPr>
              <w:t>​</w:t>
            </w:r>
          </w:p>
        </w:tc>
        <w:tc>
          <w:tcPr>
            <w:tcW w:w="4100" w:type="dxa"/>
            <w:vAlign w:val="bottom"/>
            <w:vMerge w:val="restart"/>
          </w:tcPr>
          <w:p>
            <w:pPr>
              <w:ind w:left="2680"/>
              <w:spacing w:after="0"/>
              <w:rPr>
                <w:sz w:val="20"/>
                <w:szCs w:val="20"/>
                <w:color w:val="auto"/>
              </w:rPr>
            </w:pPr>
            <w:r>
              <w:rPr>
                <w:rFonts w:ascii="Arial" w:cs="Arial" w:eastAsia="Arial" w:hAnsi="Arial"/>
                <w:sz w:val="15"/>
                <w:szCs w:val="15"/>
                <w:b w:val="1"/>
                <w:bCs w:val="1"/>
                <w:color w:val="FEFEFE"/>
              </w:rPr>
              <w:t>Lead Independent</w:t>
            </w:r>
          </w:p>
        </w:tc>
        <w:tc>
          <w:tcPr>
            <w:tcW w:w="0" w:type="dxa"/>
            <w:vAlign w:val="bottom"/>
          </w:tcPr>
          <w:p>
            <w:pPr>
              <w:spacing w:after="0"/>
              <w:rPr>
                <w:sz w:val="1"/>
                <w:szCs w:val="1"/>
                <w:color w:val="auto"/>
              </w:rPr>
            </w:pPr>
          </w:p>
        </w:tc>
      </w:tr>
      <w:tr>
        <w:trPr>
          <w:trHeight w:val="85"/>
        </w:trPr>
        <w:tc>
          <w:tcPr>
            <w:tcW w:w="920" w:type="dxa"/>
            <w:vAlign w:val="bottom"/>
          </w:tcPr>
          <w:p>
            <w:pPr>
              <w:spacing w:after="0"/>
              <w:rPr>
                <w:sz w:val="7"/>
                <w:szCs w:val="7"/>
                <w:color w:val="auto"/>
              </w:rPr>
            </w:pPr>
          </w:p>
        </w:tc>
        <w:tc>
          <w:tcPr>
            <w:tcW w:w="3560" w:type="dxa"/>
            <w:vAlign w:val="bottom"/>
          </w:tcPr>
          <w:p>
            <w:pPr>
              <w:spacing w:after="0"/>
              <w:rPr>
                <w:sz w:val="7"/>
                <w:szCs w:val="7"/>
                <w:color w:val="auto"/>
              </w:rPr>
            </w:pPr>
          </w:p>
        </w:tc>
        <w:tc>
          <w:tcPr>
            <w:tcW w:w="4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-180975</wp:posOffset>
            </wp:positionV>
            <wp:extent cx="5546090" cy="10883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46090" cy="1088390"/>
                    </a:xfrm>
                    <a:prstGeom prst="rect">
                      <a:avLst/>
                    </a:prstGeom>
                    <a:noFill/>
                  </pic:spPr>
                </pic:pic>
              </a:graphicData>
            </a:graphic>
          </wp:anchor>
        </w:drawing>
      </w:r>
    </w:p>
    <w:tbl>
      <w:tblPr>
        <w:tblLayout w:type="fixed"/>
        <w:tblInd w:w="2980" w:type="dxa"/>
        <w:tblCellMar>
          <w:top w:w="0" w:type="dxa"/>
          <w:left w:w="0" w:type="dxa"/>
          <w:bottom w:w="0" w:type="dxa"/>
          <w:right w:w="0" w:type="dxa"/>
        </w:tblCellMar>
      </w:tblPr>
      <w:tr>
        <w:trPr>
          <w:trHeight w:val="268"/>
        </w:trPr>
        <w:tc>
          <w:tcPr>
            <w:tcW w:w="3380" w:type="dxa"/>
            <w:vAlign w:val="bottom"/>
          </w:tcPr>
          <w:p>
            <w:pPr>
              <w:spacing w:after="0" w:line="268" w:lineRule="exact"/>
              <w:rPr>
                <w:sz w:val="20"/>
                <w:szCs w:val="20"/>
                <w:color w:val="auto"/>
              </w:rPr>
            </w:pPr>
            <w:r>
              <w:rPr>
                <w:rFonts w:ascii="Arial" w:cs="Arial" w:eastAsia="Arial" w:hAnsi="Arial"/>
                <w:sz w:val="15"/>
                <w:szCs w:val="15"/>
                <w:b w:val="1"/>
                <w:bCs w:val="1"/>
                <w:color w:val="FEFEFE"/>
              </w:rPr>
              <w:t xml:space="preserve">​  </w:t>
            </w:r>
            <w:r>
              <w:rPr>
                <w:rFonts w:ascii="Arial" w:cs="Arial" w:eastAsia="Arial" w:hAnsi="Arial"/>
                <w:sz w:val="25"/>
                <w:szCs w:val="25"/>
                <w:b w:val="1"/>
                <w:bCs w:val="1"/>
                <w:color w:val="FEFEFE"/>
              </w:rPr>
              <w:t>BRUNS H. GRAYSON</w:t>
            </w:r>
            <w:r>
              <w:rPr>
                <w:rFonts w:ascii="Arial" w:cs="Arial" w:eastAsia="Arial" w:hAnsi="Arial"/>
                <w:sz w:val="15"/>
                <w:szCs w:val="15"/>
                <w:b w:val="1"/>
                <w:bCs w:val="1"/>
                <w:color w:val="FEFEFE"/>
              </w:rPr>
              <w:t>​</w:t>
            </w:r>
          </w:p>
        </w:tc>
        <w:tc>
          <w:tcPr>
            <w:tcW w:w="1240" w:type="dxa"/>
            <w:vAlign w:val="bottom"/>
          </w:tcPr>
          <w:p>
            <w:pPr>
              <w:ind w:left="360"/>
              <w:spacing w:after="0"/>
              <w:rPr>
                <w:sz w:val="20"/>
                <w:szCs w:val="20"/>
                <w:color w:val="auto"/>
              </w:rPr>
            </w:pPr>
            <w:r>
              <w:rPr>
                <w:rFonts w:ascii="Arial" w:cs="Arial" w:eastAsia="Arial" w:hAnsi="Arial"/>
                <w:sz w:val="15"/>
                <w:szCs w:val="15"/>
                <w:b w:val="1"/>
                <w:bCs w:val="1"/>
                <w:color w:val="FEFEFE"/>
              </w:rPr>
              <w:t>​</w:t>
            </w:r>
          </w:p>
        </w:tc>
        <w:tc>
          <w:tcPr>
            <w:tcW w:w="1960" w:type="dxa"/>
            <w:vAlign w:val="bottom"/>
          </w:tcPr>
          <w:p>
            <w:pPr>
              <w:jc w:val="right"/>
              <w:spacing w:after="0"/>
              <w:rPr>
                <w:sz w:val="20"/>
                <w:szCs w:val="20"/>
                <w:color w:val="auto"/>
              </w:rPr>
            </w:pPr>
            <w:r>
              <w:rPr>
                <w:rFonts w:ascii="Arial" w:cs="Arial" w:eastAsia="Arial" w:hAnsi="Arial"/>
                <w:sz w:val="15"/>
                <w:szCs w:val="15"/>
                <w:b w:val="1"/>
                <w:bCs w:val="1"/>
                <w:color w:val="FEFEFE"/>
              </w:rPr>
              <w:t>Director</w:t>
            </w:r>
          </w:p>
        </w:tc>
        <w:tc>
          <w:tcPr>
            <w:tcW w:w="40" w:type="dxa"/>
            <w:vAlign w:val="bottom"/>
          </w:tcPr>
          <w:p>
            <w:pPr>
              <w:jc w:val="right"/>
              <w:spacing w:after="0"/>
              <w:rPr>
                <w:sz w:val="20"/>
                <w:szCs w:val="20"/>
                <w:color w:val="auto"/>
              </w:rPr>
            </w:pPr>
            <w:r>
              <w:rPr>
                <w:rFonts w:ascii="Arial" w:cs="Arial" w:eastAsia="Arial" w:hAnsi="Arial"/>
                <w:sz w:val="15"/>
                <w:szCs w:val="15"/>
                <w:b w:val="1"/>
                <w:bCs w:val="1"/>
                <w:color w:val="FEFEFE"/>
              </w:rPr>
              <w:t>​</w:t>
            </w:r>
          </w:p>
        </w:tc>
      </w:tr>
      <w:tr>
        <w:trPr>
          <w:trHeight w:val="143"/>
        </w:trPr>
        <w:tc>
          <w:tcPr>
            <w:tcW w:w="3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60" w:type="dxa"/>
            <w:vAlign w:val="bottom"/>
          </w:tcPr>
          <w:p>
            <w:pPr>
              <w:jc w:val="right"/>
              <w:spacing w:after="0" w:line="143" w:lineRule="exact"/>
              <w:rPr>
                <w:sz w:val="20"/>
                <w:szCs w:val="20"/>
                <w:color w:val="auto"/>
              </w:rPr>
            </w:pPr>
            <w:r>
              <w:rPr>
                <w:rFonts w:ascii="Arial" w:cs="Arial" w:eastAsia="Arial" w:hAnsi="Arial"/>
                <w:sz w:val="15"/>
                <w:szCs w:val="15"/>
                <w:b w:val="1"/>
                <w:bCs w:val="1"/>
                <w:color w:val="FEFEFE"/>
              </w:rPr>
              <w:t>Director since</w:t>
            </w:r>
          </w:p>
        </w:tc>
        <w:tc>
          <w:tcPr>
            <w:tcW w:w="40" w:type="dxa"/>
            <w:vAlign w:val="bottom"/>
          </w:tcPr>
          <w:p>
            <w:pPr>
              <w:spacing w:after="0"/>
              <w:rPr>
                <w:sz w:val="12"/>
                <w:szCs w:val="12"/>
                <w:color w:val="auto"/>
              </w:rPr>
            </w:pPr>
          </w:p>
        </w:tc>
      </w:tr>
      <w:tr>
        <w:trPr>
          <w:trHeight w:val="210"/>
        </w:trPr>
        <w:tc>
          <w:tcPr>
            <w:tcW w:w="3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5"/>
                <w:szCs w:val="15"/>
                <w:b w:val="1"/>
                <w:bCs w:val="1"/>
                <w:color w:val="FEFEFE"/>
              </w:rPr>
              <w:t>March 2020</w:t>
            </w:r>
          </w:p>
        </w:tc>
        <w:tc>
          <w:tcPr>
            <w:tcW w:w="40" w:type="dxa"/>
            <w:vAlign w:val="bottom"/>
          </w:tcPr>
          <w:p>
            <w:pPr>
              <w:spacing w:after="0"/>
              <w:rPr>
                <w:sz w:val="18"/>
                <w:szCs w:val="18"/>
                <w:color w:val="auto"/>
              </w:rPr>
            </w:pPr>
          </w:p>
        </w:tc>
      </w:tr>
    </w:tbl>
    <w:p>
      <w:pPr>
        <w:spacing w:after="0" w:line="19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78</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tabs>
          <w:tab w:leader="none" w:pos="1200" w:val="left"/>
        </w:tabs>
        <w:numPr>
          <w:ilvl w:val="0"/>
          <w:numId w:val="15"/>
        </w:numPr>
        <w:rPr>
          <w:rFonts w:ascii="Arial" w:cs="Arial" w:eastAsia="Arial" w:hAnsi="Arial"/>
          <w:sz w:val="16"/>
          <w:szCs w:val="16"/>
          <w:color w:val="62259D"/>
        </w:rPr>
      </w:pPr>
      <w:r>
        <w:rPr>
          <w:rFonts w:ascii="Arial" w:cs="Arial" w:eastAsia="Arial" w:hAnsi="Arial"/>
          <w:sz w:val="16"/>
          <w:szCs w:val="16"/>
          <w:color w:val="auto"/>
        </w:rPr>
        <w:t>Compensation</w:t>
      </w:r>
    </w:p>
    <w:p>
      <w:pPr>
        <w:spacing w:after="0" w:line="59" w:lineRule="exact"/>
        <w:rPr>
          <w:rFonts w:ascii="Arial" w:cs="Arial" w:eastAsia="Arial" w:hAnsi="Arial"/>
          <w:sz w:val="16"/>
          <w:szCs w:val="16"/>
          <w:color w:val="62259D"/>
        </w:rPr>
      </w:pPr>
    </w:p>
    <w:p>
      <w:pPr>
        <w:ind w:left="1200" w:hanging="168"/>
        <w:spacing w:after="0" w:line="248" w:lineRule="auto"/>
        <w:tabs>
          <w:tab w:leader="none" w:pos="1200" w:val="left"/>
        </w:tabs>
        <w:numPr>
          <w:ilvl w:val="0"/>
          <w:numId w:val="15"/>
        </w:numPr>
        <w:rPr>
          <w:rFonts w:ascii="Arial" w:cs="Arial" w:eastAsia="Arial" w:hAnsi="Arial"/>
          <w:sz w:val="16"/>
          <w:szCs w:val="16"/>
          <w:color w:val="62259D"/>
        </w:rPr>
      </w:pPr>
      <w:r>
        <w:rPr>
          <w:rFonts w:ascii="Arial" w:cs="Arial" w:eastAsia="Arial" w:hAnsi="Arial"/>
          <w:sz w:val="16"/>
          <w:szCs w:val="16"/>
          <w:color w:val="auto"/>
        </w:rPr>
        <w:t>Nominating, Sustainability and Corporate Governance (Chair)</w:t>
      </w:r>
    </w:p>
    <w:p>
      <w:pPr>
        <w:spacing w:after="0" w:line="20" w:lineRule="exact"/>
        <w:rPr>
          <w:sz w:val="20"/>
          <w:szCs w:val="20"/>
          <w:color w:val="auto"/>
        </w:rPr>
      </w:pPr>
      <w:r>
        <w:rPr>
          <w:sz w:val="20"/>
          <w:szCs w:val="20"/>
          <w:color w:val="auto"/>
        </w:rPr>
        <w:br w:type="column"/>
      </w:r>
    </w:p>
    <w:p>
      <w:pPr>
        <w:spacing w:after="0"/>
        <w:tabs>
          <w:tab w:leader="none" w:pos="328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62259D"/>
        </w:rPr>
        <w:t>BACKGROUND</w:t>
      </w:r>
      <w:r>
        <w:rPr>
          <w:sz w:val="20"/>
          <w:szCs w:val="20"/>
          <w:color w:val="auto"/>
        </w:rPr>
        <w:tab/>
      </w:r>
      <w:r>
        <w:rPr>
          <w:rFonts w:ascii="Arial" w:cs="Arial" w:eastAsia="Arial" w:hAnsi="Arial"/>
          <w:sz w:val="16"/>
          <w:szCs w:val="16"/>
          <w:color w:val="auto"/>
        </w:rPr>
        <w:t>​ ​</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ABS Ventures</w:t>
      </w:r>
      <w:r>
        <w:rPr>
          <w:rFonts w:ascii="Arial" w:cs="Arial" w:eastAsia="Arial" w:hAnsi="Arial"/>
          <w:sz w:val="16"/>
          <w:szCs w:val="16"/>
          <w:color w:val="auto"/>
        </w:rPr>
        <w:t>, a venture capital firm</w:t>
      </w:r>
    </w:p>
    <w:p>
      <w:pPr>
        <w:spacing w:after="0" w:line="61" w:lineRule="exact"/>
        <w:rPr>
          <w:sz w:val="20"/>
          <w:szCs w:val="20"/>
          <w:color w:val="auto"/>
        </w:rPr>
      </w:pPr>
    </w:p>
    <w:p>
      <w:pPr>
        <w:ind w:left="260" w:hanging="156"/>
        <w:spacing w:after="0"/>
        <w:tabs>
          <w:tab w:leader="none" w:pos="260" w:val="left"/>
        </w:tabs>
        <w:numPr>
          <w:ilvl w:val="0"/>
          <w:numId w:val="16"/>
        </w:numPr>
        <w:rPr>
          <w:rFonts w:ascii="Arial" w:cs="Arial" w:eastAsia="Arial" w:hAnsi="Arial"/>
          <w:sz w:val="16"/>
          <w:szCs w:val="16"/>
          <w:color w:val="62259D"/>
        </w:rPr>
      </w:pPr>
      <w:r>
        <w:rPr>
          <w:rFonts w:ascii="Arial" w:cs="Arial" w:eastAsia="Arial" w:hAnsi="Arial"/>
          <w:sz w:val="16"/>
          <w:szCs w:val="16"/>
          <w:color w:val="auto"/>
        </w:rPr>
        <w:t>Managing Partner (1983 to present)</w:t>
      </w:r>
    </w:p>
    <w:p>
      <w:pPr>
        <w:spacing w:after="0" w:line="30" w:lineRule="exact"/>
        <w:rPr>
          <w:rFonts w:ascii="Arial" w:cs="Arial" w:eastAsia="Arial" w:hAnsi="Arial"/>
          <w:sz w:val="16"/>
          <w:szCs w:val="16"/>
          <w:color w:val="62259D"/>
        </w:rPr>
      </w:pPr>
    </w:p>
    <w:p>
      <w:pPr>
        <w:ind w:left="100"/>
        <w:spacing w:after="0"/>
        <w:rPr>
          <w:rFonts w:ascii="Arial" w:cs="Arial" w:eastAsia="Arial" w:hAnsi="Arial"/>
          <w:sz w:val="16"/>
          <w:szCs w:val="16"/>
          <w:color w:val="62259D"/>
        </w:rPr>
      </w:pPr>
      <w:r>
        <w:rPr>
          <w:rFonts w:ascii="Arial" w:cs="Arial" w:eastAsia="Arial" w:hAnsi="Arial"/>
          <w:sz w:val="16"/>
          <w:szCs w:val="16"/>
          <w:b w:val="1"/>
          <w:bCs w:val="1"/>
          <w:color w:val="auto"/>
        </w:rPr>
        <w:t>Adler &amp; Co.</w:t>
      </w:r>
    </w:p>
    <w:p>
      <w:pPr>
        <w:spacing w:after="0" w:line="61" w:lineRule="exact"/>
        <w:rPr>
          <w:rFonts w:ascii="Arial" w:cs="Arial" w:eastAsia="Arial" w:hAnsi="Arial"/>
          <w:sz w:val="16"/>
          <w:szCs w:val="16"/>
          <w:color w:val="62259D"/>
        </w:rPr>
      </w:pPr>
    </w:p>
    <w:p>
      <w:pPr>
        <w:ind w:left="260" w:hanging="156"/>
        <w:spacing w:after="0"/>
        <w:tabs>
          <w:tab w:leader="none" w:pos="260" w:val="left"/>
        </w:tabs>
        <w:numPr>
          <w:ilvl w:val="0"/>
          <w:numId w:val="16"/>
        </w:numPr>
        <w:rPr>
          <w:rFonts w:ascii="Arial" w:cs="Arial" w:eastAsia="Arial" w:hAnsi="Arial"/>
          <w:sz w:val="16"/>
          <w:szCs w:val="16"/>
          <w:color w:val="62259D"/>
        </w:rPr>
      </w:pPr>
      <w:r>
        <w:rPr>
          <w:rFonts w:ascii="Arial" w:cs="Arial" w:eastAsia="Arial" w:hAnsi="Arial"/>
          <w:sz w:val="16"/>
          <w:szCs w:val="16"/>
          <w:color w:val="auto"/>
        </w:rPr>
        <w:t>Venture Capitalist (1980 to 1983)</w:t>
      </w:r>
    </w:p>
    <w:p>
      <w:pPr>
        <w:spacing w:after="0" w:line="44" w:lineRule="exact"/>
        <w:rPr>
          <w:sz w:val="20"/>
          <w:szCs w:val="20"/>
          <w:color w:val="auto"/>
        </w:rPr>
      </w:pPr>
    </w:p>
    <w:p>
      <w:pPr>
        <w:ind w:left="100" w:right="840"/>
        <w:spacing w:after="0" w:line="261" w:lineRule="auto"/>
        <w:rPr>
          <w:sz w:val="20"/>
          <w:szCs w:val="20"/>
          <w:color w:val="auto"/>
        </w:rPr>
      </w:pPr>
      <w:r>
        <w:rPr>
          <w:rFonts w:ascii="Arial" w:cs="Arial" w:eastAsia="Arial" w:hAnsi="Arial"/>
          <w:sz w:val="16"/>
          <w:szCs w:val="16"/>
          <w:b w:val="1"/>
          <w:bCs w:val="1"/>
          <w:color w:val="auto"/>
        </w:rPr>
        <w:t>McKinsey &amp; Co.</w:t>
      </w:r>
      <w:r>
        <w:rPr>
          <w:rFonts w:ascii="Arial" w:cs="Arial" w:eastAsia="Arial" w:hAnsi="Arial"/>
          <w:sz w:val="16"/>
          <w:szCs w:val="16"/>
          <w:color w:val="auto"/>
        </w:rPr>
        <w:t>, a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consulting firm</w:t>
      </w:r>
    </w:p>
    <w:p>
      <w:pPr>
        <w:spacing w:after="0" w:line="34" w:lineRule="exact"/>
        <w:rPr>
          <w:sz w:val="20"/>
          <w:szCs w:val="20"/>
          <w:color w:val="auto"/>
        </w:rPr>
      </w:pPr>
    </w:p>
    <w:p>
      <w:pPr>
        <w:ind w:left="260" w:hanging="156"/>
        <w:spacing w:after="0"/>
        <w:tabs>
          <w:tab w:leader="none" w:pos="260" w:val="left"/>
        </w:tabs>
        <w:numPr>
          <w:ilvl w:val="0"/>
          <w:numId w:val="17"/>
        </w:numPr>
        <w:rPr>
          <w:rFonts w:ascii="Arial" w:cs="Arial" w:eastAsia="Arial" w:hAnsi="Arial"/>
          <w:sz w:val="16"/>
          <w:szCs w:val="16"/>
          <w:color w:val="62259D"/>
        </w:rPr>
      </w:pPr>
      <w:r>
        <w:rPr>
          <w:rFonts w:ascii="Arial" w:cs="Arial" w:eastAsia="Arial" w:hAnsi="Arial"/>
          <w:sz w:val="16"/>
          <w:szCs w:val="16"/>
          <w:color w:val="auto"/>
        </w:rPr>
        <w:t>Associate (1978 to 1980)</w:t>
      </w:r>
    </w:p>
    <w:p>
      <w:pPr>
        <w:spacing w:after="0" w:line="43" w:lineRule="exact"/>
        <w:rPr>
          <w:rFonts w:ascii="Arial" w:cs="Arial" w:eastAsia="Arial" w:hAnsi="Arial"/>
          <w:sz w:val="16"/>
          <w:szCs w:val="16"/>
          <w:color w:val="62259D"/>
        </w:rPr>
      </w:pPr>
    </w:p>
    <w:p>
      <w:pPr>
        <w:ind w:left="100"/>
        <w:spacing w:after="0"/>
        <w:rPr>
          <w:rFonts w:ascii="Arial" w:cs="Arial" w:eastAsia="Arial" w:hAnsi="Arial"/>
          <w:sz w:val="16"/>
          <w:szCs w:val="16"/>
          <w:color w:val="62259D"/>
        </w:rPr>
      </w:pPr>
      <w:r>
        <w:rPr>
          <w:rFonts w:ascii="Arial" w:cs="Arial" w:eastAsia="Arial" w:hAnsi="Arial"/>
          <w:sz w:val="16"/>
          <w:szCs w:val="16"/>
          <w:b w:val="1"/>
          <w:bCs w:val="1"/>
          <w:color w:val="auto"/>
        </w:rPr>
        <w:t>U.S. Army</w:t>
      </w:r>
    </w:p>
    <w:p>
      <w:pPr>
        <w:spacing w:after="0" w:line="61" w:lineRule="exact"/>
        <w:rPr>
          <w:rFonts w:ascii="Arial" w:cs="Arial" w:eastAsia="Arial" w:hAnsi="Arial"/>
          <w:sz w:val="16"/>
          <w:szCs w:val="16"/>
          <w:color w:val="62259D"/>
        </w:rPr>
      </w:pPr>
    </w:p>
    <w:p>
      <w:pPr>
        <w:ind w:left="260" w:hanging="156"/>
        <w:spacing w:after="0"/>
        <w:tabs>
          <w:tab w:leader="none" w:pos="260" w:val="left"/>
        </w:tabs>
        <w:numPr>
          <w:ilvl w:val="0"/>
          <w:numId w:val="17"/>
        </w:numPr>
        <w:rPr>
          <w:rFonts w:ascii="Arial" w:cs="Arial" w:eastAsia="Arial" w:hAnsi="Arial"/>
          <w:sz w:val="16"/>
          <w:szCs w:val="16"/>
          <w:color w:val="62259D"/>
        </w:rPr>
      </w:pPr>
      <w:r>
        <w:rPr>
          <w:rFonts w:ascii="Arial" w:cs="Arial" w:eastAsia="Arial" w:hAnsi="Arial"/>
          <w:sz w:val="16"/>
          <w:szCs w:val="16"/>
          <w:color w:val="auto"/>
        </w:rPr>
        <w:t>Captain (1970)</w:t>
      </w:r>
    </w:p>
    <w:p>
      <w:pPr>
        <w:spacing w:after="0" w:line="8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62259D"/>
        </w:rPr>
        <w:t>BOARD SERVICE</w:t>
      </w:r>
    </w:p>
    <w:p>
      <w:pPr>
        <w:spacing w:after="0" w:line="61" w:lineRule="exact"/>
        <w:rPr>
          <w:sz w:val="20"/>
          <w:szCs w:val="20"/>
          <w:color w:val="auto"/>
        </w:rPr>
      </w:pPr>
    </w:p>
    <w:p>
      <w:pPr>
        <w:ind w:left="260" w:right="160" w:hanging="156"/>
        <w:spacing w:after="0" w:line="259" w:lineRule="auto"/>
        <w:tabs>
          <w:tab w:leader="none" w:pos="260" w:val="left"/>
        </w:tabs>
        <w:numPr>
          <w:ilvl w:val="0"/>
          <w:numId w:val="18"/>
        </w:numPr>
        <w:rPr>
          <w:rFonts w:ascii="Arial" w:cs="Arial" w:eastAsia="Arial" w:hAnsi="Arial"/>
          <w:sz w:val="16"/>
          <w:szCs w:val="16"/>
          <w:color w:val="62259D"/>
        </w:rPr>
      </w:pPr>
      <w:r>
        <w:rPr>
          <w:rFonts w:ascii="Arial" w:cs="Arial" w:eastAsia="Arial" w:hAnsi="Arial"/>
          <w:sz w:val="16"/>
          <w:szCs w:val="16"/>
          <w:color w:val="auto"/>
        </w:rPr>
        <w:t>Served as a director for many private and public companies over the last 30 years</w:t>
      </w:r>
    </w:p>
    <w:p>
      <w:pPr>
        <w:spacing w:after="0" w:line="20" w:lineRule="exact"/>
        <w:rPr>
          <w:sz w:val="20"/>
          <w:szCs w:val="20"/>
          <w:color w:val="auto"/>
        </w:rPr>
      </w:pPr>
      <w:r>
        <w:rPr>
          <w:sz w:val="20"/>
          <w:szCs w:val="20"/>
          <w:color w:val="auto"/>
        </w:rPr>
        <w:br w:type="column"/>
      </w:r>
    </w:p>
    <w:p>
      <w:pPr>
        <w:spacing w:after="0"/>
        <w:tabs>
          <w:tab w:leader="none" w:pos="3180" w:val="left"/>
        </w:tabs>
        <w:rPr>
          <w:sz w:val="20"/>
          <w:szCs w:val="20"/>
          <w:color w:val="auto"/>
        </w:rPr>
      </w:pPr>
      <w:r>
        <w:rPr>
          <w:rFonts w:ascii="Arial" w:cs="Arial" w:eastAsia="Arial" w:hAnsi="Arial"/>
          <w:sz w:val="16"/>
          <w:szCs w:val="16"/>
          <w:b w:val="1"/>
          <w:bCs w:val="1"/>
          <w:color w:val="62259D"/>
        </w:rPr>
        <w:t>EDUCATION</w:t>
      </w:r>
      <w:r>
        <w:rPr>
          <w:sz w:val="20"/>
          <w:szCs w:val="20"/>
          <w:color w:val="auto"/>
        </w:rPr>
        <w:tab/>
      </w:r>
      <w:r>
        <w:rPr>
          <w:rFonts w:ascii="Arial" w:cs="Arial" w:eastAsia="Arial" w:hAnsi="Arial"/>
          <w:sz w:val="16"/>
          <w:szCs w:val="16"/>
          <w:color w:val="auto"/>
        </w:rPr>
        <w:t>​</w:t>
      </w:r>
    </w:p>
    <w:p>
      <w:pPr>
        <w:spacing w:after="0" w:line="61" w:lineRule="exact"/>
        <w:rPr>
          <w:sz w:val="20"/>
          <w:szCs w:val="20"/>
          <w:color w:val="auto"/>
        </w:rPr>
      </w:pPr>
    </w:p>
    <w:p>
      <w:pPr>
        <w:ind w:left="160" w:right="219" w:hanging="154"/>
        <w:spacing w:after="0" w:line="259" w:lineRule="auto"/>
        <w:tabs>
          <w:tab w:leader="none" w:pos="160" w:val="left"/>
        </w:tabs>
        <w:numPr>
          <w:ilvl w:val="0"/>
          <w:numId w:val="19"/>
        </w:numPr>
        <w:rPr>
          <w:rFonts w:ascii="Arial" w:cs="Arial" w:eastAsia="Arial" w:hAnsi="Arial"/>
          <w:sz w:val="16"/>
          <w:szCs w:val="16"/>
          <w:color w:val="62259D"/>
        </w:rPr>
      </w:pPr>
      <w:r>
        <w:rPr>
          <w:rFonts w:ascii="Arial" w:cs="Arial" w:eastAsia="Arial" w:hAnsi="Arial"/>
          <w:sz w:val="16"/>
          <w:szCs w:val="16"/>
          <w:color w:val="auto"/>
        </w:rPr>
        <w:t>Elected a Rhodes Scholar from California (1974)</w:t>
      </w:r>
    </w:p>
    <w:p>
      <w:pPr>
        <w:spacing w:after="0" w:line="34" w:lineRule="exact"/>
        <w:rPr>
          <w:rFonts w:ascii="Arial" w:cs="Arial" w:eastAsia="Arial" w:hAnsi="Arial"/>
          <w:sz w:val="16"/>
          <w:szCs w:val="16"/>
          <w:color w:val="62259D"/>
        </w:rPr>
      </w:pPr>
    </w:p>
    <w:p>
      <w:pPr>
        <w:ind w:left="160" w:hanging="154"/>
        <w:spacing w:after="0"/>
        <w:tabs>
          <w:tab w:leader="none" w:pos="160" w:val="left"/>
        </w:tabs>
        <w:numPr>
          <w:ilvl w:val="0"/>
          <w:numId w:val="19"/>
        </w:numPr>
        <w:rPr>
          <w:rFonts w:ascii="Arial" w:cs="Arial" w:eastAsia="Arial" w:hAnsi="Arial"/>
          <w:sz w:val="16"/>
          <w:szCs w:val="16"/>
          <w:color w:val="62259D"/>
        </w:rPr>
      </w:pPr>
      <w:r>
        <w:rPr>
          <w:rFonts w:ascii="Arial" w:cs="Arial" w:eastAsia="Arial" w:hAnsi="Arial"/>
          <w:sz w:val="16"/>
          <w:szCs w:val="16"/>
          <w:color w:val="auto"/>
        </w:rPr>
        <w:t>J.D., University of Virginia School of Law</w:t>
      </w:r>
    </w:p>
    <w:p>
      <w:pPr>
        <w:spacing w:after="0" w:line="72" w:lineRule="exact"/>
        <w:rPr>
          <w:rFonts w:ascii="Arial" w:cs="Arial" w:eastAsia="Arial" w:hAnsi="Arial"/>
          <w:sz w:val="16"/>
          <w:szCs w:val="16"/>
          <w:color w:val="62259D"/>
        </w:rPr>
      </w:pPr>
    </w:p>
    <w:p>
      <w:pPr>
        <w:ind w:left="160" w:hanging="154"/>
        <w:spacing w:after="0"/>
        <w:tabs>
          <w:tab w:leader="none" w:pos="160" w:val="left"/>
        </w:tabs>
        <w:numPr>
          <w:ilvl w:val="0"/>
          <w:numId w:val="19"/>
        </w:numPr>
        <w:rPr>
          <w:rFonts w:ascii="Arial" w:cs="Arial" w:eastAsia="Arial" w:hAnsi="Arial"/>
          <w:sz w:val="16"/>
          <w:szCs w:val="16"/>
          <w:color w:val="62259D"/>
        </w:rPr>
      </w:pPr>
      <w:r>
        <w:rPr>
          <w:rFonts w:ascii="Arial" w:cs="Arial" w:eastAsia="Arial" w:hAnsi="Arial"/>
          <w:sz w:val="16"/>
          <w:szCs w:val="16"/>
          <w:color w:val="auto"/>
        </w:rPr>
        <w:t>Master’s degree, Oxford University</w:t>
      </w:r>
    </w:p>
    <w:p>
      <w:pPr>
        <w:spacing w:after="0" w:line="59" w:lineRule="exact"/>
        <w:rPr>
          <w:rFonts w:ascii="Arial" w:cs="Arial" w:eastAsia="Arial" w:hAnsi="Arial"/>
          <w:sz w:val="16"/>
          <w:szCs w:val="16"/>
          <w:color w:val="62259D"/>
        </w:rPr>
      </w:pPr>
    </w:p>
    <w:p>
      <w:pPr>
        <w:ind w:left="160" w:hanging="154"/>
        <w:spacing w:after="0"/>
        <w:tabs>
          <w:tab w:leader="none" w:pos="160" w:val="left"/>
        </w:tabs>
        <w:numPr>
          <w:ilvl w:val="0"/>
          <w:numId w:val="19"/>
        </w:numPr>
        <w:rPr>
          <w:rFonts w:ascii="Arial" w:cs="Arial" w:eastAsia="Arial" w:hAnsi="Arial"/>
          <w:sz w:val="16"/>
          <w:szCs w:val="16"/>
          <w:color w:val="62259D"/>
        </w:rPr>
      </w:pPr>
      <w:r>
        <w:rPr>
          <w:rFonts w:ascii="Arial" w:cs="Arial" w:eastAsia="Arial" w:hAnsi="Arial"/>
          <w:sz w:val="16"/>
          <w:szCs w:val="16"/>
          <w:color w:val="auto"/>
        </w:rPr>
        <w:t>B.A., Harvard College</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62259D"/>
        </w:rPr>
        <w:t>SKILLS AND EXPERTISE</w:t>
      </w:r>
    </w:p>
    <w:p>
      <w:pPr>
        <w:spacing w:after="0" w:line="34" w:lineRule="exact"/>
        <w:rPr>
          <w:sz w:val="20"/>
          <w:szCs w:val="20"/>
          <w:color w:val="auto"/>
        </w:rPr>
      </w:pPr>
    </w:p>
    <w:p>
      <w:pPr>
        <w:ind w:right="639"/>
        <w:spacing w:after="0" w:line="238" w:lineRule="auto"/>
        <w:rPr>
          <w:sz w:val="20"/>
          <w:szCs w:val="20"/>
          <w:color w:val="auto"/>
        </w:rPr>
      </w:pPr>
      <w:r>
        <w:rPr>
          <w:rFonts w:ascii="Arial" w:cs="Arial" w:eastAsia="Arial" w:hAnsi="Arial"/>
          <w:sz w:val="16"/>
          <w:szCs w:val="16"/>
          <w:color w:val="auto"/>
        </w:rPr>
        <w:t>We believe Mr. Grayson is qualified to serve on the Board based on his</w:t>
      </w:r>
    </w:p>
    <w:p>
      <w:pPr>
        <w:jc w:val="both"/>
        <w:ind w:right="319"/>
        <w:spacing w:after="0" w:line="220" w:lineRule="auto"/>
        <w:rPr>
          <w:sz w:val="20"/>
          <w:szCs w:val="20"/>
          <w:color w:val="auto"/>
        </w:rPr>
      </w:pPr>
      <w:r>
        <w:rPr>
          <w:rFonts w:ascii="Arial" w:cs="Arial" w:eastAsia="Arial" w:hAnsi="Arial"/>
          <w:sz w:val="16"/>
          <w:szCs w:val="16"/>
          <w:color w:val="auto"/>
        </w:rPr>
        <w:t>knowledge of the data communication and software industries, his investment</w:t>
      </w:r>
    </w:p>
    <w:p>
      <w:pPr>
        <w:jc w:val="both"/>
        <w:ind w:right="319"/>
        <w:spacing w:after="0" w:line="236" w:lineRule="auto"/>
        <w:rPr>
          <w:sz w:val="20"/>
          <w:szCs w:val="20"/>
          <w:color w:val="auto"/>
        </w:rPr>
      </w:pPr>
      <w:r>
        <w:rPr>
          <w:rFonts w:ascii="Arial" w:cs="Arial" w:eastAsia="Arial" w:hAnsi="Arial"/>
          <w:sz w:val="16"/>
          <w:szCs w:val="16"/>
          <w:color w:val="auto"/>
        </w:rPr>
        <w:t>experience as a Managing Partner at ABS Ventures, and his experience as a director of various public companies.</w:t>
      </w:r>
    </w:p>
    <w:p>
      <w:pPr>
        <w:spacing w:after="0" w:line="256" w:lineRule="exact"/>
        <w:rPr>
          <w:sz w:val="20"/>
          <w:szCs w:val="20"/>
          <w:color w:val="auto"/>
        </w:rPr>
      </w:pPr>
    </w:p>
    <w:p>
      <w:pPr>
        <w:sectPr>
          <w:pgSz w:w="11900" w:h="16838" w:orient="portrait"/>
          <w:cols w:equalWidth="0" w:num="3">
            <w:col w:w="2660" w:space="320"/>
            <w:col w:w="3440" w:space="60"/>
            <w:col w:w="3399"/>
          </w:cols>
          <w:pgMar w:left="580" w:top="97" w:right="1440" w:bottom="1440" w:gutter="0" w:footer="0" w:header="0"/>
          <w:type w:val="continuous"/>
        </w:sectPr>
      </w:pPr>
    </w:p>
    <w:p>
      <w:pPr>
        <w:spacing w:after="0" w:line="20"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-4445</wp:posOffset>
            </wp:positionV>
            <wp:extent cx="56235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18" w:lineRule="exact"/>
        <w:rPr>
          <w:sz w:val="20"/>
          <w:szCs w:val="20"/>
          <w:color w:val="auto"/>
        </w:rPr>
      </w:pPr>
    </w:p>
    <w:p>
      <w:pPr>
        <w:ind w:left="980"/>
        <w:spacing w:after="0"/>
        <w:tabs>
          <w:tab w:leader="none" w:pos="27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-107315</wp:posOffset>
            </wp:positionV>
            <wp:extent cx="1088390" cy="10883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8"/>
        </w:trPr>
        <w:tc>
          <w:tcPr>
            <w:tcW w:w="3360" w:type="dxa"/>
            <w:vAlign w:val="bottom"/>
            <w:vMerge w:val="restart"/>
            <w:shd w:val="clear" w:color="auto" w:fill="E7417A"/>
          </w:tcPr>
          <w:p>
            <w:pPr>
              <w:spacing w:after="0"/>
              <w:rPr>
                <w:sz w:val="20"/>
                <w:szCs w:val="20"/>
                <w:color w:val="auto"/>
              </w:rPr>
            </w:pPr>
            <w:r>
              <w:rPr>
                <w:rFonts w:ascii="Arial" w:cs="Arial" w:eastAsia="Arial" w:hAnsi="Arial"/>
                <w:sz w:val="15"/>
                <w:szCs w:val="15"/>
                <w:b w:val="1"/>
                <w:bCs w:val="1"/>
                <w:color w:val="FEFEFE"/>
              </w:rPr>
              <w:t xml:space="preserve">​  </w:t>
            </w:r>
            <w:r>
              <w:rPr>
                <w:rFonts w:ascii="Arial" w:cs="Arial" w:eastAsia="Arial" w:hAnsi="Arial"/>
                <w:sz w:val="25"/>
                <w:szCs w:val="25"/>
                <w:b w:val="1"/>
                <w:bCs w:val="1"/>
                <w:color w:val="FEFEFE"/>
              </w:rPr>
              <w:t>BEATRIZ V. INFANTE</w:t>
            </w:r>
            <w:r>
              <w:rPr>
                <w:rFonts w:ascii="Arial" w:cs="Arial" w:eastAsia="Arial" w:hAnsi="Arial"/>
                <w:sz w:val="15"/>
                <w:szCs w:val="15"/>
                <w:b w:val="1"/>
                <w:bCs w:val="1"/>
                <w:color w:val="FEFEFE"/>
              </w:rPr>
              <w:t xml:space="preserve"> ​</w:t>
            </w:r>
          </w:p>
        </w:tc>
        <w:tc>
          <w:tcPr>
            <w:tcW w:w="940" w:type="dxa"/>
            <w:vAlign w:val="bottom"/>
            <w:shd w:val="clear" w:color="auto" w:fill="E7417A"/>
          </w:tcPr>
          <w:p>
            <w:pPr>
              <w:spacing w:after="0"/>
              <w:rPr>
                <w:sz w:val="24"/>
                <w:szCs w:val="24"/>
                <w:color w:val="auto"/>
              </w:rPr>
            </w:pPr>
          </w:p>
        </w:tc>
        <w:tc>
          <w:tcPr>
            <w:tcW w:w="2500" w:type="dxa"/>
            <w:vAlign w:val="bottom"/>
            <w:shd w:val="clear" w:color="auto" w:fill="E7417A"/>
          </w:tcPr>
          <w:p>
            <w:pPr>
              <w:ind w:left="540"/>
              <w:spacing w:after="0"/>
              <w:rPr>
                <w:sz w:val="20"/>
                <w:szCs w:val="20"/>
                <w:color w:val="auto"/>
              </w:rPr>
            </w:pPr>
            <w:r>
              <w:rPr>
                <w:rFonts w:ascii="Arial" w:cs="Arial" w:eastAsia="Arial" w:hAnsi="Arial"/>
                <w:sz w:val="15"/>
                <w:szCs w:val="15"/>
                <w:b w:val="1"/>
                <w:bCs w:val="1"/>
                <w:color w:val="FEFEFE"/>
              </w:rPr>
              <w:t>Independent Director</w:t>
            </w:r>
          </w:p>
        </w:tc>
        <w:tc>
          <w:tcPr>
            <w:tcW w:w="0" w:type="dxa"/>
            <w:vAlign w:val="bottom"/>
          </w:tcPr>
          <w:p>
            <w:pPr>
              <w:spacing w:after="0"/>
              <w:rPr>
                <w:sz w:val="1"/>
                <w:szCs w:val="1"/>
                <w:color w:val="auto"/>
              </w:rPr>
            </w:pPr>
          </w:p>
        </w:tc>
      </w:tr>
      <w:tr>
        <w:trPr>
          <w:trHeight w:val="216"/>
        </w:trPr>
        <w:tc>
          <w:tcPr>
            <w:tcW w:w="3360" w:type="dxa"/>
            <w:vAlign w:val="bottom"/>
            <w:vMerge w:val="continue"/>
            <w:shd w:val="clear" w:color="auto" w:fill="E7417A"/>
          </w:tcPr>
          <w:p>
            <w:pPr>
              <w:spacing w:after="0"/>
              <w:rPr>
                <w:sz w:val="18"/>
                <w:szCs w:val="18"/>
                <w:color w:val="auto"/>
              </w:rPr>
            </w:pPr>
          </w:p>
        </w:tc>
        <w:tc>
          <w:tcPr>
            <w:tcW w:w="940" w:type="dxa"/>
            <w:vAlign w:val="bottom"/>
            <w:shd w:val="clear" w:color="auto" w:fill="E7417A"/>
          </w:tcPr>
          <w:p>
            <w:pPr>
              <w:ind w:left="340"/>
              <w:spacing w:after="0"/>
              <w:rPr>
                <w:sz w:val="20"/>
                <w:szCs w:val="20"/>
                <w:color w:val="auto"/>
              </w:rPr>
            </w:pPr>
            <w:r>
              <w:rPr>
                <w:rFonts w:ascii="Arial" w:cs="Arial" w:eastAsia="Arial" w:hAnsi="Arial"/>
                <w:sz w:val="15"/>
                <w:szCs w:val="15"/>
                <w:b w:val="1"/>
                <w:bCs w:val="1"/>
                <w:color w:val="FEFEFE"/>
              </w:rPr>
              <w:t>​</w:t>
            </w:r>
          </w:p>
        </w:tc>
        <w:tc>
          <w:tcPr>
            <w:tcW w:w="2500" w:type="dxa"/>
            <w:vAlign w:val="bottom"/>
            <w:shd w:val="clear" w:color="auto" w:fill="E7417A"/>
          </w:tcPr>
          <w:p>
            <w:pPr>
              <w:jc w:val="center"/>
              <w:ind w:left="904"/>
              <w:spacing w:after="0"/>
              <w:rPr>
                <w:sz w:val="20"/>
                <w:szCs w:val="20"/>
                <w:color w:val="auto"/>
              </w:rPr>
            </w:pPr>
            <w:r>
              <w:rPr>
                <w:rFonts w:ascii="Arial" w:cs="Arial" w:eastAsia="Arial" w:hAnsi="Arial"/>
                <w:sz w:val="15"/>
                <w:szCs w:val="15"/>
                <w:b w:val="1"/>
                <w:bCs w:val="1"/>
                <w:color w:val="FEFEFE"/>
              </w:rPr>
              <w:t>Director since​</w:t>
            </w:r>
          </w:p>
        </w:tc>
        <w:tc>
          <w:tcPr>
            <w:tcW w:w="0" w:type="dxa"/>
            <w:vAlign w:val="bottom"/>
          </w:tcPr>
          <w:p>
            <w:pPr>
              <w:spacing w:after="0"/>
              <w:rPr>
                <w:sz w:val="1"/>
                <w:szCs w:val="1"/>
                <w:color w:val="auto"/>
              </w:rPr>
            </w:pPr>
          </w:p>
        </w:tc>
      </w:tr>
      <w:tr>
        <w:trPr>
          <w:trHeight w:val="210"/>
        </w:trPr>
        <w:tc>
          <w:tcPr>
            <w:tcW w:w="3360" w:type="dxa"/>
            <w:vAlign w:val="bottom"/>
            <w:shd w:val="clear" w:color="auto" w:fill="E7417A"/>
          </w:tcPr>
          <w:p>
            <w:pPr>
              <w:spacing w:after="0"/>
              <w:rPr>
                <w:sz w:val="18"/>
                <w:szCs w:val="18"/>
                <w:color w:val="auto"/>
              </w:rPr>
            </w:pPr>
          </w:p>
        </w:tc>
        <w:tc>
          <w:tcPr>
            <w:tcW w:w="940" w:type="dxa"/>
            <w:vAlign w:val="bottom"/>
            <w:shd w:val="clear" w:color="auto" w:fill="E7417A"/>
          </w:tcPr>
          <w:p>
            <w:pPr>
              <w:spacing w:after="0"/>
              <w:rPr>
                <w:sz w:val="18"/>
                <w:szCs w:val="18"/>
                <w:color w:val="auto"/>
              </w:rPr>
            </w:pPr>
          </w:p>
        </w:tc>
        <w:tc>
          <w:tcPr>
            <w:tcW w:w="2500" w:type="dxa"/>
            <w:vAlign w:val="bottom"/>
            <w:shd w:val="clear" w:color="auto" w:fill="E7417A"/>
          </w:tcPr>
          <w:p>
            <w:pPr>
              <w:jc w:val="center"/>
              <w:ind w:left="924"/>
              <w:spacing w:after="0"/>
              <w:rPr>
                <w:sz w:val="20"/>
                <w:szCs w:val="20"/>
                <w:color w:val="auto"/>
              </w:rPr>
            </w:pPr>
            <w:r>
              <w:rPr>
                <w:rFonts w:ascii="Arial" w:cs="Arial" w:eastAsia="Arial" w:hAnsi="Arial"/>
                <w:sz w:val="15"/>
                <w:szCs w:val="15"/>
                <w:b w:val="1"/>
                <w:bCs w:val="1"/>
                <w:color w:val="FEFEFE"/>
              </w:rPr>
              <w:t>October 2017</w:t>
            </w:r>
          </w:p>
        </w:tc>
        <w:tc>
          <w:tcPr>
            <w:tcW w:w="0" w:type="dxa"/>
            <w:vAlign w:val="bottom"/>
          </w:tcPr>
          <w:p>
            <w:pPr>
              <w:spacing w:after="0"/>
              <w:rPr>
                <w:sz w:val="1"/>
                <w:szCs w:val="1"/>
                <w:color w:val="auto"/>
              </w:rPr>
            </w:pPr>
          </w:p>
        </w:tc>
      </w:tr>
      <w:tr>
        <w:trPr>
          <w:trHeight w:val="66"/>
        </w:trPr>
        <w:tc>
          <w:tcPr>
            <w:tcW w:w="3360" w:type="dxa"/>
            <w:vAlign w:val="bottom"/>
            <w:shd w:val="clear" w:color="auto" w:fill="E7417A"/>
          </w:tcPr>
          <w:p>
            <w:pPr>
              <w:spacing w:after="0"/>
              <w:rPr>
                <w:sz w:val="5"/>
                <w:szCs w:val="5"/>
                <w:color w:val="auto"/>
              </w:rPr>
            </w:pPr>
          </w:p>
        </w:tc>
        <w:tc>
          <w:tcPr>
            <w:tcW w:w="940" w:type="dxa"/>
            <w:vAlign w:val="bottom"/>
            <w:shd w:val="clear" w:color="auto" w:fill="E7417A"/>
          </w:tcPr>
          <w:p>
            <w:pPr>
              <w:spacing w:after="0"/>
              <w:rPr>
                <w:sz w:val="5"/>
                <w:szCs w:val="5"/>
                <w:color w:val="auto"/>
              </w:rPr>
            </w:pPr>
          </w:p>
        </w:tc>
        <w:tc>
          <w:tcPr>
            <w:tcW w:w="2500" w:type="dxa"/>
            <w:vAlign w:val="bottom"/>
            <w:shd w:val="clear" w:color="auto" w:fill="E7417A"/>
          </w:tcPr>
          <w:p>
            <w:pPr>
              <w:spacing w:after="0"/>
              <w:rPr>
                <w:sz w:val="5"/>
                <w:szCs w:val="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ectPr>
          <w:pgSz w:w="11900" w:h="16838" w:orient="portrait"/>
          <w:cols w:equalWidth="0" w:num="2">
            <w:col w:w="2800" w:space="180"/>
            <w:col w:w="68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72</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line="248" w:lineRule="auto"/>
        <w:tabs>
          <w:tab w:leader="none" w:pos="1200" w:val="left"/>
        </w:tabs>
        <w:numPr>
          <w:ilvl w:val="0"/>
          <w:numId w:val="20"/>
        </w:numPr>
        <w:rPr>
          <w:rFonts w:ascii="Arial" w:cs="Arial" w:eastAsia="Arial" w:hAnsi="Arial"/>
          <w:sz w:val="16"/>
          <w:szCs w:val="16"/>
          <w:color w:val="62259D"/>
        </w:rPr>
      </w:pPr>
      <w:r>
        <w:rPr>
          <w:rFonts w:ascii="Arial" w:cs="Arial" w:eastAsia="Arial" w:hAnsi="Arial"/>
          <w:sz w:val="16"/>
          <w:szCs w:val="16"/>
          <w:color w:val="auto"/>
        </w:rPr>
        <w:t>Audit (Audit Committee Financial Expert)</w:t>
      </w:r>
    </w:p>
    <w:p>
      <w:pPr>
        <w:spacing w:after="0" w:line="50" w:lineRule="exact"/>
        <w:rPr>
          <w:rFonts w:ascii="Arial" w:cs="Arial" w:eastAsia="Arial" w:hAnsi="Arial"/>
          <w:sz w:val="16"/>
          <w:szCs w:val="16"/>
          <w:color w:val="62259D"/>
        </w:rPr>
      </w:pPr>
    </w:p>
    <w:p>
      <w:pPr>
        <w:ind w:left="1200" w:right="440" w:hanging="168"/>
        <w:spacing w:after="0" w:line="286" w:lineRule="auto"/>
        <w:tabs>
          <w:tab w:leader="none" w:pos="1200" w:val="left"/>
        </w:tabs>
        <w:numPr>
          <w:ilvl w:val="0"/>
          <w:numId w:val="20"/>
        </w:numPr>
        <w:rPr>
          <w:rFonts w:ascii="Arial" w:cs="Arial" w:eastAsia="Arial" w:hAnsi="Arial"/>
          <w:sz w:val="16"/>
          <w:szCs w:val="16"/>
          <w:color w:val="62259D"/>
        </w:rPr>
      </w:pPr>
      <w:r>
        <w:rPr>
          <w:rFonts w:ascii="Arial" w:cs="Arial" w:eastAsia="Arial" w:hAnsi="Arial"/>
          <w:sz w:val="16"/>
          <w:szCs w:val="16"/>
          <w:color w:val="auto"/>
        </w:rPr>
        <w:t>Compensation (Chair)</w:t>
      </w:r>
    </w:p>
    <w:p>
      <w:pPr>
        <w:spacing w:after="0" w:line="20" w:lineRule="exact"/>
        <w:rPr>
          <w:rFonts w:ascii="Arial" w:cs="Arial" w:eastAsia="Arial" w:hAnsi="Arial"/>
          <w:sz w:val="16"/>
          <w:szCs w:val="16"/>
          <w:color w:val="62259D"/>
        </w:rPr>
      </w:pPr>
    </w:p>
    <w:p>
      <w:pPr>
        <w:ind w:left="1200" w:right="360" w:hanging="168"/>
        <w:spacing w:after="0" w:line="268" w:lineRule="auto"/>
        <w:tabs>
          <w:tab w:leader="none" w:pos="1200" w:val="left"/>
        </w:tabs>
        <w:numPr>
          <w:ilvl w:val="0"/>
          <w:numId w:val="20"/>
        </w:numPr>
        <w:rPr>
          <w:rFonts w:ascii="Arial" w:cs="Arial" w:eastAsia="Arial" w:hAnsi="Arial"/>
          <w:sz w:val="16"/>
          <w:szCs w:val="16"/>
          <w:color w:val="62259D"/>
        </w:rPr>
      </w:pPr>
      <w:r>
        <w:rPr>
          <w:rFonts w:ascii="Arial" w:cs="Arial" w:eastAsia="Arial" w:hAnsi="Arial"/>
          <w:sz w:val="16"/>
          <w:szCs w:val="16"/>
          <w:color w:val="auto"/>
        </w:rPr>
        <w:t>Technology and Innovation</w:t>
      </w:r>
    </w:p>
    <w:p>
      <w:pPr>
        <w:spacing w:after="0" w:line="20" w:lineRule="exact"/>
        <w:rPr>
          <w:sz w:val="20"/>
          <w:szCs w:val="20"/>
          <w:color w:val="auto"/>
        </w:rPr>
      </w:pPr>
      <w:r>
        <w:rPr>
          <w:sz w:val="20"/>
          <w:szCs w:val="20"/>
          <w:color w:val="auto"/>
        </w:rPr>
        <w:br w:type="column"/>
      </w:r>
    </w:p>
    <w:p>
      <w:pPr>
        <w:ind w:left="104" w:right="400" w:hanging="104"/>
        <w:spacing w:after="0" w:line="257" w:lineRule="auto"/>
        <w:tabs>
          <w:tab w:leader="none" w:pos="104"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62259D"/>
        </w:rPr>
        <w:t xml:space="preserve">BACKGROUND </w:t>
      </w:r>
      <w:r>
        <w:rPr>
          <w:rFonts w:ascii="Arial" w:cs="Arial" w:eastAsia="Arial" w:hAnsi="Arial"/>
          <w:sz w:val="16"/>
          <w:szCs w:val="16"/>
          <w:b w:val="1"/>
          <w:bCs w:val="1"/>
          <w:color w:val="000000"/>
        </w:rPr>
        <w:t>BusinessExcelleration</w:t>
      </w:r>
      <w:r>
        <w:rPr>
          <w:rFonts w:ascii="Arial" w:cs="Arial" w:eastAsia="Arial" w:hAnsi="Arial"/>
          <w:sz w:val="16"/>
          <w:szCs w:val="16"/>
          <w:color w:val="000000"/>
        </w:rPr>
        <w:t>, a business</w:t>
      </w:r>
      <w:r>
        <w:rPr>
          <w:rFonts w:ascii="Arial" w:cs="Arial" w:eastAsia="Arial" w:hAnsi="Arial"/>
          <w:sz w:val="16"/>
          <w:szCs w:val="16"/>
          <w:b w:val="1"/>
          <w:bCs w:val="1"/>
          <w:color w:val="000000"/>
        </w:rPr>
        <w:t xml:space="preserve"> </w:t>
      </w:r>
      <w:r>
        <w:rPr>
          <w:rFonts w:ascii="Arial" w:cs="Arial" w:eastAsia="Arial" w:hAnsi="Arial"/>
          <w:sz w:val="16"/>
          <w:szCs w:val="16"/>
          <w:color w:val="000000"/>
        </w:rPr>
        <w:t>consultancy specializing in corporate transformation and renewal</w:t>
      </w:r>
    </w:p>
    <w:p>
      <w:pPr>
        <w:spacing w:after="0" w:line="37" w:lineRule="exact"/>
        <w:rPr>
          <w:sz w:val="20"/>
          <w:szCs w:val="20"/>
          <w:color w:val="auto"/>
        </w:rPr>
      </w:pPr>
    </w:p>
    <w:p>
      <w:pPr>
        <w:ind w:left="264" w:hanging="156"/>
        <w:spacing w:after="0"/>
        <w:tabs>
          <w:tab w:leader="none" w:pos="264" w:val="left"/>
        </w:tabs>
        <w:numPr>
          <w:ilvl w:val="0"/>
          <w:numId w:val="22"/>
        </w:numPr>
        <w:rPr>
          <w:rFonts w:ascii="Arial" w:cs="Arial" w:eastAsia="Arial" w:hAnsi="Arial"/>
          <w:sz w:val="16"/>
          <w:szCs w:val="16"/>
          <w:color w:val="62259D"/>
        </w:rPr>
      </w:pPr>
      <w:r>
        <w:rPr>
          <w:rFonts w:ascii="Arial" w:cs="Arial" w:eastAsia="Arial" w:hAnsi="Arial"/>
          <w:sz w:val="16"/>
          <w:szCs w:val="16"/>
          <w:color w:val="auto"/>
        </w:rPr>
        <w:t>Chief Executive Officer (2009 to present)</w:t>
      </w:r>
    </w:p>
    <w:p>
      <w:pPr>
        <w:spacing w:after="0" w:line="57" w:lineRule="exact"/>
        <w:rPr>
          <w:sz w:val="20"/>
          <w:szCs w:val="20"/>
          <w:color w:val="auto"/>
        </w:rPr>
      </w:pPr>
    </w:p>
    <w:p>
      <w:pPr>
        <w:ind w:left="104" w:right="140"/>
        <w:spacing w:after="0" w:line="261" w:lineRule="auto"/>
        <w:rPr>
          <w:sz w:val="20"/>
          <w:szCs w:val="20"/>
          <w:color w:val="auto"/>
        </w:rPr>
      </w:pPr>
      <w:r>
        <w:rPr>
          <w:rFonts w:ascii="Arial" w:cs="Arial" w:eastAsia="Arial" w:hAnsi="Arial"/>
          <w:sz w:val="16"/>
          <w:szCs w:val="16"/>
          <w:b w:val="1"/>
          <w:bCs w:val="1"/>
          <w:color w:val="auto"/>
        </w:rPr>
        <w:t>ENXSUITE Corporation</w:t>
      </w:r>
      <w:r>
        <w:rPr>
          <w:rFonts w:ascii="Arial" w:cs="Arial" w:eastAsia="Arial" w:hAnsi="Arial"/>
          <w:sz w:val="16"/>
          <w:szCs w:val="16"/>
          <w:color w:val="auto"/>
        </w:rPr>
        <w:t>, a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supplier of energy management solutions</w:t>
      </w:r>
    </w:p>
    <w:p>
      <w:pPr>
        <w:spacing w:after="0" w:line="34" w:lineRule="exact"/>
        <w:rPr>
          <w:sz w:val="20"/>
          <w:szCs w:val="20"/>
          <w:color w:val="auto"/>
        </w:rPr>
      </w:pPr>
    </w:p>
    <w:p>
      <w:pPr>
        <w:ind w:left="264" w:right="280" w:hanging="156"/>
        <w:spacing w:after="0" w:line="241" w:lineRule="auto"/>
        <w:tabs>
          <w:tab w:leader="none" w:pos="264" w:val="left"/>
        </w:tabs>
        <w:numPr>
          <w:ilvl w:val="0"/>
          <w:numId w:val="23"/>
        </w:numPr>
        <w:rPr>
          <w:rFonts w:ascii="Arial" w:cs="Arial" w:eastAsia="Arial" w:hAnsi="Arial"/>
          <w:sz w:val="16"/>
          <w:szCs w:val="16"/>
          <w:color w:val="62259D"/>
        </w:rPr>
      </w:pPr>
      <w:r>
        <w:rPr>
          <w:rFonts w:ascii="Arial" w:cs="Arial" w:eastAsia="Arial" w:hAnsi="Arial"/>
          <w:sz w:val="16"/>
          <w:szCs w:val="16"/>
          <w:color w:val="auto"/>
        </w:rPr>
        <w:t>Chief Executive Officer (2010 until its acquisition by Infor in 2011)</w:t>
      </w:r>
    </w:p>
    <w:p>
      <w:pPr>
        <w:spacing w:after="0" w:line="33" w:lineRule="exact"/>
        <w:rPr>
          <w:sz w:val="20"/>
          <w:szCs w:val="20"/>
          <w:color w:val="auto"/>
        </w:rPr>
      </w:pPr>
    </w:p>
    <w:p>
      <w:pPr>
        <w:ind w:left="104" w:right="280"/>
        <w:spacing w:after="0" w:line="261" w:lineRule="auto"/>
        <w:rPr>
          <w:sz w:val="20"/>
          <w:szCs w:val="20"/>
          <w:color w:val="auto"/>
        </w:rPr>
      </w:pPr>
      <w:r>
        <w:rPr>
          <w:rFonts w:ascii="Arial" w:cs="Arial" w:eastAsia="Arial" w:hAnsi="Arial"/>
          <w:sz w:val="16"/>
          <w:szCs w:val="16"/>
          <w:b w:val="1"/>
          <w:bCs w:val="1"/>
          <w:color w:val="auto"/>
        </w:rPr>
        <w:t>VoiceObjects Inc.</w:t>
      </w:r>
      <w:r>
        <w:rPr>
          <w:rFonts w:ascii="Arial" w:cs="Arial" w:eastAsia="Arial" w:hAnsi="Arial"/>
          <w:sz w:val="16"/>
          <w:szCs w:val="16"/>
          <w:color w:val="auto"/>
        </w:rPr>
        <w:t>, a market leader in</w:t>
      </w:r>
      <w:r>
        <w:rPr>
          <w:rFonts w:ascii="Arial" w:cs="Arial" w:eastAsia="Arial" w:hAnsi="Arial"/>
          <w:sz w:val="16"/>
          <w:szCs w:val="16"/>
          <w:b w:val="1"/>
          <w:bCs w:val="1"/>
          <w:color w:val="auto"/>
        </w:rPr>
        <w:t xml:space="preserve"> </w:t>
      </w:r>
      <w:r>
        <w:rPr>
          <w:rFonts w:ascii="Arial" w:cs="Arial" w:eastAsia="Arial" w:hAnsi="Arial"/>
          <w:sz w:val="16"/>
          <w:szCs w:val="16"/>
          <w:color w:val="auto"/>
        </w:rPr>
        <w:t>voice applications servers</w:t>
      </w:r>
    </w:p>
    <w:p>
      <w:pPr>
        <w:spacing w:after="0" w:line="34" w:lineRule="exact"/>
        <w:rPr>
          <w:sz w:val="20"/>
          <w:szCs w:val="20"/>
          <w:color w:val="auto"/>
        </w:rPr>
      </w:pPr>
    </w:p>
    <w:p>
      <w:pPr>
        <w:ind w:left="264" w:right="280" w:hanging="156"/>
        <w:spacing w:after="0" w:line="236" w:lineRule="auto"/>
        <w:tabs>
          <w:tab w:leader="none" w:pos="264" w:val="left"/>
        </w:tabs>
        <w:numPr>
          <w:ilvl w:val="0"/>
          <w:numId w:val="24"/>
        </w:numPr>
        <w:rPr>
          <w:rFonts w:ascii="Arial" w:cs="Arial" w:eastAsia="Arial" w:hAnsi="Arial"/>
          <w:sz w:val="16"/>
          <w:szCs w:val="16"/>
          <w:color w:val="62259D"/>
        </w:rPr>
      </w:pPr>
      <w:r>
        <w:rPr>
          <w:rFonts w:ascii="Arial" w:cs="Arial" w:eastAsia="Arial" w:hAnsi="Arial"/>
          <w:sz w:val="16"/>
          <w:szCs w:val="16"/>
          <w:color w:val="auto"/>
        </w:rPr>
        <w:t>Chief Executive Officer (2006 until its acquisition by Voxeo Corporation in 2008)</w:t>
      </w:r>
    </w:p>
    <w:p>
      <w:pPr>
        <w:spacing w:after="0" w:line="36" w:lineRule="exact"/>
        <w:rPr>
          <w:sz w:val="20"/>
          <w:szCs w:val="20"/>
          <w:color w:val="auto"/>
        </w:rPr>
      </w:pPr>
    </w:p>
    <w:p>
      <w:pPr>
        <w:ind w:left="104" w:right="180"/>
        <w:spacing w:after="0" w:line="261" w:lineRule="auto"/>
        <w:rPr>
          <w:sz w:val="20"/>
          <w:szCs w:val="20"/>
          <w:color w:val="auto"/>
        </w:rPr>
      </w:pPr>
      <w:r>
        <w:rPr>
          <w:rFonts w:ascii="Arial" w:cs="Arial" w:eastAsia="Arial" w:hAnsi="Arial"/>
          <w:sz w:val="16"/>
          <w:szCs w:val="16"/>
          <w:b w:val="1"/>
          <w:bCs w:val="1"/>
          <w:color w:val="auto"/>
        </w:rPr>
        <w:t>Sychron Inc.</w:t>
      </w:r>
      <w:r>
        <w:rPr>
          <w:rFonts w:ascii="Arial" w:cs="Arial" w:eastAsia="Arial" w:hAnsi="Arial"/>
          <w:sz w:val="16"/>
          <w:szCs w:val="16"/>
          <w:color w:val="auto"/>
        </w:rPr>
        <w:t>, a data center automation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company</w:t>
      </w:r>
    </w:p>
    <w:p>
      <w:pPr>
        <w:spacing w:after="0" w:line="34" w:lineRule="exact"/>
        <w:rPr>
          <w:sz w:val="20"/>
          <w:szCs w:val="20"/>
          <w:color w:val="auto"/>
        </w:rPr>
      </w:pPr>
    </w:p>
    <w:p>
      <w:pPr>
        <w:ind w:left="264" w:right="100" w:hanging="156"/>
        <w:spacing w:after="0" w:line="241" w:lineRule="auto"/>
        <w:tabs>
          <w:tab w:leader="none" w:pos="264" w:val="left"/>
        </w:tabs>
        <w:numPr>
          <w:ilvl w:val="0"/>
          <w:numId w:val="25"/>
        </w:numPr>
        <w:rPr>
          <w:rFonts w:ascii="Arial" w:cs="Arial" w:eastAsia="Arial" w:hAnsi="Arial"/>
          <w:sz w:val="16"/>
          <w:szCs w:val="16"/>
          <w:color w:val="62259D"/>
        </w:rPr>
      </w:pPr>
      <w:r>
        <w:rPr>
          <w:rFonts w:ascii="Arial" w:cs="Arial" w:eastAsia="Arial" w:hAnsi="Arial"/>
          <w:sz w:val="16"/>
          <w:szCs w:val="16"/>
          <w:color w:val="auto"/>
        </w:rPr>
        <w:t>Interim Chief Executive Officer (2004 to 2005)</w:t>
      </w:r>
    </w:p>
    <w:p>
      <w:pPr>
        <w:spacing w:after="0" w:line="33" w:lineRule="exact"/>
        <w:rPr>
          <w:sz w:val="20"/>
          <w:szCs w:val="20"/>
          <w:color w:val="auto"/>
        </w:rPr>
      </w:pPr>
    </w:p>
    <w:p>
      <w:pPr>
        <w:ind w:left="104"/>
        <w:spacing w:after="0"/>
        <w:rPr>
          <w:sz w:val="20"/>
          <w:szCs w:val="20"/>
          <w:color w:val="auto"/>
        </w:rPr>
      </w:pPr>
      <w:r>
        <w:rPr>
          <w:rFonts w:ascii="Arial" w:cs="Arial" w:eastAsia="Arial" w:hAnsi="Arial"/>
          <w:sz w:val="16"/>
          <w:szCs w:val="16"/>
          <w:b w:val="1"/>
          <w:bCs w:val="1"/>
          <w:color w:val="auto"/>
        </w:rPr>
        <w:t>Aspect Communications Corporation</w:t>
      </w:r>
      <w:r>
        <w:rPr>
          <w:rFonts w:ascii="Arial" w:cs="Arial" w:eastAsia="Arial" w:hAnsi="Arial"/>
          <w:sz w:val="16"/>
          <w:szCs w:val="16"/>
          <w:color w:val="auto"/>
        </w:rPr>
        <w:t>,</w:t>
      </w:r>
    </w:p>
    <w:p>
      <w:pPr>
        <w:spacing w:after="0" w:line="8" w:lineRule="exact"/>
        <w:rPr>
          <w:sz w:val="20"/>
          <w:szCs w:val="20"/>
          <w:color w:val="auto"/>
        </w:rPr>
      </w:pPr>
    </w:p>
    <w:p>
      <w:pPr>
        <w:ind w:left="104" w:right="600"/>
        <w:spacing w:after="0" w:line="241" w:lineRule="auto"/>
        <w:rPr>
          <w:sz w:val="20"/>
          <w:szCs w:val="20"/>
          <w:color w:val="auto"/>
        </w:rPr>
      </w:pPr>
      <w:r>
        <w:rPr>
          <w:rFonts w:ascii="Arial" w:cs="Arial" w:eastAsia="Arial" w:hAnsi="Arial"/>
          <w:sz w:val="16"/>
          <w:szCs w:val="16"/>
          <w:color w:val="auto"/>
        </w:rPr>
        <w:t>a market leader in communications solutions</w:t>
      </w:r>
    </w:p>
    <w:p>
      <w:pPr>
        <w:spacing w:after="0" w:line="48" w:lineRule="exact"/>
        <w:rPr>
          <w:sz w:val="20"/>
          <w:szCs w:val="20"/>
          <w:color w:val="auto"/>
        </w:rPr>
      </w:pPr>
    </w:p>
    <w:p>
      <w:pPr>
        <w:ind w:left="264" w:right="280" w:hanging="156"/>
        <w:spacing w:after="0" w:line="241" w:lineRule="auto"/>
        <w:tabs>
          <w:tab w:leader="none" w:pos="264" w:val="left"/>
        </w:tabs>
        <w:numPr>
          <w:ilvl w:val="0"/>
          <w:numId w:val="26"/>
        </w:numPr>
        <w:rPr>
          <w:rFonts w:ascii="Arial" w:cs="Arial" w:eastAsia="Arial" w:hAnsi="Arial"/>
          <w:sz w:val="16"/>
          <w:szCs w:val="16"/>
          <w:color w:val="62259D"/>
        </w:rPr>
      </w:pPr>
      <w:r>
        <w:rPr>
          <w:rFonts w:ascii="Arial" w:cs="Arial" w:eastAsia="Arial" w:hAnsi="Arial"/>
          <w:sz w:val="16"/>
          <w:szCs w:val="16"/>
          <w:color w:val="auto"/>
        </w:rPr>
        <w:t>Chief Executive Officer (April 2000 to October 2003)</w:t>
      </w:r>
    </w:p>
    <w:p>
      <w:pPr>
        <w:spacing w:after="0" w:line="48" w:lineRule="exact"/>
        <w:rPr>
          <w:rFonts w:ascii="Arial" w:cs="Arial" w:eastAsia="Arial" w:hAnsi="Arial"/>
          <w:sz w:val="16"/>
          <w:szCs w:val="16"/>
          <w:color w:val="62259D"/>
        </w:rPr>
      </w:pPr>
    </w:p>
    <w:p>
      <w:pPr>
        <w:ind w:left="264" w:right="60" w:hanging="156"/>
        <w:spacing w:after="0" w:line="259" w:lineRule="auto"/>
        <w:tabs>
          <w:tab w:leader="none" w:pos="264" w:val="left"/>
        </w:tabs>
        <w:numPr>
          <w:ilvl w:val="0"/>
          <w:numId w:val="26"/>
        </w:numPr>
        <w:rPr>
          <w:rFonts w:ascii="Arial" w:cs="Arial" w:eastAsia="Arial" w:hAnsi="Arial"/>
          <w:sz w:val="16"/>
          <w:szCs w:val="16"/>
          <w:color w:val="62259D"/>
        </w:rPr>
      </w:pPr>
      <w:r>
        <w:rPr>
          <w:rFonts w:ascii="Arial" w:cs="Arial" w:eastAsia="Arial" w:hAnsi="Arial"/>
          <w:sz w:val="16"/>
          <w:szCs w:val="16"/>
          <w:color w:val="auto"/>
        </w:rPr>
        <w:t>President and additional executive roles (October 1998 to April 2000)</w:t>
      </w:r>
    </w:p>
    <w:p>
      <w:pPr>
        <w:spacing w:after="0" w:line="20" w:lineRule="exact"/>
        <w:rPr>
          <w:sz w:val="20"/>
          <w:szCs w:val="20"/>
          <w:color w:val="auto"/>
        </w:rPr>
      </w:pPr>
      <w:r>
        <w:rPr>
          <w:sz w:val="20"/>
          <w:szCs w:val="20"/>
          <w:color w:val="auto"/>
        </w:rPr>
        <w:br w:type="column"/>
      </w:r>
    </w:p>
    <w:p>
      <w:pPr>
        <w:spacing w:after="0"/>
        <w:tabs>
          <w:tab w:leader="none" w:pos="338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62259D"/>
        </w:rPr>
        <w:t>BOARD SERVICE (cont’d)</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360" w:right="599" w:hanging="154"/>
        <w:spacing w:after="0" w:line="235" w:lineRule="auto"/>
        <w:tabs>
          <w:tab w:leader="none" w:pos="360" w:val="left"/>
        </w:tabs>
        <w:numPr>
          <w:ilvl w:val="0"/>
          <w:numId w:val="27"/>
        </w:numPr>
        <w:rPr>
          <w:rFonts w:ascii="Arial" w:cs="Arial" w:eastAsia="Arial" w:hAnsi="Arial"/>
          <w:sz w:val="16"/>
          <w:szCs w:val="16"/>
          <w:color w:val="62259D"/>
        </w:rPr>
      </w:pPr>
      <w:r>
        <w:rPr>
          <w:rFonts w:ascii="Arial" w:cs="Arial" w:eastAsia="Arial" w:hAnsi="Arial"/>
          <w:sz w:val="16"/>
          <w:szCs w:val="16"/>
          <w:b w:val="1"/>
          <w:bCs w:val="1"/>
          <w:color w:val="auto"/>
        </w:rPr>
        <w:t>Liquidity Services Inc.</w:t>
      </w:r>
      <w:r>
        <w:rPr>
          <w:rFonts w:ascii="Arial" w:cs="Arial" w:eastAsia="Arial" w:hAnsi="Arial"/>
          <w:sz w:val="16"/>
          <w:szCs w:val="16"/>
          <w:color w:val="auto"/>
        </w:rPr>
        <w:t>, Lead</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Director, Chair of the Compensation Committee and Audit Committee member</w:t>
      </w:r>
    </w:p>
    <w:p>
      <w:pPr>
        <w:spacing w:after="0" w:line="50" w:lineRule="exact"/>
        <w:rPr>
          <w:rFonts w:ascii="Arial" w:cs="Arial" w:eastAsia="Arial" w:hAnsi="Arial"/>
          <w:sz w:val="16"/>
          <w:szCs w:val="16"/>
          <w:color w:val="62259D"/>
        </w:rPr>
      </w:pPr>
    </w:p>
    <w:p>
      <w:pPr>
        <w:ind w:left="360" w:right="259" w:hanging="154"/>
        <w:spacing w:after="0" w:line="244" w:lineRule="auto"/>
        <w:tabs>
          <w:tab w:leader="none" w:pos="360" w:val="left"/>
        </w:tabs>
        <w:numPr>
          <w:ilvl w:val="0"/>
          <w:numId w:val="27"/>
        </w:numPr>
        <w:rPr>
          <w:rFonts w:ascii="Arial" w:cs="Arial" w:eastAsia="Arial" w:hAnsi="Arial"/>
          <w:sz w:val="16"/>
          <w:szCs w:val="16"/>
          <w:color w:val="62259D"/>
        </w:rPr>
      </w:pPr>
      <w:r>
        <w:rPr>
          <w:rFonts w:ascii="Arial" w:cs="Arial" w:eastAsia="Arial" w:hAnsi="Arial"/>
          <w:sz w:val="16"/>
          <w:szCs w:val="16"/>
          <w:color w:val="auto"/>
        </w:rPr>
        <w:t>Previously served as a director at a number of other public and privately held companies</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EDUCATION</w:t>
      </w:r>
    </w:p>
    <w:p>
      <w:pPr>
        <w:spacing w:after="0" w:line="61" w:lineRule="exact"/>
        <w:rPr>
          <w:sz w:val="20"/>
          <w:szCs w:val="20"/>
          <w:color w:val="auto"/>
        </w:rPr>
      </w:pPr>
    </w:p>
    <w:p>
      <w:pPr>
        <w:ind w:left="360" w:right="579" w:hanging="154"/>
        <w:spacing w:after="0" w:line="259" w:lineRule="auto"/>
        <w:tabs>
          <w:tab w:leader="none" w:pos="360" w:val="left"/>
        </w:tabs>
        <w:numPr>
          <w:ilvl w:val="0"/>
          <w:numId w:val="28"/>
        </w:numPr>
        <w:rPr>
          <w:rFonts w:ascii="Arial" w:cs="Arial" w:eastAsia="Arial" w:hAnsi="Arial"/>
          <w:sz w:val="16"/>
          <w:szCs w:val="16"/>
          <w:color w:val="62259D"/>
        </w:rPr>
      </w:pPr>
      <w:r>
        <w:rPr>
          <w:rFonts w:ascii="Arial" w:cs="Arial" w:eastAsia="Arial" w:hAnsi="Arial"/>
          <w:sz w:val="16"/>
          <w:szCs w:val="16"/>
          <w:color w:val="auto"/>
        </w:rPr>
        <w:t>Master of Science degree, California Institute of Technology</w:t>
      </w:r>
    </w:p>
    <w:p>
      <w:pPr>
        <w:spacing w:after="0" w:line="34" w:lineRule="exact"/>
        <w:rPr>
          <w:rFonts w:ascii="Arial" w:cs="Arial" w:eastAsia="Arial" w:hAnsi="Arial"/>
          <w:sz w:val="16"/>
          <w:szCs w:val="16"/>
          <w:color w:val="62259D"/>
        </w:rPr>
      </w:pPr>
    </w:p>
    <w:p>
      <w:pPr>
        <w:ind w:left="360" w:right="339" w:hanging="154"/>
        <w:spacing w:after="0" w:line="259" w:lineRule="auto"/>
        <w:tabs>
          <w:tab w:leader="none" w:pos="360" w:val="left"/>
        </w:tabs>
        <w:numPr>
          <w:ilvl w:val="0"/>
          <w:numId w:val="28"/>
        </w:numPr>
        <w:rPr>
          <w:rFonts w:ascii="Arial" w:cs="Arial" w:eastAsia="Arial" w:hAnsi="Arial"/>
          <w:sz w:val="16"/>
          <w:szCs w:val="16"/>
          <w:color w:val="62259D"/>
        </w:rPr>
      </w:pPr>
      <w:r>
        <w:rPr>
          <w:rFonts w:ascii="Arial" w:cs="Arial" w:eastAsia="Arial" w:hAnsi="Arial"/>
          <w:sz w:val="16"/>
          <w:szCs w:val="16"/>
          <w:color w:val="auto"/>
        </w:rPr>
        <w:t>B.S. and Engineering degree, Princeton University</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SKILLS AND EXPERTISE</w:t>
      </w:r>
    </w:p>
    <w:p>
      <w:pPr>
        <w:spacing w:after="0" w:line="34" w:lineRule="exact"/>
        <w:rPr>
          <w:sz w:val="20"/>
          <w:szCs w:val="20"/>
          <w:color w:val="auto"/>
        </w:rPr>
      </w:pPr>
    </w:p>
    <w:p>
      <w:pPr>
        <w:ind w:left="200" w:right="259"/>
        <w:spacing w:after="0" w:line="238" w:lineRule="auto"/>
        <w:rPr>
          <w:sz w:val="20"/>
          <w:szCs w:val="20"/>
          <w:color w:val="auto"/>
        </w:rPr>
      </w:pPr>
      <w:r>
        <w:rPr>
          <w:rFonts w:ascii="Arial" w:cs="Arial" w:eastAsia="Arial" w:hAnsi="Arial"/>
          <w:sz w:val="16"/>
          <w:szCs w:val="16"/>
          <w:color w:val="auto"/>
        </w:rPr>
        <w:t>We believe Ms. Infante is qualified to serve on the Board due to her executive</w:t>
      </w:r>
    </w:p>
    <w:p>
      <w:pPr>
        <w:ind w:left="200" w:right="299"/>
        <w:spacing w:after="0" w:line="220" w:lineRule="auto"/>
        <w:rPr>
          <w:sz w:val="20"/>
          <w:szCs w:val="20"/>
          <w:color w:val="auto"/>
        </w:rPr>
      </w:pPr>
      <w:r>
        <w:rPr>
          <w:rFonts w:ascii="Arial" w:cs="Arial" w:eastAsia="Arial" w:hAnsi="Arial"/>
          <w:sz w:val="16"/>
          <w:szCs w:val="16"/>
          <w:color w:val="auto"/>
        </w:rPr>
        <w:t>leadership experience, including as a chief executive officer of various companies,</w:t>
      </w:r>
    </w:p>
    <w:p>
      <w:pPr>
        <w:jc w:val="both"/>
        <w:ind w:left="200" w:right="339"/>
        <w:spacing w:after="0" w:line="236" w:lineRule="auto"/>
        <w:rPr>
          <w:sz w:val="20"/>
          <w:szCs w:val="20"/>
          <w:color w:val="auto"/>
        </w:rPr>
      </w:pPr>
      <w:r>
        <w:rPr>
          <w:rFonts w:ascii="Arial" w:cs="Arial" w:eastAsia="Arial" w:hAnsi="Arial"/>
          <w:sz w:val="16"/>
          <w:szCs w:val="16"/>
          <w:color w:val="auto"/>
        </w:rPr>
        <w:t>along with extensive operational expertise and experience in engineering, sales, and marketing.</w:t>
      </w:r>
    </w:p>
    <w:p>
      <w:pPr>
        <w:spacing w:after="0" w:line="993" w:lineRule="exact"/>
        <w:rPr>
          <w:sz w:val="20"/>
          <w:szCs w:val="20"/>
          <w:color w:val="auto"/>
        </w:rPr>
      </w:pPr>
    </w:p>
    <w:p>
      <w:pPr>
        <w:sectPr>
          <w:pgSz w:w="11900" w:h="16838" w:orient="portrait"/>
          <w:cols w:equalWidth="0" w:num="3">
            <w:col w:w="2720" w:space="256"/>
            <w:col w:w="3244" w:space="60"/>
            <w:col w:w="35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62259D"/>
        </w:rPr>
        <w:t>BOARD SERVICE</w:t>
      </w:r>
    </w:p>
    <w:p>
      <w:pPr>
        <w:spacing w:after="0" w:line="59" w:lineRule="exact"/>
        <w:rPr>
          <w:sz w:val="20"/>
          <w:szCs w:val="20"/>
          <w:color w:val="auto"/>
        </w:rPr>
      </w:pPr>
    </w:p>
    <w:p>
      <w:pPr>
        <w:ind w:left="160" w:hanging="156"/>
        <w:spacing w:after="0"/>
        <w:tabs>
          <w:tab w:leader="none" w:pos="160" w:val="left"/>
        </w:tabs>
        <w:numPr>
          <w:ilvl w:val="0"/>
          <w:numId w:val="29"/>
        </w:numPr>
        <w:rPr>
          <w:rFonts w:ascii="Arial" w:cs="Arial" w:eastAsia="Arial" w:hAnsi="Arial"/>
          <w:sz w:val="16"/>
          <w:szCs w:val="16"/>
          <w:color w:val="62259D"/>
        </w:rPr>
      </w:pPr>
      <w:r>
        <w:rPr>
          <w:rFonts w:ascii="Arial" w:cs="Arial" w:eastAsia="Arial" w:hAnsi="Arial"/>
          <w:sz w:val="16"/>
          <w:szCs w:val="16"/>
          <w:color w:val="auto"/>
        </w:rPr>
        <w:t xml:space="preserve">Current </w:t>
      </w:r>
      <w:r>
        <w:rPr>
          <w:rFonts w:ascii="Arial" w:cs="Arial" w:eastAsia="Arial" w:hAnsi="Arial"/>
          <w:sz w:val="16"/>
          <w:szCs w:val="16"/>
          <w:b w:val="1"/>
          <w:bCs w:val="1"/>
          <w:color w:val="auto"/>
        </w:rPr>
        <w:t>National Association of</w:t>
      </w:r>
    </w:p>
    <w:p>
      <w:pPr>
        <w:spacing w:after="0" w:line="7" w:lineRule="exact"/>
        <w:rPr>
          <w:rFonts w:ascii="Arial" w:cs="Arial" w:eastAsia="Arial" w:hAnsi="Arial"/>
          <w:sz w:val="16"/>
          <w:szCs w:val="16"/>
          <w:color w:val="62259D"/>
        </w:rPr>
      </w:pPr>
    </w:p>
    <w:p>
      <w:pPr>
        <w:ind w:left="160" w:right="4459"/>
        <w:spacing w:after="0" w:line="236" w:lineRule="auto"/>
        <w:rPr>
          <w:rFonts w:ascii="Arial" w:cs="Arial" w:eastAsia="Arial" w:hAnsi="Arial"/>
          <w:sz w:val="16"/>
          <w:szCs w:val="16"/>
          <w:color w:val="62259D"/>
        </w:rPr>
      </w:pPr>
      <w:r>
        <w:rPr>
          <w:rFonts w:ascii="Arial" w:cs="Arial" w:eastAsia="Arial" w:hAnsi="Arial"/>
          <w:sz w:val="16"/>
          <w:szCs w:val="16"/>
          <w:b w:val="1"/>
          <w:bCs w:val="1"/>
          <w:color w:val="auto"/>
        </w:rPr>
        <w:t>Corporate Directors Board Leadership Fellow</w:t>
      </w:r>
    </w:p>
    <w:p>
      <w:pPr>
        <w:spacing w:after="0" w:line="40" w:lineRule="exact"/>
        <w:rPr>
          <w:rFonts w:ascii="Arial" w:cs="Arial" w:eastAsia="Arial" w:hAnsi="Arial"/>
          <w:sz w:val="16"/>
          <w:szCs w:val="16"/>
          <w:color w:val="62259D"/>
        </w:rPr>
      </w:pPr>
    </w:p>
    <w:p>
      <w:pPr>
        <w:jc w:val="both"/>
        <w:ind w:left="160" w:right="3919" w:hanging="156"/>
        <w:spacing w:after="0" w:line="245" w:lineRule="auto"/>
        <w:tabs>
          <w:tab w:leader="none" w:pos="160" w:val="left"/>
        </w:tabs>
        <w:numPr>
          <w:ilvl w:val="0"/>
          <w:numId w:val="29"/>
        </w:numPr>
        <w:rPr>
          <w:rFonts w:ascii="Arial" w:cs="Arial" w:eastAsia="Arial" w:hAnsi="Arial"/>
          <w:sz w:val="16"/>
          <w:szCs w:val="16"/>
          <w:color w:val="62259D"/>
        </w:rPr>
      </w:pPr>
      <w:r>
        <w:rPr>
          <w:rFonts w:ascii="Arial" w:cs="Arial" w:eastAsia="Arial" w:hAnsi="Arial"/>
          <w:sz w:val="16"/>
          <w:szCs w:val="16"/>
          <w:b w:val="1"/>
          <w:bCs w:val="1"/>
          <w:color w:val="auto"/>
        </w:rPr>
        <w:t>PriceSmart, Inc.</w:t>
      </w:r>
      <w:r>
        <w:rPr>
          <w:rFonts w:ascii="Arial" w:cs="Arial" w:eastAsia="Arial" w:hAnsi="Arial"/>
          <w:sz w:val="16"/>
          <w:szCs w:val="16"/>
          <w:color w:val="auto"/>
        </w:rPr>
        <w:t>, Chair of its Digital</w:t>
      </w:r>
      <w:r>
        <w:rPr>
          <w:rFonts w:ascii="Arial" w:cs="Arial" w:eastAsia="Arial" w:hAnsi="Arial"/>
          <w:sz w:val="16"/>
          <w:szCs w:val="16"/>
          <w:b w:val="1"/>
          <w:bCs w:val="1"/>
          <w:color w:val="auto"/>
        </w:rPr>
        <w:t xml:space="preserve"> </w:t>
      </w:r>
      <w:r>
        <w:rPr>
          <w:rFonts w:ascii="Arial" w:cs="Arial" w:eastAsia="Arial" w:hAnsi="Arial"/>
          <w:sz w:val="16"/>
          <w:szCs w:val="16"/>
          <w:color w:val="auto"/>
        </w:rPr>
        <w:t>Transformation Committee, and Audit Committee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-1369695</wp:posOffset>
            </wp:positionH>
            <wp:positionV relativeFrom="paragraph">
              <wp:posOffset>137795</wp:posOffset>
            </wp:positionV>
            <wp:extent cx="56235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438" w:lineRule="exact"/>
        <w:rPr>
          <w:sz w:val="20"/>
          <w:szCs w:val="20"/>
          <w:color w:val="auto"/>
        </w:rPr>
      </w:pPr>
    </w:p>
    <w:p>
      <w:pPr>
        <w:sectPr>
          <w:pgSz w:w="11900" w:h="16838" w:orient="portrait"/>
          <w:cols w:equalWidth="0" w:num="2">
            <w:col w:w="2360" w:space="720"/>
            <w:col w:w="67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8"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920" w:type="dxa"/>
            <w:vAlign w:val="bottom"/>
          </w:tcPr>
          <w:p>
            <w:pPr>
              <w:spacing w:after="0"/>
              <w:rPr>
                <w:sz w:val="20"/>
                <w:szCs w:val="20"/>
                <w:color w:val="auto"/>
              </w:rPr>
            </w:pPr>
            <w:r>
              <w:rPr>
                <w:rFonts w:ascii="Arial" w:cs="Arial" w:eastAsia="Arial" w:hAnsi="Arial"/>
                <w:sz w:val="16"/>
                <w:szCs w:val="16"/>
                <w:color w:val="auto"/>
              </w:rPr>
              <w:t>​</w:t>
            </w:r>
          </w:p>
        </w:tc>
        <w:tc>
          <w:tcPr>
            <w:tcW w:w="3600" w:type="dxa"/>
            <w:vAlign w:val="bottom"/>
          </w:tcPr>
          <w:p>
            <w:pPr>
              <w:ind w:left="860"/>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8"/>
                <w:szCs w:val="18"/>
                <w:color w:val="auto"/>
              </w:rPr>
            </w:pPr>
          </w:p>
        </w:tc>
        <w:tc>
          <w:tcPr>
            <w:tcW w:w="2640" w:type="dxa"/>
            <w:vAlign w:val="bottom"/>
            <w:vMerge w:val="restart"/>
          </w:tcPr>
          <w:p>
            <w:pPr>
              <w:ind w:left="860"/>
              <w:spacing w:after="0"/>
              <w:rPr>
                <w:sz w:val="20"/>
                <w:szCs w:val="20"/>
                <w:color w:val="auto"/>
              </w:rPr>
            </w:pPr>
            <w:r>
              <w:rPr>
                <w:rFonts w:ascii="Arial" w:cs="Arial" w:eastAsia="Arial" w:hAnsi="Arial"/>
                <w:sz w:val="15"/>
                <w:szCs w:val="15"/>
                <w:b w:val="1"/>
                <w:bCs w:val="1"/>
                <w:color w:val="FEFEFE"/>
              </w:rPr>
              <w:t>Independent Director</w:t>
            </w:r>
          </w:p>
        </w:tc>
        <w:tc>
          <w:tcPr>
            <w:tcW w:w="0" w:type="dxa"/>
            <w:vAlign w:val="bottom"/>
          </w:tcPr>
          <w:p>
            <w:pPr>
              <w:spacing w:after="0"/>
              <w:rPr>
                <w:sz w:val="1"/>
                <w:szCs w:val="1"/>
                <w:color w:val="auto"/>
              </w:rPr>
            </w:pPr>
          </w:p>
        </w:tc>
      </w:tr>
      <w:tr>
        <w:trPr>
          <w:trHeight w:val="77"/>
        </w:trPr>
        <w:tc>
          <w:tcPr>
            <w:tcW w:w="920" w:type="dxa"/>
            <w:vAlign w:val="bottom"/>
          </w:tcPr>
          <w:p>
            <w:pPr>
              <w:spacing w:after="0"/>
              <w:rPr>
                <w:sz w:val="6"/>
                <w:szCs w:val="6"/>
                <w:color w:val="auto"/>
              </w:rPr>
            </w:pPr>
          </w:p>
        </w:tc>
        <w:tc>
          <w:tcPr>
            <w:tcW w:w="3600" w:type="dxa"/>
            <w:vAlign w:val="bottom"/>
            <w:vMerge w:val="restart"/>
          </w:tcPr>
          <w:p>
            <w:pPr>
              <w:ind w:left="1080"/>
              <w:spacing w:after="0"/>
              <w:rPr>
                <w:sz w:val="20"/>
                <w:szCs w:val="20"/>
                <w:color w:val="auto"/>
              </w:rPr>
            </w:pPr>
            <w:r>
              <w:rPr>
                <w:rFonts w:ascii="Arial" w:cs="Arial" w:eastAsia="Arial" w:hAnsi="Arial"/>
                <w:sz w:val="15"/>
                <w:szCs w:val="15"/>
                <w:b w:val="1"/>
                <w:bCs w:val="1"/>
                <w:color w:val="FEFEFE"/>
              </w:rPr>
              <w:t xml:space="preserve">​  </w:t>
            </w:r>
            <w:r>
              <w:rPr>
                <w:rFonts w:ascii="Arial" w:cs="Arial" w:eastAsia="Arial" w:hAnsi="Arial"/>
                <w:sz w:val="25"/>
                <w:szCs w:val="25"/>
                <w:b w:val="1"/>
                <w:bCs w:val="1"/>
                <w:color w:val="FEFEFE"/>
              </w:rPr>
              <w:t>SCOTT MAIR</w:t>
            </w:r>
            <w:r>
              <w:rPr>
                <w:rFonts w:ascii="Arial" w:cs="Arial" w:eastAsia="Arial" w:hAnsi="Arial"/>
                <w:sz w:val="15"/>
                <w:szCs w:val="15"/>
                <w:b w:val="1"/>
                <w:bCs w:val="1"/>
                <w:color w:val="FEFEFE"/>
              </w:rPr>
              <w:t xml:space="preserve"> ​</w:t>
            </w:r>
          </w:p>
        </w:tc>
        <w:tc>
          <w:tcPr>
            <w:tcW w:w="1460" w:type="dxa"/>
            <w:vAlign w:val="bottom"/>
          </w:tcPr>
          <w:p>
            <w:pPr>
              <w:spacing w:after="0"/>
              <w:rPr>
                <w:sz w:val="6"/>
                <w:szCs w:val="6"/>
                <w:color w:val="auto"/>
              </w:rPr>
            </w:pPr>
          </w:p>
        </w:tc>
        <w:tc>
          <w:tcPr>
            <w:tcW w:w="2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920" w:type="dxa"/>
            <w:vAlign w:val="bottom"/>
          </w:tcPr>
          <w:p>
            <w:pPr>
              <w:spacing w:after="0"/>
              <w:rPr>
                <w:sz w:val="20"/>
                <w:szCs w:val="20"/>
                <w:color w:val="auto"/>
              </w:rPr>
            </w:pPr>
          </w:p>
        </w:tc>
        <w:tc>
          <w:tcPr>
            <w:tcW w:w="3600" w:type="dxa"/>
            <w:vAlign w:val="bottom"/>
            <w:vMerge w:val="continue"/>
          </w:tcPr>
          <w:p>
            <w:pPr>
              <w:spacing w:after="0"/>
              <w:rPr>
                <w:sz w:val="20"/>
                <w:szCs w:val="20"/>
                <w:color w:val="auto"/>
              </w:rPr>
            </w:pPr>
          </w:p>
        </w:tc>
        <w:tc>
          <w:tcPr>
            <w:tcW w:w="1460" w:type="dxa"/>
            <w:vAlign w:val="bottom"/>
          </w:tcPr>
          <w:p>
            <w:pPr>
              <w:ind w:left="560"/>
              <w:spacing w:after="0"/>
              <w:rPr>
                <w:sz w:val="20"/>
                <w:szCs w:val="20"/>
                <w:color w:val="auto"/>
              </w:rPr>
            </w:pPr>
            <w:r>
              <w:rPr>
                <w:rFonts w:ascii="Arial" w:cs="Arial" w:eastAsia="Arial" w:hAnsi="Arial"/>
                <w:sz w:val="15"/>
                <w:szCs w:val="15"/>
                <w:b w:val="1"/>
                <w:bCs w:val="1"/>
                <w:color w:val="FEFEFE"/>
              </w:rPr>
              <w:t>​</w:t>
            </w:r>
          </w:p>
        </w:tc>
        <w:tc>
          <w:tcPr>
            <w:tcW w:w="2640" w:type="dxa"/>
            <w:vAlign w:val="bottom"/>
          </w:tcPr>
          <w:p>
            <w:pPr>
              <w:ind w:left="1480"/>
              <w:spacing w:after="0"/>
              <w:rPr>
                <w:sz w:val="20"/>
                <w:szCs w:val="20"/>
                <w:color w:val="auto"/>
              </w:rPr>
            </w:pPr>
            <w:r>
              <w:rPr>
                <w:rFonts w:ascii="Arial" w:cs="Arial" w:eastAsia="Arial" w:hAnsi="Arial"/>
                <w:sz w:val="15"/>
                <w:szCs w:val="15"/>
                <w:b w:val="1"/>
                <w:bCs w:val="1"/>
                <w:color w:val="FEFEFE"/>
              </w:rPr>
              <w:t>Director since​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-323215</wp:posOffset>
            </wp:positionV>
            <wp:extent cx="5546090" cy="10890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46090" cy="1089025"/>
                    </a:xfrm>
                    <a:prstGeom prst="rect">
                      <a:avLst/>
                    </a:prstGeom>
                    <a:noFill/>
                  </pic:spPr>
                </pic:pic>
              </a:graphicData>
            </a:graphic>
          </wp:anchor>
        </w:drawing>
      </w:r>
    </w:p>
    <w:p>
      <w:pPr>
        <w:ind w:left="8280"/>
        <w:spacing w:after="0"/>
        <w:rPr>
          <w:sz w:val="20"/>
          <w:szCs w:val="20"/>
          <w:color w:val="auto"/>
        </w:rPr>
      </w:pPr>
      <w:r>
        <w:rPr>
          <w:rFonts w:ascii="Arial" w:cs="Arial" w:eastAsia="Arial" w:hAnsi="Arial"/>
          <w:sz w:val="15"/>
          <w:szCs w:val="15"/>
          <w:b w:val="1"/>
          <w:bCs w:val="1"/>
          <w:color w:val="FEFEFE"/>
        </w:rPr>
        <w:t>September 2022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65</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tabs>
          <w:tab w:leader="none" w:pos="1200" w:val="left"/>
        </w:tabs>
        <w:numPr>
          <w:ilvl w:val="0"/>
          <w:numId w:val="30"/>
        </w:numPr>
        <w:rPr>
          <w:rFonts w:ascii="Arial" w:cs="Arial" w:eastAsia="Arial" w:hAnsi="Arial"/>
          <w:sz w:val="16"/>
          <w:szCs w:val="16"/>
          <w:color w:val="62259D"/>
        </w:rPr>
      </w:pPr>
      <w:r>
        <w:rPr>
          <w:rFonts w:ascii="Arial" w:cs="Arial" w:eastAsia="Arial" w:hAnsi="Arial"/>
          <w:sz w:val="16"/>
          <w:szCs w:val="16"/>
          <w:color w:val="auto"/>
        </w:rPr>
        <w:t>Audit</w:t>
      </w:r>
    </w:p>
    <w:p>
      <w:pPr>
        <w:spacing w:after="0" w:line="59" w:lineRule="exact"/>
        <w:rPr>
          <w:rFonts w:ascii="Arial" w:cs="Arial" w:eastAsia="Arial" w:hAnsi="Arial"/>
          <w:sz w:val="16"/>
          <w:szCs w:val="16"/>
          <w:color w:val="62259D"/>
        </w:rPr>
      </w:pPr>
    </w:p>
    <w:p>
      <w:pPr>
        <w:ind w:left="1200" w:hanging="168"/>
        <w:spacing w:after="0" w:line="286" w:lineRule="auto"/>
        <w:tabs>
          <w:tab w:leader="none" w:pos="1200" w:val="left"/>
        </w:tabs>
        <w:numPr>
          <w:ilvl w:val="0"/>
          <w:numId w:val="30"/>
        </w:numPr>
        <w:rPr>
          <w:rFonts w:ascii="Arial" w:cs="Arial" w:eastAsia="Arial" w:hAnsi="Arial"/>
          <w:sz w:val="16"/>
          <w:szCs w:val="16"/>
          <w:color w:val="62259D"/>
        </w:rPr>
      </w:pPr>
      <w:r>
        <w:rPr>
          <w:rFonts w:ascii="Arial" w:cs="Arial" w:eastAsia="Arial" w:hAnsi="Arial"/>
          <w:sz w:val="16"/>
          <w:szCs w:val="16"/>
          <w:color w:val="auto"/>
        </w:rPr>
        <w:t>Technology &amp; Innovation (Chair)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04" w:hanging="104"/>
        <w:spacing w:after="0"/>
        <w:tabs>
          <w:tab w:leader="none" w:pos="104"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5" w:lineRule="exact"/>
        <w:rPr>
          <w:rFonts w:ascii="Arial" w:cs="Arial" w:eastAsia="Arial" w:hAnsi="Arial"/>
          <w:sz w:val="16"/>
          <w:szCs w:val="16"/>
          <w:color w:val="auto"/>
        </w:rPr>
      </w:pPr>
    </w:p>
    <w:p>
      <w:pPr>
        <w:ind w:left="104"/>
        <w:spacing w:after="0" w:line="237" w:lineRule="auto"/>
        <w:rPr>
          <w:rFonts w:ascii="Arial" w:cs="Arial" w:eastAsia="Arial" w:hAnsi="Arial"/>
          <w:sz w:val="16"/>
          <w:szCs w:val="16"/>
          <w:color w:val="auto"/>
        </w:rPr>
      </w:pPr>
      <w:r>
        <w:rPr>
          <w:rFonts w:ascii="Arial" w:cs="Arial" w:eastAsia="Arial" w:hAnsi="Arial"/>
          <w:sz w:val="16"/>
          <w:szCs w:val="16"/>
          <w:b w:val="1"/>
          <w:bCs w:val="1"/>
          <w:color w:val="auto"/>
        </w:rPr>
        <w:t>AT&amp;T</w:t>
      </w:r>
      <w:r>
        <w:rPr>
          <w:rFonts w:ascii="Arial" w:cs="Arial" w:eastAsia="Arial" w:hAnsi="Arial"/>
          <w:sz w:val="16"/>
          <w:szCs w:val="16"/>
          <w:color w:val="auto"/>
        </w:rPr>
        <w:t>, a leading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telecommunications, media and technology services.</w:t>
      </w:r>
    </w:p>
    <w:p>
      <w:pPr>
        <w:spacing w:after="0" w:line="50" w:lineRule="exact"/>
        <w:rPr>
          <w:rFonts w:ascii="Arial" w:cs="Arial" w:eastAsia="Arial" w:hAnsi="Arial"/>
          <w:sz w:val="16"/>
          <w:szCs w:val="16"/>
          <w:color w:val="auto"/>
        </w:rPr>
      </w:pPr>
    </w:p>
    <w:p>
      <w:pPr>
        <w:ind w:left="264" w:right="520" w:hanging="156"/>
        <w:spacing w:after="0" w:line="259" w:lineRule="auto"/>
        <w:tabs>
          <w:tab w:leader="none" w:pos="264" w:val="left"/>
        </w:tabs>
        <w:numPr>
          <w:ilvl w:val="1"/>
          <w:numId w:val="31"/>
        </w:numPr>
        <w:rPr>
          <w:rFonts w:ascii="Arial" w:cs="Arial" w:eastAsia="Arial" w:hAnsi="Arial"/>
          <w:sz w:val="16"/>
          <w:szCs w:val="16"/>
          <w:color w:val="62259D"/>
        </w:rPr>
      </w:pPr>
      <w:r>
        <w:rPr>
          <w:rFonts w:ascii="Arial" w:cs="Arial" w:eastAsia="Arial" w:hAnsi="Arial"/>
          <w:sz w:val="16"/>
          <w:szCs w:val="16"/>
          <w:color w:val="auto"/>
        </w:rPr>
        <w:t>President, Network Engineering &amp; Operations (2019 to 2022)</w:t>
      </w:r>
    </w:p>
    <w:p>
      <w:pPr>
        <w:spacing w:after="0" w:line="34" w:lineRule="exact"/>
        <w:rPr>
          <w:rFonts w:ascii="Arial" w:cs="Arial" w:eastAsia="Arial" w:hAnsi="Arial"/>
          <w:sz w:val="16"/>
          <w:szCs w:val="16"/>
          <w:color w:val="62259D"/>
        </w:rPr>
      </w:pPr>
    </w:p>
    <w:p>
      <w:pPr>
        <w:ind w:left="264" w:hanging="156"/>
        <w:spacing w:after="0"/>
        <w:tabs>
          <w:tab w:leader="none" w:pos="264" w:val="left"/>
        </w:tabs>
        <w:numPr>
          <w:ilvl w:val="1"/>
          <w:numId w:val="31"/>
        </w:numPr>
        <w:rPr>
          <w:rFonts w:ascii="Arial" w:cs="Arial" w:eastAsia="Arial" w:hAnsi="Arial"/>
          <w:sz w:val="16"/>
          <w:szCs w:val="16"/>
          <w:color w:val="62259D"/>
        </w:rPr>
      </w:pPr>
      <w:r>
        <w:rPr>
          <w:rFonts w:ascii="Arial" w:cs="Arial" w:eastAsia="Arial" w:hAnsi="Arial"/>
          <w:sz w:val="16"/>
          <w:szCs w:val="16"/>
          <w:color w:val="auto"/>
        </w:rPr>
        <w:t>President of Operations (2017 to 2019)</w:t>
      </w:r>
    </w:p>
    <w:p>
      <w:pPr>
        <w:spacing w:after="0" w:line="72" w:lineRule="exact"/>
        <w:rPr>
          <w:rFonts w:ascii="Arial" w:cs="Arial" w:eastAsia="Arial" w:hAnsi="Arial"/>
          <w:sz w:val="16"/>
          <w:szCs w:val="16"/>
          <w:color w:val="62259D"/>
        </w:rPr>
      </w:pPr>
    </w:p>
    <w:p>
      <w:pPr>
        <w:ind w:left="264" w:hanging="156"/>
        <w:spacing w:after="0"/>
        <w:tabs>
          <w:tab w:leader="none" w:pos="264" w:val="left"/>
        </w:tabs>
        <w:numPr>
          <w:ilvl w:val="1"/>
          <w:numId w:val="31"/>
        </w:numPr>
        <w:rPr>
          <w:rFonts w:ascii="Arial" w:cs="Arial" w:eastAsia="Arial" w:hAnsi="Arial"/>
          <w:sz w:val="16"/>
          <w:szCs w:val="16"/>
          <w:color w:val="62259D"/>
        </w:rPr>
      </w:pPr>
      <w:r>
        <w:rPr>
          <w:rFonts w:ascii="Arial" w:cs="Arial" w:eastAsia="Arial" w:hAnsi="Arial"/>
          <w:sz w:val="16"/>
          <w:szCs w:val="16"/>
          <w:color w:val="auto"/>
        </w:rPr>
        <w:t>Various other rolls (1985 to 2017)</w:t>
      </w:r>
    </w:p>
    <w:p>
      <w:pPr>
        <w:spacing w:after="0" w:line="98" w:lineRule="exact"/>
        <w:rPr>
          <w:sz w:val="20"/>
          <w:szCs w:val="20"/>
          <w:color w:val="auto"/>
        </w:rPr>
      </w:pPr>
    </w:p>
    <w:p>
      <w:pPr>
        <w:ind w:left="104"/>
        <w:spacing w:after="0"/>
        <w:rPr>
          <w:sz w:val="20"/>
          <w:szCs w:val="20"/>
          <w:color w:val="auto"/>
        </w:rPr>
      </w:pPr>
      <w:r>
        <w:rPr>
          <w:rFonts w:ascii="Arial" w:cs="Arial" w:eastAsia="Arial" w:hAnsi="Arial"/>
          <w:sz w:val="16"/>
          <w:szCs w:val="16"/>
          <w:b w:val="1"/>
          <w:bCs w:val="1"/>
          <w:color w:val="62259D"/>
        </w:rPr>
        <w:t>BOARD SERVICE:</w:t>
      </w:r>
    </w:p>
    <w:p>
      <w:pPr>
        <w:spacing w:after="0" w:line="59" w:lineRule="exact"/>
        <w:rPr>
          <w:sz w:val="20"/>
          <w:szCs w:val="20"/>
          <w:color w:val="auto"/>
        </w:rPr>
      </w:pPr>
    </w:p>
    <w:p>
      <w:pPr>
        <w:ind w:left="264" w:right="20" w:hanging="156"/>
        <w:spacing w:after="0" w:line="237" w:lineRule="auto"/>
        <w:tabs>
          <w:tab w:leader="none" w:pos="264" w:val="left"/>
        </w:tabs>
        <w:numPr>
          <w:ilvl w:val="0"/>
          <w:numId w:val="32"/>
        </w:numPr>
        <w:rPr>
          <w:rFonts w:ascii="Arial" w:cs="Arial" w:eastAsia="Arial" w:hAnsi="Arial"/>
          <w:sz w:val="16"/>
          <w:szCs w:val="16"/>
          <w:color w:val="62259D"/>
        </w:rPr>
      </w:pPr>
      <w:r>
        <w:rPr>
          <w:rFonts w:ascii="Arial" w:cs="Arial" w:eastAsia="Arial" w:hAnsi="Arial"/>
          <w:sz w:val="16"/>
          <w:szCs w:val="16"/>
          <w:b w:val="1"/>
          <w:bCs w:val="1"/>
          <w:color w:val="auto"/>
        </w:rPr>
        <w:t>American Transmission Company</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transmission-only utility (2021 to present)</w:t>
      </w:r>
    </w:p>
    <w:p>
      <w:pPr>
        <w:spacing w:after="0" w:line="48" w:lineRule="exact"/>
        <w:rPr>
          <w:rFonts w:ascii="Arial" w:cs="Arial" w:eastAsia="Arial" w:hAnsi="Arial"/>
          <w:sz w:val="16"/>
          <w:szCs w:val="16"/>
          <w:color w:val="62259D"/>
        </w:rPr>
      </w:pPr>
    </w:p>
    <w:p>
      <w:pPr>
        <w:ind w:left="264" w:hanging="156"/>
        <w:spacing w:after="0"/>
        <w:tabs>
          <w:tab w:leader="none" w:pos="264" w:val="left"/>
        </w:tabs>
        <w:numPr>
          <w:ilvl w:val="0"/>
          <w:numId w:val="32"/>
        </w:numPr>
        <w:rPr>
          <w:rFonts w:ascii="Arial" w:cs="Arial" w:eastAsia="Arial" w:hAnsi="Arial"/>
          <w:sz w:val="16"/>
          <w:szCs w:val="16"/>
          <w:color w:val="62259D"/>
        </w:rPr>
      </w:pPr>
      <w:r>
        <w:rPr>
          <w:rFonts w:ascii="Arial" w:cs="Arial" w:eastAsia="Arial" w:hAnsi="Arial"/>
          <w:sz w:val="16"/>
          <w:szCs w:val="16"/>
          <w:b w:val="1"/>
          <w:bCs w:val="1"/>
          <w:color w:val="auto"/>
        </w:rPr>
        <w:t>Gigapower, LLC</w:t>
      </w:r>
      <w:r>
        <w:rPr>
          <w:rFonts w:ascii="Arial" w:cs="Arial" w:eastAsia="Arial" w:hAnsi="Arial"/>
          <w:sz w:val="16"/>
          <w:szCs w:val="16"/>
          <w:color w:val="auto"/>
        </w:rPr>
        <w:t>, a joint venture</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BlackRock and AT&amp;T to build fiber-based broadband outside of AT&amp;T’s traditional geographic footprint. (2022 to present)</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59"/>
        <w:spacing w:after="0"/>
        <w:tabs>
          <w:tab w:leader="none" w:pos="14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Fortress Solutions</w:t>
      </w:r>
      <w:r>
        <w:rPr>
          <w:rFonts w:ascii="Arial" w:cs="Arial" w:eastAsia="Arial" w:hAnsi="Arial"/>
          <w:sz w:val="16"/>
          <w:szCs w:val="16"/>
          <w:color w:val="auto"/>
        </w:rPr>
        <w:t>, a private telecom</w:t>
        <w:tab/>
        <w:t>​</w:t>
      </w:r>
    </w:p>
    <w:p>
      <w:pPr>
        <w:spacing w:after="0" w:line="8" w:lineRule="exact"/>
        <w:rPr>
          <w:sz w:val="20"/>
          <w:szCs w:val="20"/>
          <w:color w:val="auto"/>
        </w:rPr>
      </w:pPr>
    </w:p>
    <w:p>
      <w:pPr>
        <w:ind w:left="360" w:right="579"/>
        <w:spacing w:after="0" w:line="220" w:lineRule="auto"/>
        <w:rPr>
          <w:sz w:val="20"/>
          <w:szCs w:val="20"/>
          <w:color w:val="auto"/>
        </w:rPr>
      </w:pPr>
      <w:r>
        <w:rPr>
          <w:rFonts w:ascii="Arial" w:cs="Arial" w:eastAsia="Arial" w:hAnsi="Arial"/>
          <w:sz w:val="16"/>
          <w:szCs w:val="16"/>
          <w:color w:val="auto"/>
        </w:rPr>
        <w:t>services company serving both large telecom operators and enterprise</w:t>
      </w:r>
    </w:p>
    <w:p>
      <w:pPr>
        <w:ind w:left="360" w:right="299"/>
        <w:spacing w:after="0" w:line="236" w:lineRule="auto"/>
        <w:rPr>
          <w:sz w:val="20"/>
          <w:szCs w:val="20"/>
          <w:color w:val="auto"/>
        </w:rPr>
      </w:pPr>
      <w:r>
        <w:rPr>
          <w:rFonts w:ascii="Arial" w:cs="Arial" w:eastAsia="Arial" w:hAnsi="Arial"/>
          <w:sz w:val="16"/>
          <w:szCs w:val="16"/>
          <w:color w:val="auto"/>
        </w:rPr>
        <w:t>businesses for logistics as well as repair and maintenance capabilities (2022 to present)</w:t>
      </w:r>
    </w:p>
    <w:p>
      <w:pPr>
        <w:spacing w:after="0" w:line="49" w:lineRule="exact"/>
        <w:rPr>
          <w:sz w:val="20"/>
          <w:szCs w:val="20"/>
          <w:color w:val="auto"/>
        </w:rPr>
      </w:pPr>
    </w:p>
    <w:p>
      <w:pPr>
        <w:ind w:left="360" w:right="259" w:hanging="154"/>
        <w:spacing w:after="0" w:line="235" w:lineRule="auto"/>
        <w:tabs>
          <w:tab w:leader="none" w:pos="360" w:val="left"/>
        </w:tabs>
        <w:numPr>
          <w:ilvl w:val="0"/>
          <w:numId w:val="33"/>
        </w:numPr>
        <w:rPr>
          <w:rFonts w:ascii="Arial" w:cs="Arial" w:eastAsia="Arial" w:hAnsi="Arial"/>
          <w:sz w:val="16"/>
          <w:szCs w:val="16"/>
          <w:color w:val="62259D"/>
        </w:rPr>
      </w:pPr>
      <w:r>
        <w:rPr>
          <w:rFonts w:ascii="Arial" w:cs="Arial" w:eastAsia="Arial" w:hAnsi="Arial"/>
          <w:sz w:val="16"/>
          <w:szCs w:val="16"/>
          <w:b w:val="1"/>
          <w:bCs w:val="1"/>
          <w:color w:val="auto"/>
        </w:rPr>
        <w:t>Airspan Network Holdings LLC</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provider of hardware and software for 5G networks and Open RAN solutions (2024 to present)</w:t>
      </w:r>
    </w:p>
    <w:p>
      <w:pPr>
        <w:spacing w:after="0" w:line="2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EDUCATION:</w:t>
      </w:r>
    </w:p>
    <w:p>
      <w:pPr>
        <w:spacing w:after="0" w:line="75" w:lineRule="exact"/>
        <w:rPr>
          <w:sz w:val="20"/>
          <w:szCs w:val="20"/>
          <w:color w:val="auto"/>
        </w:rPr>
      </w:pPr>
    </w:p>
    <w:p>
      <w:pPr>
        <w:ind w:left="360" w:hanging="154"/>
        <w:spacing w:after="0"/>
        <w:tabs>
          <w:tab w:leader="none" w:pos="360" w:val="left"/>
        </w:tabs>
        <w:numPr>
          <w:ilvl w:val="0"/>
          <w:numId w:val="34"/>
        </w:numPr>
        <w:rPr>
          <w:rFonts w:ascii="Arial" w:cs="Arial" w:eastAsia="Arial" w:hAnsi="Arial"/>
          <w:sz w:val="16"/>
          <w:szCs w:val="16"/>
          <w:color w:val="62259D"/>
        </w:rPr>
      </w:pPr>
      <w:r>
        <w:rPr>
          <w:rFonts w:ascii="Arial" w:cs="Arial" w:eastAsia="Arial" w:hAnsi="Arial"/>
          <w:sz w:val="16"/>
          <w:szCs w:val="16"/>
          <w:color w:val="auto"/>
        </w:rPr>
        <w:t>B.A., University of Wisconsin- Platteville</w:t>
      </w:r>
    </w:p>
    <w:p>
      <w:pPr>
        <w:spacing w:after="0" w:line="72" w:lineRule="exact"/>
        <w:rPr>
          <w:rFonts w:ascii="Arial" w:cs="Arial" w:eastAsia="Arial" w:hAnsi="Arial"/>
          <w:sz w:val="16"/>
          <w:szCs w:val="16"/>
          <w:color w:val="62259D"/>
        </w:rPr>
      </w:pPr>
    </w:p>
    <w:p>
      <w:pPr>
        <w:ind w:left="360" w:right="779" w:hanging="154"/>
        <w:spacing w:after="0" w:line="241" w:lineRule="auto"/>
        <w:tabs>
          <w:tab w:leader="none" w:pos="360" w:val="left"/>
        </w:tabs>
        <w:numPr>
          <w:ilvl w:val="0"/>
          <w:numId w:val="34"/>
        </w:numPr>
        <w:rPr>
          <w:rFonts w:ascii="Arial" w:cs="Arial" w:eastAsia="Arial" w:hAnsi="Arial"/>
          <w:sz w:val="16"/>
          <w:szCs w:val="16"/>
          <w:color w:val="62259D"/>
        </w:rPr>
      </w:pPr>
      <w:r>
        <w:rPr>
          <w:rFonts w:ascii="Arial" w:cs="Arial" w:eastAsia="Arial" w:hAnsi="Arial"/>
          <w:sz w:val="16"/>
          <w:szCs w:val="16"/>
          <w:color w:val="auto"/>
        </w:rPr>
        <w:t>Master of Industrial Technology, University of Wisconsin-Platteville</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SKILLS AND EXPERTISE:</w:t>
      </w:r>
    </w:p>
    <w:p>
      <w:pPr>
        <w:spacing w:after="0" w:line="61" w:lineRule="exact"/>
        <w:rPr>
          <w:sz w:val="20"/>
          <w:szCs w:val="20"/>
          <w:color w:val="auto"/>
        </w:rPr>
      </w:pPr>
    </w:p>
    <w:p>
      <w:pPr>
        <w:ind w:left="360" w:right="259" w:hanging="154"/>
        <w:spacing w:after="0" w:line="232" w:lineRule="auto"/>
        <w:tabs>
          <w:tab w:leader="none" w:pos="360" w:val="left"/>
        </w:tabs>
        <w:numPr>
          <w:ilvl w:val="0"/>
          <w:numId w:val="35"/>
        </w:numPr>
        <w:rPr>
          <w:rFonts w:ascii="Arial" w:cs="Arial" w:eastAsia="Arial" w:hAnsi="Arial"/>
          <w:sz w:val="16"/>
          <w:szCs w:val="16"/>
          <w:color w:val="62259D"/>
        </w:rPr>
      </w:pPr>
      <w:r>
        <w:rPr>
          <w:rFonts w:ascii="Arial" w:cs="Arial" w:eastAsia="Arial" w:hAnsi="Arial"/>
          <w:sz w:val="16"/>
          <w:szCs w:val="16"/>
          <w:color w:val="auto"/>
        </w:rPr>
        <w:t>We believe Mr. Mair is qualified to serve on the Board due to his executive leadership experience and extensive operational expertise and experience primarily in the telecommunications industry in which the Company operates.</w:t>
      </w:r>
    </w:p>
    <w:p>
      <w:pPr>
        <w:spacing w:after="0" w:line="200" w:lineRule="exact"/>
        <w:rPr>
          <w:sz w:val="20"/>
          <w:szCs w:val="20"/>
          <w:color w:val="auto"/>
        </w:rPr>
      </w:pPr>
    </w:p>
    <w:p>
      <w:pPr>
        <w:sectPr>
          <w:pgSz w:w="11900" w:h="16838" w:orient="portrait"/>
          <w:cols w:equalWidth="0" w:num="3">
            <w:col w:w="2540" w:space="436"/>
            <w:col w:w="3244" w:space="60"/>
            <w:col w:w="3599"/>
          </w:cols>
          <w:pgMar w:left="580" w:top="97" w:right="1440" w:bottom="1440" w:gutter="0" w:footer="0" w:header="0"/>
          <w:type w:val="continuous"/>
        </w:sectPr>
      </w:pPr>
    </w:p>
    <w:p>
      <w:pPr>
        <w:spacing w:after="0" w:line="106"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-12700</wp:posOffset>
            </wp:positionV>
            <wp:extent cx="56235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74"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920" w:type="dxa"/>
            <w:vAlign w:val="bottom"/>
          </w:tcPr>
          <w:p>
            <w:pPr>
              <w:spacing w:after="0"/>
              <w:rPr>
                <w:sz w:val="20"/>
                <w:szCs w:val="20"/>
                <w:color w:val="auto"/>
              </w:rPr>
            </w:pPr>
            <w:r>
              <w:rPr>
                <w:rFonts w:ascii="Arial" w:cs="Arial" w:eastAsia="Arial" w:hAnsi="Arial"/>
                <w:sz w:val="16"/>
                <w:szCs w:val="16"/>
                <w:color w:val="62259D"/>
              </w:rPr>
              <w:t>​</w:t>
            </w:r>
          </w:p>
        </w:tc>
        <w:tc>
          <w:tcPr>
            <w:tcW w:w="3600" w:type="dxa"/>
            <w:vAlign w:val="bottom"/>
          </w:tcPr>
          <w:p>
            <w:pPr>
              <w:ind w:left="860"/>
              <w:spacing w:after="0"/>
              <w:rPr>
                <w:sz w:val="20"/>
                <w:szCs w:val="20"/>
                <w:color w:val="auto"/>
              </w:rPr>
            </w:pPr>
            <w:r>
              <w:rPr>
                <w:rFonts w:ascii="Arial" w:cs="Arial" w:eastAsia="Arial" w:hAnsi="Arial"/>
                <w:sz w:val="16"/>
                <w:szCs w:val="16"/>
                <w:color w:val="62259D"/>
              </w:rPr>
              <w:t>​</w:t>
            </w:r>
          </w:p>
        </w:tc>
        <w:tc>
          <w:tcPr>
            <w:tcW w:w="4060" w:type="dxa"/>
            <w:vAlign w:val="bottom"/>
            <w:vMerge w:val="restart"/>
          </w:tcPr>
          <w:p>
            <w:pPr>
              <w:ind w:left="2700"/>
              <w:spacing w:after="0"/>
              <w:rPr>
                <w:sz w:val="20"/>
                <w:szCs w:val="20"/>
                <w:color w:val="auto"/>
              </w:rPr>
            </w:pPr>
            <w:r>
              <w:rPr>
                <w:rFonts w:ascii="Arial" w:cs="Arial" w:eastAsia="Arial" w:hAnsi="Arial"/>
                <w:sz w:val="15"/>
                <w:szCs w:val="15"/>
                <w:b w:val="1"/>
                <w:bCs w:val="1"/>
                <w:color w:val="FEFEFE"/>
              </w:rPr>
              <w:t>Non-Independent</w:t>
            </w:r>
          </w:p>
        </w:tc>
        <w:tc>
          <w:tcPr>
            <w:tcW w:w="0" w:type="dxa"/>
            <w:vAlign w:val="bottom"/>
          </w:tcPr>
          <w:p>
            <w:pPr>
              <w:spacing w:after="0"/>
              <w:rPr>
                <w:sz w:val="1"/>
                <w:szCs w:val="1"/>
                <w:color w:val="auto"/>
              </w:rPr>
            </w:pPr>
          </w:p>
        </w:tc>
      </w:tr>
      <w:tr>
        <w:trPr>
          <w:trHeight w:val="85"/>
        </w:trPr>
        <w:tc>
          <w:tcPr>
            <w:tcW w:w="920" w:type="dxa"/>
            <w:vAlign w:val="bottom"/>
          </w:tcPr>
          <w:p>
            <w:pPr>
              <w:spacing w:after="0"/>
              <w:rPr>
                <w:sz w:val="7"/>
                <w:szCs w:val="7"/>
                <w:color w:val="auto"/>
              </w:rPr>
            </w:pPr>
          </w:p>
        </w:tc>
        <w:tc>
          <w:tcPr>
            <w:tcW w:w="3600" w:type="dxa"/>
            <w:vAlign w:val="bottom"/>
          </w:tcPr>
          <w:p>
            <w:pPr>
              <w:spacing w:after="0"/>
              <w:rPr>
                <w:sz w:val="7"/>
                <w:szCs w:val="7"/>
                <w:color w:val="auto"/>
              </w:rPr>
            </w:pPr>
          </w:p>
        </w:tc>
        <w:tc>
          <w:tcPr>
            <w:tcW w:w="4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-180340</wp:posOffset>
            </wp:positionV>
            <wp:extent cx="5546090" cy="10890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46090" cy="1089025"/>
                    </a:xfrm>
                    <a:prstGeom prst="rect">
                      <a:avLst/>
                    </a:prstGeom>
                    <a:noFill/>
                  </pic:spPr>
                </pic:pic>
              </a:graphicData>
            </a:graphic>
          </wp:anchor>
        </w:drawing>
      </w:r>
    </w:p>
    <w:tbl>
      <w:tblPr>
        <w:tblLayout w:type="fixed"/>
        <w:tblInd w:w="2980" w:type="dxa"/>
        <w:tblCellMar>
          <w:top w:w="0" w:type="dxa"/>
          <w:left w:w="0" w:type="dxa"/>
          <w:bottom w:w="0" w:type="dxa"/>
          <w:right w:w="0" w:type="dxa"/>
        </w:tblCellMar>
      </w:tblPr>
      <w:tr>
        <w:trPr>
          <w:trHeight w:val="268"/>
        </w:trPr>
        <w:tc>
          <w:tcPr>
            <w:tcW w:w="4780" w:type="dxa"/>
            <w:vAlign w:val="bottom"/>
          </w:tcPr>
          <w:p>
            <w:pPr>
              <w:spacing w:after="0"/>
              <w:rPr>
                <w:sz w:val="20"/>
                <w:szCs w:val="20"/>
                <w:color w:val="auto"/>
              </w:rPr>
            </w:pPr>
            <w:r>
              <w:rPr>
                <w:rFonts w:ascii="Arial" w:cs="Arial" w:eastAsia="Arial" w:hAnsi="Arial"/>
                <w:sz w:val="15"/>
                <w:szCs w:val="15"/>
                <w:b w:val="1"/>
                <w:bCs w:val="1"/>
                <w:color w:val="FEFEFE"/>
              </w:rPr>
              <w:t xml:space="preserve">​  </w:t>
            </w:r>
            <w:r>
              <w:rPr>
                <w:rFonts w:ascii="Arial" w:cs="Arial" w:eastAsia="Arial" w:hAnsi="Arial"/>
                <w:sz w:val="25"/>
                <w:szCs w:val="25"/>
                <w:b w:val="1"/>
                <w:bCs w:val="1"/>
                <w:color w:val="FEFEFE"/>
              </w:rPr>
              <w:t>BRUCE W. MCCLELLAND</w:t>
            </w:r>
            <w:r>
              <w:rPr>
                <w:rFonts w:ascii="Arial" w:cs="Arial" w:eastAsia="Arial" w:hAnsi="Arial"/>
                <w:sz w:val="15"/>
                <w:szCs w:val="15"/>
                <w:b w:val="1"/>
                <w:bCs w:val="1"/>
                <w:color w:val="FEFEFE"/>
              </w:rPr>
              <w:t xml:space="preserve"> ​​</w:t>
            </w:r>
          </w:p>
        </w:tc>
        <w:tc>
          <w:tcPr>
            <w:tcW w:w="1800" w:type="dxa"/>
            <w:vAlign w:val="bottom"/>
          </w:tcPr>
          <w:p>
            <w:pPr>
              <w:jc w:val="right"/>
              <w:spacing w:after="0"/>
              <w:rPr>
                <w:sz w:val="20"/>
                <w:szCs w:val="20"/>
                <w:color w:val="auto"/>
              </w:rPr>
            </w:pPr>
            <w:r>
              <w:rPr>
                <w:rFonts w:ascii="Arial" w:cs="Arial" w:eastAsia="Arial" w:hAnsi="Arial"/>
                <w:sz w:val="15"/>
                <w:szCs w:val="15"/>
                <w:b w:val="1"/>
                <w:bCs w:val="1"/>
                <w:color w:val="FEFEFE"/>
              </w:rPr>
              <w:t>Director</w:t>
            </w:r>
          </w:p>
        </w:tc>
        <w:tc>
          <w:tcPr>
            <w:tcW w:w="40" w:type="dxa"/>
            <w:vAlign w:val="bottom"/>
          </w:tcPr>
          <w:p>
            <w:pPr>
              <w:jc w:val="right"/>
              <w:spacing w:after="0"/>
              <w:rPr>
                <w:sz w:val="20"/>
                <w:szCs w:val="20"/>
                <w:color w:val="auto"/>
              </w:rPr>
            </w:pPr>
            <w:r>
              <w:rPr>
                <w:rFonts w:ascii="Arial" w:cs="Arial" w:eastAsia="Arial" w:hAnsi="Arial"/>
                <w:sz w:val="15"/>
                <w:szCs w:val="15"/>
                <w:b w:val="1"/>
                <w:bCs w:val="1"/>
                <w:color w:val="FEFEFE"/>
              </w:rPr>
              <w:t>​</w:t>
            </w:r>
          </w:p>
        </w:tc>
      </w:tr>
      <w:tr>
        <w:trPr>
          <w:trHeight w:val="143"/>
        </w:trPr>
        <w:tc>
          <w:tcPr>
            <w:tcW w:w="4780" w:type="dxa"/>
            <w:vAlign w:val="bottom"/>
          </w:tcPr>
          <w:p>
            <w:pPr>
              <w:spacing w:after="0"/>
              <w:rPr>
                <w:sz w:val="12"/>
                <w:szCs w:val="12"/>
                <w:color w:val="auto"/>
              </w:rPr>
            </w:pPr>
          </w:p>
        </w:tc>
        <w:tc>
          <w:tcPr>
            <w:tcW w:w="1800" w:type="dxa"/>
            <w:vAlign w:val="bottom"/>
          </w:tcPr>
          <w:p>
            <w:pPr>
              <w:jc w:val="right"/>
              <w:spacing w:after="0" w:line="143" w:lineRule="exact"/>
              <w:rPr>
                <w:sz w:val="20"/>
                <w:szCs w:val="20"/>
                <w:color w:val="auto"/>
              </w:rPr>
            </w:pPr>
            <w:r>
              <w:rPr>
                <w:rFonts w:ascii="Arial" w:cs="Arial" w:eastAsia="Arial" w:hAnsi="Arial"/>
                <w:sz w:val="15"/>
                <w:szCs w:val="15"/>
                <w:b w:val="1"/>
                <w:bCs w:val="1"/>
                <w:color w:val="FEFEFE"/>
              </w:rPr>
              <w:t>Director since</w:t>
            </w:r>
          </w:p>
        </w:tc>
        <w:tc>
          <w:tcPr>
            <w:tcW w:w="40" w:type="dxa"/>
            <w:vAlign w:val="bottom"/>
          </w:tcPr>
          <w:p>
            <w:pPr>
              <w:spacing w:after="0"/>
              <w:rPr>
                <w:sz w:val="12"/>
                <w:szCs w:val="12"/>
                <w:color w:val="auto"/>
              </w:rPr>
            </w:pPr>
          </w:p>
        </w:tc>
      </w:tr>
      <w:tr>
        <w:trPr>
          <w:trHeight w:val="210"/>
        </w:trPr>
        <w:tc>
          <w:tcPr>
            <w:tcW w:w="47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5"/>
                <w:szCs w:val="15"/>
                <w:b w:val="1"/>
                <w:bCs w:val="1"/>
                <w:color w:val="FEFEFE"/>
              </w:rPr>
              <w:t>March 2020</w:t>
            </w:r>
          </w:p>
        </w:tc>
        <w:tc>
          <w:tcPr>
            <w:tcW w:w="40" w:type="dxa"/>
            <w:vAlign w:val="bottom"/>
          </w:tcPr>
          <w:p>
            <w:pPr>
              <w:spacing w:after="0"/>
              <w:rPr>
                <w:sz w:val="18"/>
                <w:szCs w:val="18"/>
                <w:color w:val="auto"/>
              </w:rPr>
            </w:pPr>
          </w:p>
        </w:tc>
      </w:tr>
    </w:tbl>
    <w:p>
      <w:pPr>
        <w:spacing w:after="0" w:line="19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59</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tabs>
          <w:tab w:leader="none" w:pos="1200" w:val="left"/>
        </w:tabs>
        <w:numPr>
          <w:ilvl w:val="0"/>
          <w:numId w:val="36"/>
        </w:numPr>
        <w:rPr>
          <w:rFonts w:ascii="Arial" w:cs="Arial" w:eastAsia="Arial" w:hAnsi="Arial"/>
          <w:sz w:val="16"/>
          <w:szCs w:val="16"/>
          <w:color w:val="62259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ind w:left="104" w:hanging="104"/>
        <w:spacing w:after="0"/>
        <w:tabs>
          <w:tab w:leader="none" w:pos="104"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5" w:lineRule="exact"/>
        <w:rPr>
          <w:rFonts w:ascii="Arial" w:cs="Arial" w:eastAsia="Arial" w:hAnsi="Arial"/>
          <w:sz w:val="16"/>
          <w:szCs w:val="16"/>
          <w:color w:val="auto"/>
        </w:rPr>
      </w:pPr>
    </w:p>
    <w:p>
      <w:pPr>
        <w:ind w:left="104"/>
        <w:spacing w:after="0"/>
        <w:rPr>
          <w:rFonts w:ascii="Arial" w:cs="Arial" w:eastAsia="Arial" w:hAnsi="Arial"/>
          <w:sz w:val="16"/>
          <w:szCs w:val="16"/>
          <w:color w:val="auto"/>
        </w:rPr>
      </w:pPr>
      <w:r>
        <w:rPr>
          <w:rFonts w:ascii="Arial" w:cs="Arial" w:eastAsia="Arial" w:hAnsi="Arial"/>
          <w:sz w:val="16"/>
          <w:szCs w:val="16"/>
          <w:b w:val="1"/>
          <w:bCs w:val="1"/>
          <w:color w:val="auto"/>
        </w:rPr>
        <w:t>Ribbon Communications Inc.</w:t>
      </w:r>
    </w:p>
    <w:p>
      <w:pPr>
        <w:spacing w:after="0" w:line="61" w:lineRule="exact"/>
        <w:rPr>
          <w:rFonts w:ascii="Arial" w:cs="Arial" w:eastAsia="Arial" w:hAnsi="Arial"/>
          <w:sz w:val="16"/>
          <w:szCs w:val="16"/>
          <w:color w:val="auto"/>
        </w:rPr>
      </w:pPr>
    </w:p>
    <w:p>
      <w:pPr>
        <w:ind w:left="264" w:hanging="156"/>
        <w:spacing w:after="0" w:line="234" w:lineRule="auto"/>
        <w:tabs>
          <w:tab w:leader="none" w:pos="264" w:val="left"/>
        </w:tabs>
        <w:numPr>
          <w:ilvl w:val="1"/>
          <w:numId w:val="37"/>
        </w:numPr>
        <w:rPr>
          <w:rFonts w:ascii="Arial" w:cs="Arial" w:eastAsia="Arial" w:hAnsi="Arial"/>
          <w:sz w:val="16"/>
          <w:szCs w:val="16"/>
          <w:color w:val="62259D"/>
        </w:rPr>
      </w:pPr>
      <w:r>
        <w:rPr>
          <w:rFonts w:ascii="Arial" w:cs="Arial" w:eastAsia="Arial" w:hAnsi="Arial"/>
          <w:sz w:val="16"/>
          <w:szCs w:val="16"/>
          <w:color w:val="auto"/>
        </w:rPr>
        <w:t>President and Chief Executive Officer, responsible for the strategic direction and management of Ribbon (March 2020 to present)</w:t>
      </w:r>
    </w:p>
    <w:p>
      <w:pPr>
        <w:spacing w:after="0" w:line="36" w:lineRule="exact"/>
        <w:rPr>
          <w:sz w:val="20"/>
          <w:szCs w:val="20"/>
          <w:color w:val="auto"/>
        </w:rPr>
      </w:pPr>
    </w:p>
    <w:p>
      <w:pPr>
        <w:ind w:left="104" w:right="500"/>
        <w:spacing w:after="0" w:line="244" w:lineRule="auto"/>
        <w:rPr>
          <w:sz w:val="20"/>
          <w:szCs w:val="20"/>
          <w:color w:val="auto"/>
        </w:rPr>
      </w:pPr>
      <w:r>
        <w:rPr>
          <w:rFonts w:ascii="Arial" w:cs="Arial" w:eastAsia="Arial" w:hAnsi="Arial"/>
          <w:sz w:val="16"/>
          <w:szCs w:val="16"/>
          <w:b w:val="1"/>
          <w:bCs w:val="1"/>
          <w:color w:val="auto"/>
        </w:rPr>
        <w:t>CommScope Inc.</w:t>
      </w:r>
      <w:r>
        <w:rPr>
          <w:rFonts w:ascii="Arial" w:cs="Arial" w:eastAsia="Arial" w:hAnsi="Arial"/>
          <w:sz w:val="16"/>
          <w:szCs w:val="16"/>
          <w:color w:val="auto"/>
        </w:rPr>
        <w:t>, a global network</w:t>
      </w:r>
      <w:r>
        <w:rPr>
          <w:rFonts w:ascii="Arial" w:cs="Arial" w:eastAsia="Arial" w:hAnsi="Arial"/>
          <w:sz w:val="16"/>
          <w:szCs w:val="16"/>
          <w:b w:val="1"/>
          <w:bCs w:val="1"/>
          <w:color w:val="auto"/>
        </w:rPr>
        <w:t xml:space="preserve"> </w:t>
      </w:r>
      <w:r>
        <w:rPr>
          <w:rFonts w:ascii="Arial" w:cs="Arial" w:eastAsia="Arial" w:hAnsi="Arial"/>
          <w:sz w:val="16"/>
          <w:szCs w:val="16"/>
          <w:color w:val="auto"/>
        </w:rPr>
        <w:t>infrastructure provider</w:t>
      </w:r>
    </w:p>
    <w:p>
      <w:pPr>
        <w:spacing w:after="0" w:line="60" w:lineRule="exact"/>
        <w:rPr>
          <w:sz w:val="20"/>
          <w:szCs w:val="20"/>
          <w:color w:val="auto"/>
        </w:rPr>
      </w:pPr>
    </w:p>
    <w:p>
      <w:pPr>
        <w:jc w:val="both"/>
        <w:ind w:left="264" w:right="180" w:hanging="156"/>
        <w:spacing w:after="0" w:line="236" w:lineRule="auto"/>
        <w:tabs>
          <w:tab w:leader="none" w:pos="264" w:val="left"/>
        </w:tabs>
        <w:numPr>
          <w:ilvl w:val="0"/>
          <w:numId w:val="38"/>
        </w:numPr>
        <w:rPr>
          <w:rFonts w:ascii="Arial" w:cs="Arial" w:eastAsia="Arial" w:hAnsi="Arial"/>
          <w:sz w:val="16"/>
          <w:szCs w:val="16"/>
          <w:color w:val="62259D"/>
        </w:rPr>
      </w:pPr>
      <w:r>
        <w:rPr>
          <w:rFonts w:ascii="Arial" w:cs="Arial" w:eastAsia="Arial" w:hAnsi="Arial"/>
          <w:sz w:val="16"/>
          <w:szCs w:val="16"/>
          <w:color w:val="auto"/>
        </w:rPr>
        <w:t>Chief Operating Officer, responsible for the combined portfolio of products and services (April 2019 to August 2019)</w:t>
      </w:r>
    </w:p>
    <w:p>
      <w:pPr>
        <w:spacing w:after="0" w:line="36" w:lineRule="exact"/>
        <w:rPr>
          <w:sz w:val="20"/>
          <w:szCs w:val="20"/>
          <w:color w:val="auto"/>
        </w:rPr>
      </w:pPr>
    </w:p>
    <w:p>
      <w:pPr>
        <w:ind w:left="104" w:right="280"/>
        <w:spacing w:after="0" w:line="230" w:lineRule="auto"/>
        <w:rPr>
          <w:sz w:val="20"/>
          <w:szCs w:val="20"/>
          <w:color w:val="auto"/>
        </w:rPr>
      </w:pPr>
      <w:r>
        <w:rPr>
          <w:rFonts w:ascii="Arial" w:cs="Arial" w:eastAsia="Arial" w:hAnsi="Arial"/>
          <w:sz w:val="16"/>
          <w:szCs w:val="16"/>
          <w:b w:val="1"/>
          <w:bCs w:val="1"/>
          <w:color w:val="auto"/>
        </w:rPr>
        <w:t xml:space="preserve">ARRIS International plc </w:t>
      </w:r>
      <w:r>
        <w:rPr>
          <w:rFonts w:ascii="Arial" w:cs="Arial" w:eastAsia="Arial" w:hAnsi="Arial"/>
          <w:sz w:val="16"/>
          <w:szCs w:val="16"/>
          <w:color w:val="auto"/>
        </w:rPr>
        <w:t>(“</w:t>
      </w:r>
      <w:r>
        <w:rPr>
          <w:rFonts w:ascii="Arial" w:cs="Arial" w:eastAsia="Arial" w:hAnsi="Arial"/>
          <w:sz w:val="16"/>
          <w:szCs w:val="16"/>
          <w:i w:val="1"/>
          <w:iCs w:val="1"/>
          <w:color w:val="auto"/>
        </w:rPr>
        <w:t>ARRIS</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telecommunications equipment</w:t>
      </w:r>
    </w:p>
    <w:p>
      <w:pPr>
        <w:spacing w:after="0" w:line="1" w:lineRule="exact"/>
        <w:rPr>
          <w:sz w:val="20"/>
          <w:szCs w:val="20"/>
          <w:color w:val="auto"/>
        </w:rPr>
      </w:pPr>
    </w:p>
    <w:p>
      <w:pPr>
        <w:ind w:left="104"/>
        <w:spacing w:after="0"/>
        <w:rPr>
          <w:sz w:val="20"/>
          <w:szCs w:val="20"/>
          <w:color w:val="auto"/>
        </w:rPr>
      </w:pPr>
      <w:r>
        <w:rPr>
          <w:rFonts w:ascii="Arial" w:cs="Arial" w:eastAsia="Arial" w:hAnsi="Arial"/>
          <w:sz w:val="16"/>
          <w:szCs w:val="16"/>
          <w:color w:val="auto"/>
        </w:rPr>
        <w:t>manufacturing company</w:t>
      </w:r>
    </w:p>
    <w:p>
      <w:pPr>
        <w:spacing w:after="0" w:line="59" w:lineRule="exact"/>
        <w:rPr>
          <w:sz w:val="20"/>
          <w:szCs w:val="20"/>
          <w:color w:val="auto"/>
        </w:rPr>
      </w:pPr>
    </w:p>
    <w:p>
      <w:pPr>
        <w:ind w:left="264" w:right="40" w:hanging="156"/>
        <w:spacing w:after="0" w:line="238" w:lineRule="auto"/>
        <w:tabs>
          <w:tab w:leader="none" w:pos="264" w:val="left"/>
        </w:tabs>
        <w:numPr>
          <w:ilvl w:val="0"/>
          <w:numId w:val="39"/>
        </w:numPr>
        <w:rPr>
          <w:rFonts w:ascii="Arial" w:cs="Arial" w:eastAsia="Arial" w:hAnsi="Arial"/>
          <w:sz w:val="16"/>
          <w:szCs w:val="16"/>
          <w:color w:val="62259D"/>
        </w:rPr>
      </w:pPr>
      <w:r>
        <w:rPr>
          <w:rFonts w:ascii="Arial" w:cs="Arial" w:eastAsia="Arial" w:hAnsi="Arial"/>
          <w:sz w:val="16"/>
          <w:szCs w:val="16"/>
          <w:color w:val="auto"/>
        </w:rPr>
        <w:t>Chief Executive Officer (September 2016 until its sale to CommScope in</w:t>
      </w:r>
    </w:p>
    <w:p>
      <w:pPr>
        <w:ind w:left="264"/>
        <w:spacing w:after="0"/>
        <w:rPr>
          <w:rFonts w:ascii="Arial" w:cs="Arial" w:eastAsia="Arial" w:hAnsi="Arial"/>
          <w:sz w:val="16"/>
          <w:szCs w:val="16"/>
          <w:color w:val="62259D"/>
        </w:rPr>
      </w:pPr>
      <w:r>
        <w:rPr>
          <w:rFonts w:ascii="Arial" w:cs="Arial" w:eastAsia="Arial" w:hAnsi="Arial"/>
          <w:sz w:val="16"/>
          <w:szCs w:val="16"/>
          <w:color w:val="auto"/>
        </w:rPr>
        <w:t>April 2019)</w:t>
      </w:r>
    </w:p>
    <w:p>
      <w:pPr>
        <w:spacing w:after="0" w:line="58" w:lineRule="exact"/>
        <w:rPr>
          <w:rFonts w:ascii="Arial" w:cs="Arial" w:eastAsia="Arial" w:hAnsi="Arial"/>
          <w:sz w:val="16"/>
          <w:szCs w:val="16"/>
          <w:color w:val="62259D"/>
        </w:rPr>
      </w:pPr>
    </w:p>
    <w:p>
      <w:pPr>
        <w:ind w:left="264" w:right="20" w:hanging="156"/>
        <w:spacing w:after="0" w:line="227" w:lineRule="auto"/>
        <w:tabs>
          <w:tab w:leader="none" w:pos="264" w:val="left"/>
        </w:tabs>
        <w:numPr>
          <w:ilvl w:val="0"/>
          <w:numId w:val="39"/>
        </w:numPr>
        <w:rPr>
          <w:rFonts w:ascii="Arial" w:cs="Arial" w:eastAsia="Arial" w:hAnsi="Arial"/>
          <w:sz w:val="16"/>
          <w:szCs w:val="16"/>
          <w:color w:val="62259D"/>
        </w:rPr>
      </w:pPr>
      <w:r>
        <w:rPr>
          <w:rFonts w:ascii="Arial" w:cs="Arial" w:eastAsia="Arial" w:hAnsi="Arial"/>
          <w:sz w:val="16"/>
          <w:szCs w:val="16"/>
          <w:color w:val="auto"/>
        </w:rPr>
        <w:t>served in numerous leadership roles during 20 years at ARRIS and managed the successful acquisition and integration of the Ruckus Wireless and Brocade ICX Campus switching business from Broadcom Inc., a major step in diversifying the ARRIS business beyond the service provider market into the broader enterprise market, while strengthening the company’s wireless technology capabilities</w:t>
      </w:r>
    </w:p>
    <w:p>
      <w:pPr>
        <w:spacing w:after="0" w:line="20" w:lineRule="exact"/>
        <w:rPr>
          <w:sz w:val="20"/>
          <w:szCs w:val="20"/>
          <w:color w:val="auto"/>
        </w:rPr>
      </w:pPr>
      <w:r>
        <w:rPr>
          <w:sz w:val="20"/>
          <w:szCs w:val="20"/>
          <w:color w:val="auto"/>
        </w:rPr>
        <w:br w:type="column"/>
      </w:r>
    </w:p>
    <w:p>
      <w:pPr>
        <w:spacing w:after="0"/>
        <w:tabs>
          <w:tab w:leader="none" w:pos="338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ARRIS</w:t>
      </w:r>
      <w:r>
        <w:rPr>
          <w:rFonts w:ascii="Arial" w:cs="Arial" w:eastAsia="Arial" w:hAnsi="Arial"/>
          <w:sz w:val="16"/>
          <w:szCs w:val="16"/>
          <w:color w:val="auto"/>
        </w:rPr>
        <w:t xml:space="preserve"> (cont’d)</w:t>
      </w:r>
      <w:r>
        <w:rPr>
          <w:sz w:val="20"/>
          <w:szCs w:val="20"/>
          <w:color w:val="auto"/>
        </w:rPr>
        <w:tab/>
      </w:r>
      <w:r>
        <w:rPr>
          <w:rFonts w:ascii="Arial" w:cs="Arial" w:eastAsia="Arial" w:hAnsi="Arial"/>
          <w:sz w:val="16"/>
          <w:szCs w:val="16"/>
          <w:color w:val="auto"/>
        </w:rPr>
        <w:t>​</w:t>
      </w:r>
    </w:p>
    <w:p>
      <w:pPr>
        <w:spacing w:after="0" w:line="61" w:lineRule="exact"/>
        <w:rPr>
          <w:sz w:val="20"/>
          <w:szCs w:val="20"/>
          <w:color w:val="auto"/>
        </w:rPr>
      </w:pPr>
    </w:p>
    <w:p>
      <w:pPr>
        <w:ind w:left="360" w:right="379" w:hanging="154"/>
        <w:spacing w:after="0" w:line="234" w:lineRule="auto"/>
        <w:tabs>
          <w:tab w:leader="none" w:pos="360" w:val="left"/>
        </w:tabs>
        <w:numPr>
          <w:ilvl w:val="0"/>
          <w:numId w:val="40"/>
        </w:numPr>
        <w:rPr>
          <w:rFonts w:ascii="Arial" w:cs="Arial" w:eastAsia="Arial" w:hAnsi="Arial"/>
          <w:sz w:val="16"/>
          <w:szCs w:val="16"/>
          <w:color w:val="62259D"/>
        </w:rPr>
      </w:pPr>
      <w:r>
        <w:rPr>
          <w:rFonts w:ascii="Arial" w:cs="Arial" w:eastAsia="Arial" w:hAnsi="Arial"/>
          <w:sz w:val="16"/>
          <w:szCs w:val="16"/>
          <w:color w:val="auto"/>
        </w:rPr>
        <w:t>held several other roles at ARRIS, including President of Network &amp; Cloud and Global Services (April 2013 to August 2016)</w:t>
      </w:r>
    </w:p>
    <w:p>
      <w:pPr>
        <w:spacing w:after="0" w:line="51" w:lineRule="exact"/>
        <w:rPr>
          <w:rFonts w:ascii="Arial" w:cs="Arial" w:eastAsia="Arial" w:hAnsi="Arial"/>
          <w:sz w:val="16"/>
          <w:szCs w:val="16"/>
          <w:color w:val="62259D"/>
        </w:rPr>
      </w:pPr>
    </w:p>
    <w:p>
      <w:pPr>
        <w:ind w:left="360" w:right="719" w:hanging="154"/>
        <w:spacing w:after="0" w:line="259" w:lineRule="auto"/>
        <w:tabs>
          <w:tab w:leader="none" w:pos="360" w:val="left"/>
        </w:tabs>
        <w:numPr>
          <w:ilvl w:val="0"/>
          <w:numId w:val="40"/>
        </w:numPr>
        <w:rPr>
          <w:rFonts w:ascii="Arial" w:cs="Arial" w:eastAsia="Arial" w:hAnsi="Arial"/>
          <w:sz w:val="16"/>
          <w:szCs w:val="16"/>
          <w:color w:val="62259D"/>
        </w:rPr>
      </w:pPr>
      <w:r>
        <w:rPr>
          <w:rFonts w:ascii="Arial" w:cs="Arial" w:eastAsia="Arial" w:hAnsi="Arial"/>
          <w:sz w:val="16"/>
          <w:szCs w:val="16"/>
          <w:color w:val="auto"/>
        </w:rPr>
        <w:t>authored several communications-related patents</w:t>
      </w:r>
    </w:p>
    <w:p>
      <w:pPr>
        <w:spacing w:after="0" w:line="19" w:lineRule="exact"/>
        <w:rPr>
          <w:sz w:val="20"/>
          <w:szCs w:val="20"/>
          <w:color w:val="auto"/>
        </w:rPr>
      </w:pPr>
    </w:p>
    <w:p>
      <w:pPr>
        <w:ind w:left="200" w:right="339"/>
        <w:spacing w:after="0" w:line="272" w:lineRule="auto"/>
        <w:rPr>
          <w:sz w:val="20"/>
          <w:szCs w:val="20"/>
          <w:color w:val="auto"/>
        </w:rPr>
      </w:pPr>
      <w:r>
        <w:rPr>
          <w:rFonts w:ascii="Arial" w:cs="Arial" w:eastAsia="Arial" w:hAnsi="Arial"/>
          <w:sz w:val="16"/>
          <w:szCs w:val="16"/>
          <w:b w:val="1"/>
          <w:bCs w:val="1"/>
          <w:color w:val="auto"/>
        </w:rPr>
        <w:t xml:space="preserve">Nortel Networks Corporation </w:t>
      </w:r>
      <w:r>
        <w:rPr>
          <w:rFonts w:ascii="Arial" w:cs="Arial" w:eastAsia="Arial" w:hAnsi="Arial"/>
          <w:sz w:val="16"/>
          <w:szCs w:val="16"/>
          <w:color w:val="auto"/>
        </w:rPr>
        <w:t>and</w:t>
      </w:r>
      <w:r>
        <w:rPr>
          <w:rFonts w:ascii="Arial" w:cs="Arial" w:eastAsia="Arial" w:hAnsi="Arial"/>
          <w:sz w:val="16"/>
          <w:szCs w:val="16"/>
          <w:b w:val="1"/>
          <w:bCs w:val="1"/>
          <w:color w:val="auto"/>
        </w:rPr>
        <w:t xml:space="preserve"> Bell Northern Research </w:t>
      </w:r>
      <w:r>
        <w:rPr>
          <w:rFonts w:ascii="Arial" w:cs="Arial" w:eastAsia="Arial" w:hAnsi="Arial"/>
          <w:sz w:val="16"/>
          <w:szCs w:val="16"/>
          <w:color w:val="auto"/>
        </w:rPr>
        <w:t>(“</w:t>
      </w:r>
      <w:r>
        <w:rPr>
          <w:rFonts w:ascii="Arial" w:cs="Arial" w:eastAsia="Arial" w:hAnsi="Arial"/>
          <w:sz w:val="16"/>
          <w:szCs w:val="16"/>
          <w:i w:val="1"/>
          <w:iCs w:val="1"/>
          <w:color w:val="auto"/>
        </w:rPr>
        <w:t>BNR</w:t>
      </w:r>
      <w:r>
        <w:rPr>
          <w:rFonts w:ascii="Arial" w:cs="Arial" w:eastAsia="Arial" w:hAnsi="Arial"/>
          <w:sz w:val="16"/>
          <w:szCs w:val="16"/>
          <w:color w:val="auto"/>
        </w:rPr>
        <w:t>”)</w:t>
      </w:r>
    </w:p>
    <w:p>
      <w:pPr>
        <w:spacing w:after="0" w:line="17" w:lineRule="exact"/>
        <w:rPr>
          <w:sz w:val="20"/>
          <w:szCs w:val="20"/>
          <w:color w:val="auto"/>
        </w:rPr>
      </w:pPr>
    </w:p>
    <w:p>
      <w:pPr>
        <w:ind w:left="360" w:right="1119" w:hanging="154"/>
        <w:spacing w:after="0" w:line="241" w:lineRule="auto"/>
        <w:tabs>
          <w:tab w:leader="none" w:pos="360" w:val="left"/>
        </w:tabs>
        <w:numPr>
          <w:ilvl w:val="0"/>
          <w:numId w:val="41"/>
        </w:numPr>
        <w:rPr>
          <w:rFonts w:ascii="Arial" w:cs="Arial" w:eastAsia="Arial" w:hAnsi="Arial"/>
          <w:sz w:val="16"/>
          <w:szCs w:val="16"/>
          <w:color w:val="62259D"/>
        </w:rPr>
      </w:pPr>
      <w:r>
        <w:rPr>
          <w:rFonts w:ascii="Arial" w:cs="Arial" w:eastAsia="Arial" w:hAnsi="Arial"/>
          <w:sz w:val="16"/>
          <w:szCs w:val="16"/>
          <w:color w:val="auto"/>
        </w:rPr>
        <w:t>served in leadership roles for eleven years</w:t>
      </w:r>
    </w:p>
    <w:p>
      <w:pPr>
        <w:spacing w:after="0" w:line="48" w:lineRule="exact"/>
        <w:rPr>
          <w:rFonts w:ascii="Arial" w:cs="Arial" w:eastAsia="Arial" w:hAnsi="Arial"/>
          <w:sz w:val="16"/>
          <w:szCs w:val="16"/>
          <w:color w:val="62259D"/>
        </w:rPr>
      </w:pPr>
    </w:p>
    <w:p>
      <w:pPr>
        <w:ind w:left="360" w:right="239" w:hanging="154"/>
        <w:spacing w:after="0" w:line="234" w:lineRule="auto"/>
        <w:tabs>
          <w:tab w:leader="none" w:pos="360" w:val="left"/>
        </w:tabs>
        <w:numPr>
          <w:ilvl w:val="0"/>
          <w:numId w:val="41"/>
        </w:numPr>
        <w:rPr>
          <w:rFonts w:ascii="Arial" w:cs="Arial" w:eastAsia="Arial" w:hAnsi="Arial"/>
          <w:sz w:val="16"/>
          <w:szCs w:val="16"/>
          <w:color w:val="62259D"/>
        </w:rPr>
      </w:pPr>
      <w:r>
        <w:rPr>
          <w:rFonts w:ascii="Arial" w:cs="Arial" w:eastAsia="Arial" w:hAnsi="Arial"/>
          <w:sz w:val="16"/>
          <w:szCs w:val="16"/>
          <w:color w:val="auto"/>
        </w:rPr>
        <w:t>began his career with BNR in Ottawa, Canada, responsible for the development of Nortel’s SS7 switching products immediately prior to joining ARRIS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EDUCATION</w:t>
      </w:r>
    </w:p>
    <w:p>
      <w:pPr>
        <w:spacing w:after="0" w:line="61" w:lineRule="exact"/>
        <w:rPr>
          <w:sz w:val="20"/>
          <w:szCs w:val="20"/>
          <w:color w:val="auto"/>
        </w:rPr>
      </w:pPr>
    </w:p>
    <w:p>
      <w:pPr>
        <w:ind w:left="360" w:hanging="154"/>
        <w:spacing w:after="0"/>
        <w:tabs>
          <w:tab w:leader="none" w:pos="360" w:val="left"/>
        </w:tabs>
        <w:numPr>
          <w:ilvl w:val="0"/>
          <w:numId w:val="42"/>
        </w:numPr>
        <w:rPr>
          <w:rFonts w:ascii="Arial" w:cs="Arial" w:eastAsia="Arial" w:hAnsi="Arial"/>
          <w:sz w:val="16"/>
          <w:szCs w:val="16"/>
          <w:color w:val="62259D"/>
        </w:rPr>
      </w:pPr>
      <w:r>
        <w:rPr>
          <w:rFonts w:ascii="Arial" w:cs="Arial" w:eastAsia="Arial" w:hAnsi="Arial"/>
          <w:sz w:val="16"/>
          <w:szCs w:val="16"/>
          <w:color w:val="auto"/>
        </w:rPr>
        <w:t>B.E., the University of Saskatchewan</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SKILLS AND EXPERTISE</w:t>
      </w:r>
    </w:p>
    <w:p>
      <w:pPr>
        <w:spacing w:after="0" w:line="48" w:lineRule="exact"/>
        <w:rPr>
          <w:sz w:val="20"/>
          <w:szCs w:val="20"/>
          <w:color w:val="auto"/>
        </w:rPr>
      </w:pPr>
    </w:p>
    <w:p>
      <w:pPr>
        <w:ind w:left="200" w:right="439"/>
        <w:spacing w:after="0" w:line="229" w:lineRule="auto"/>
        <w:rPr>
          <w:sz w:val="20"/>
          <w:szCs w:val="20"/>
          <w:color w:val="auto"/>
        </w:rPr>
      </w:pPr>
      <w:r>
        <w:rPr>
          <w:rFonts w:ascii="Arial" w:cs="Arial" w:eastAsia="Arial" w:hAnsi="Arial"/>
          <w:sz w:val="16"/>
          <w:szCs w:val="16"/>
          <w:color w:val="auto"/>
        </w:rPr>
        <w:t>We believe Mr. McClelland is qualified to serve on the Board due to his executive</w:t>
      </w:r>
    </w:p>
    <w:p>
      <w:pPr>
        <w:ind w:left="200" w:right="299"/>
        <w:spacing w:after="0" w:line="228" w:lineRule="auto"/>
        <w:rPr>
          <w:sz w:val="20"/>
          <w:szCs w:val="20"/>
          <w:color w:val="auto"/>
        </w:rPr>
      </w:pPr>
      <w:r>
        <w:rPr>
          <w:rFonts w:ascii="Arial" w:cs="Arial" w:eastAsia="Arial" w:hAnsi="Arial"/>
          <w:sz w:val="16"/>
          <w:szCs w:val="16"/>
          <w:color w:val="auto"/>
        </w:rPr>
        <w:t>leadership experience, including as a chief executive officer of ARRIS, along with</w:t>
      </w:r>
    </w:p>
    <w:p>
      <w:pPr>
        <w:spacing w:after="0" w:line="1" w:lineRule="exact"/>
        <w:rPr>
          <w:sz w:val="20"/>
          <w:szCs w:val="20"/>
          <w:color w:val="auto"/>
        </w:rPr>
      </w:pPr>
    </w:p>
    <w:p>
      <w:pPr>
        <w:ind w:left="200" w:right="799"/>
        <w:spacing w:after="0" w:line="231" w:lineRule="auto"/>
        <w:rPr>
          <w:sz w:val="20"/>
          <w:szCs w:val="20"/>
          <w:color w:val="auto"/>
        </w:rPr>
      </w:pPr>
      <w:r>
        <w:rPr>
          <w:rFonts w:ascii="Arial" w:cs="Arial" w:eastAsia="Arial" w:hAnsi="Arial"/>
          <w:sz w:val="16"/>
          <w:szCs w:val="16"/>
          <w:color w:val="auto"/>
        </w:rPr>
        <w:t>extensive operational expertise and experience in engineering.</w:t>
      </w:r>
    </w:p>
    <w:p>
      <w:pPr>
        <w:spacing w:after="0" w:line="652" w:lineRule="exact"/>
        <w:rPr>
          <w:sz w:val="20"/>
          <w:szCs w:val="20"/>
          <w:color w:val="auto"/>
        </w:rPr>
      </w:pPr>
    </w:p>
    <w:p>
      <w:pPr>
        <w:sectPr>
          <w:pgSz w:w="11900" w:h="16838" w:orient="portrait"/>
          <w:cols w:equalWidth="0" w:num="3">
            <w:col w:w="2256" w:space="720"/>
            <w:col w:w="3284" w:space="20"/>
            <w:col w:w="3599"/>
          </w:cols>
          <w:pgMar w:left="580" w:top="97" w:right="1440" w:bottom="1440" w:gutter="0" w:footer="0" w:header="0"/>
          <w:type w:val="continuous"/>
        </w:sectPr>
      </w:pPr>
    </w:p>
    <w:p>
      <w:pPr>
        <w:spacing w:after="0" w:line="109"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-4445</wp:posOffset>
            </wp:positionV>
            <wp:extent cx="56235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135" w:lineRule="exact"/>
        <w:rPr>
          <w:sz w:val="20"/>
          <w:szCs w:val="20"/>
          <w:color w:val="auto"/>
        </w:rPr>
      </w:pPr>
    </w:p>
    <w:p>
      <w:pPr>
        <w:ind w:left="512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8" w:lineRule="exact"/>
        <w:rPr>
          <w:sz w:val="20"/>
          <w:szCs w:val="20"/>
          <w:color w:val="auto"/>
        </w:rPr>
      </w:pPr>
    </w:p>
    <w:tbl>
      <w:tblPr>
        <w:tblLayout w:type="fixed"/>
        <w:tblInd w:w="980" w:type="dxa"/>
        <w:tblCellMar>
          <w:top w:w="0" w:type="dxa"/>
          <w:left w:w="0" w:type="dxa"/>
          <w:bottom w:w="0" w:type="dxa"/>
          <w:right w:w="0" w:type="dxa"/>
        </w:tblCellMar>
      </w:tblPr>
      <w:tr>
        <w:trPr>
          <w:trHeight w:val="215"/>
        </w:trPr>
        <w:tc>
          <w:tcPr>
            <w:tcW w:w="920" w:type="dxa"/>
            <w:vAlign w:val="bottom"/>
          </w:tcPr>
          <w:p>
            <w:pPr>
              <w:spacing w:after="0"/>
              <w:rPr>
                <w:sz w:val="20"/>
                <w:szCs w:val="20"/>
                <w:color w:val="auto"/>
              </w:rPr>
            </w:pPr>
            <w:r>
              <w:rPr>
                <w:rFonts w:ascii="Arial" w:cs="Arial" w:eastAsia="Arial" w:hAnsi="Arial"/>
                <w:sz w:val="16"/>
                <w:szCs w:val="16"/>
                <w:color w:val="62259D"/>
              </w:rPr>
              <w:t>​</w:t>
            </w:r>
          </w:p>
        </w:tc>
        <w:tc>
          <w:tcPr>
            <w:tcW w:w="3900" w:type="dxa"/>
            <w:vAlign w:val="bottom"/>
          </w:tcPr>
          <w:p>
            <w:pPr>
              <w:ind w:left="860"/>
              <w:spacing w:after="0"/>
              <w:rPr>
                <w:sz w:val="20"/>
                <w:szCs w:val="20"/>
                <w:color w:val="auto"/>
              </w:rPr>
            </w:pPr>
            <w:r>
              <w:rPr>
                <w:rFonts w:ascii="Arial" w:cs="Arial" w:eastAsia="Arial" w:hAnsi="Arial"/>
                <w:sz w:val="16"/>
                <w:szCs w:val="16"/>
                <w:color w:val="62259D"/>
              </w:rPr>
              <w:t>​</w:t>
            </w:r>
          </w:p>
        </w:tc>
        <w:tc>
          <w:tcPr>
            <w:tcW w:w="3800" w:type="dxa"/>
            <w:vAlign w:val="bottom"/>
            <w:vMerge w:val="restart"/>
          </w:tcPr>
          <w:p>
            <w:pPr>
              <w:ind w:left="1640"/>
              <w:spacing w:after="0"/>
              <w:rPr>
                <w:sz w:val="20"/>
                <w:szCs w:val="20"/>
                <w:color w:val="auto"/>
              </w:rPr>
            </w:pPr>
            <w:r>
              <w:rPr>
                <w:rFonts w:ascii="Arial" w:cs="Arial" w:eastAsia="Arial" w:hAnsi="Arial"/>
                <w:sz w:val="15"/>
                <w:szCs w:val="15"/>
                <w:b w:val="1"/>
                <w:bCs w:val="1"/>
                <w:color w:val="FEFEFE"/>
              </w:rPr>
              <w:t>Non-Independent Director</w:t>
            </w:r>
          </w:p>
        </w:tc>
        <w:tc>
          <w:tcPr>
            <w:tcW w:w="0" w:type="dxa"/>
            <w:vAlign w:val="bottom"/>
          </w:tcPr>
          <w:p>
            <w:pPr>
              <w:spacing w:after="0"/>
              <w:rPr>
                <w:sz w:val="1"/>
                <w:szCs w:val="1"/>
                <w:color w:val="auto"/>
              </w:rPr>
            </w:pPr>
          </w:p>
        </w:tc>
      </w:tr>
      <w:tr>
        <w:trPr>
          <w:trHeight w:val="77"/>
        </w:trPr>
        <w:tc>
          <w:tcPr>
            <w:tcW w:w="920" w:type="dxa"/>
            <w:vAlign w:val="bottom"/>
          </w:tcPr>
          <w:p>
            <w:pPr>
              <w:spacing w:after="0"/>
              <w:rPr>
                <w:sz w:val="6"/>
                <w:szCs w:val="6"/>
                <w:color w:val="auto"/>
              </w:rPr>
            </w:pPr>
          </w:p>
        </w:tc>
        <w:tc>
          <w:tcPr>
            <w:tcW w:w="3900" w:type="dxa"/>
            <w:vAlign w:val="bottom"/>
            <w:vMerge w:val="restart"/>
          </w:tcPr>
          <w:p>
            <w:pPr>
              <w:ind w:left="1080"/>
              <w:spacing w:after="0"/>
              <w:rPr>
                <w:sz w:val="20"/>
                <w:szCs w:val="20"/>
                <w:color w:val="auto"/>
              </w:rPr>
            </w:pPr>
            <w:r>
              <w:rPr>
                <w:rFonts w:ascii="Arial" w:cs="Arial" w:eastAsia="Arial" w:hAnsi="Arial"/>
                <w:sz w:val="15"/>
                <w:szCs w:val="15"/>
                <w:b w:val="1"/>
                <w:bCs w:val="1"/>
                <w:color w:val="FEFEFE"/>
              </w:rPr>
              <w:t xml:space="preserve">​  </w:t>
            </w:r>
            <w:r>
              <w:rPr>
                <w:rFonts w:ascii="Arial" w:cs="Arial" w:eastAsia="Arial" w:hAnsi="Arial"/>
                <w:sz w:val="25"/>
                <w:szCs w:val="25"/>
                <w:b w:val="1"/>
                <w:bCs w:val="1"/>
                <w:color w:val="FEFEFE"/>
              </w:rPr>
              <w:t>SHAUL SHANI</w:t>
            </w:r>
            <w:r>
              <w:rPr>
                <w:rFonts w:ascii="Arial" w:cs="Arial" w:eastAsia="Arial" w:hAnsi="Arial"/>
                <w:sz w:val="15"/>
                <w:szCs w:val="15"/>
                <w:b w:val="1"/>
                <w:bCs w:val="1"/>
                <w:color w:val="FEFEFE"/>
              </w:rPr>
              <w:t xml:space="preserve"> ​   ​</w:t>
            </w:r>
          </w:p>
        </w:tc>
        <w:tc>
          <w:tcPr>
            <w:tcW w:w="3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920" w:type="dxa"/>
            <w:vAlign w:val="bottom"/>
          </w:tcPr>
          <w:p>
            <w:pPr>
              <w:spacing w:after="0"/>
              <w:rPr>
                <w:sz w:val="20"/>
                <w:szCs w:val="20"/>
                <w:color w:val="auto"/>
              </w:rPr>
            </w:pPr>
          </w:p>
        </w:tc>
        <w:tc>
          <w:tcPr>
            <w:tcW w:w="3900" w:type="dxa"/>
            <w:vAlign w:val="bottom"/>
            <w:vMerge w:val="continue"/>
          </w:tcPr>
          <w:p>
            <w:pPr>
              <w:spacing w:after="0"/>
              <w:rPr>
                <w:sz w:val="20"/>
                <w:szCs w:val="20"/>
                <w:color w:val="auto"/>
              </w:rPr>
            </w:pPr>
          </w:p>
        </w:tc>
        <w:tc>
          <w:tcPr>
            <w:tcW w:w="3800" w:type="dxa"/>
            <w:vAlign w:val="bottom"/>
          </w:tcPr>
          <w:p>
            <w:pPr>
              <w:ind w:left="440"/>
              <w:spacing w:after="0"/>
              <w:rPr>
                <w:sz w:val="20"/>
                <w:szCs w:val="20"/>
                <w:color w:val="auto"/>
              </w:rPr>
            </w:pPr>
            <w:r>
              <w:rPr>
                <w:rFonts w:ascii="Arial" w:cs="Arial" w:eastAsia="Arial" w:hAnsi="Arial"/>
                <w:sz w:val="15"/>
                <w:szCs w:val="15"/>
                <w:b w:val="1"/>
                <w:bCs w:val="1"/>
                <w:color w:val="FEFEFE"/>
              </w:rPr>
              <w:t>Director and Chairman of the Board since​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-323215</wp:posOffset>
            </wp:positionV>
            <wp:extent cx="5546090" cy="10890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46090" cy="1089025"/>
                    </a:xfrm>
                    <a:prstGeom prst="rect">
                      <a:avLst/>
                    </a:prstGeom>
                    <a:noFill/>
                  </pic:spPr>
                </pic:pic>
              </a:graphicData>
            </a:graphic>
          </wp:anchor>
        </w:drawing>
      </w:r>
    </w:p>
    <w:p>
      <w:pPr>
        <w:ind w:left="8760"/>
        <w:spacing w:after="0"/>
        <w:rPr>
          <w:sz w:val="20"/>
          <w:szCs w:val="20"/>
          <w:color w:val="auto"/>
        </w:rPr>
      </w:pPr>
      <w:r>
        <w:rPr>
          <w:rFonts w:ascii="Arial" w:cs="Arial" w:eastAsia="Arial" w:hAnsi="Arial"/>
          <w:sz w:val="15"/>
          <w:szCs w:val="15"/>
          <w:b w:val="1"/>
          <w:bCs w:val="1"/>
          <w:color w:val="FEFEFE"/>
        </w:rPr>
        <w:t>June 2020</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71</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tabs>
          <w:tab w:leader="none" w:pos="1200" w:val="left"/>
        </w:tabs>
        <w:numPr>
          <w:ilvl w:val="0"/>
          <w:numId w:val="43"/>
        </w:numPr>
        <w:rPr>
          <w:rFonts w:ascii="Arial" w:cs="Arial" w:eastAsia="Arial" w:hAnsi="Arial"/>
          <w:sz w:val="16"/>
          <w:szCs w:val="16"/>
          <w:color w:val="62259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04" w:right="1940" w:hanging="104"/>
        <w:spacing w:after="0" w:line="291" w:lineRule="auto"/>
        <w:tabs>
          <w:tab w:leader="none" w:pos="104" w:val="left"/>
        </w:tabs>
        <w:numPr>
          <w:ilvl w:val="0"/>
          <w:numId w:val="44"/>
        </w:numPr>
        <w:rPr>
          <w:rFonts w:ascii="Arial" w:cs="Arial" w:eastAsia="Arial" w:hAnsi="Arial"/>
          <w:sz w:val="16"/>
          <w:szCs w:val="16"/>
          <w:color w:val="auto"/>
        </w:rPr>
      </w:pPr>
      <w:r>
        <w:rPr>
          <w:rFonts w:ascii="Arial" w:cs="Arial" w:eastAsia="Arial" w:hAnsi="Arial"/>
          <w:sz w:val="16"/>
          <w:szCs w:val="16"/>
          <w:b w:val="1"/>
          <w:bCs w:val="1"/>
          <w:color w:val="62259D"/>
        </w:rPr>
        <w:t xml:space="preserve">BACKGROUND </w:t>
      </w:r>
      <w:r>
        <w:rPr>
          <w:rFonts w:ascii="Arial" w:cs="Arial" w:eastAsia="Arial" w:hAnsi="Arial"/>
          <w:sz w:val="16"/>
          <w:szCs w:val="16"/>
          <w:b w:val="1"/>
          <w:bCs w:val="1"/>
          <w:color w:val="000000"/>
        </w:rPr>
        <w:t>Entrepreneur</w:t>
      </w:r>
    </w:p>
    <w:p>
      <w:pPr>
        <w:ind w:left="104"/>
        <w:spacing w:after="0" w:line="233" w:lineRule="auto"/>
        <w:rPr>
          <w:rFonts w:ascii="Arial" w:cs="Arial" w:eastAsia="Arial" w:hAnsi="Arial"/>
          <w:sz w:val="16"/>
          <w:szCs w:val="16"/>
          <w:color w:val="auto"/>
        </w:rPr>
      </w:pPr>
      <w:r>
        <w:rPr>
          <w:rFonts w:ascii="Arial" w:cs="Arial" w:eastAsia="Arial" w:hAnsi="Arial"/>
          <w:sz w:val="16"/>
          <w:szCs w:val="16"/>
          <w:b w:val="1"/>
          <w:bCs w:val="1"/>
          <w:color w:val="auto"/>
        </w:rPr>
        <w:t xml:space="preserve">Swarth Group </w:t>
      </w:r>
      <w:r>
        <w:rPr>
          <w:rFonts w:ascii="Arial" w:cs="Arial" w:eastAsia="Arial" w:hAnsi="Arial"/>
          <w:sz w:val="16"/>
          <w:szCs w:val="16"/>
          <w:color w:val="auto"/>
        </w:rPr>
        <w:t>and Shani Capital Group,</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investment groups investing in public and private companies primarily in the communication services, technology, IT, and cyber sectors and financial markets</w:t>
      </w:r>
    </w:p>
    <w:p>
      <w:pPr>
        <w:spacing w:after="0" w:line="53" w:lineRule="exact"/>
        <w:rPr>
          <w:sz w:val="20"/>
          <w:szCs w:val="20"/>
          <w:color w:val="auto"/>
        </w:rPr>
      </w:pPr>
    </w:p>
    <w:p>
      <w:pPr>
        <w:ind w:left="264" w:hanging="156"/>
        <w:spacing w:after="0"/>
        <w:tabs>
          <w:tab w:leader="none" w:pos="264" w:val="left"/>
        </w:tabs>
        <w:numPr>
          <w:ilvl w:val="0"/>
          <w:numId w:val="45"/>
        </w:numPr>
        <w:rPr>
          <w:rFonts w:ascii="Arial" w:cs="Arial" w:eastAsia="Arial" w:hAnsi="Arial"/>
          <w:sz w:val="16"/>
          <w:szCs w:val="16"/>
          <w:color w:val="62259D"/>
        </w:rPr>
      </w:pPr>
      <w:r>
        <w:rPr>
          <w:rFonts w:ascii="Arial" w:cs="Arial" w:eastAsia="Arial" w:hAnsi="Arial"/>
          <w:sz w:val="16"/>
          <w:szCs w:val="16"/>
          <w:color w:val="auto"/>
        </w:rPr>
        <w:t>Founder and Chairman (2006 to present)</w:t>
      </w:r>
    </w:p>
    <w:p>
      <w:pPr>
        <w:spacing w:after="0" w:line="57" w:lineRule="exact"/>
        <w:rPr>
          <w:sz w:val="20"/>
          <w:szCs w:val="20"/>
          <w:color w:val="auto"/>
        </w:rPr>
      </w:pPr>
    </w:p>
    <w:p>
      <w:pPr>
        <w:ind w:left="104"/>
        <w:spacing w:after="0"/>
        <w:rPr>
          <w:sz w:val="20"/>
          <w:szCs w:val="20"/>
          <w:color w:val="auto"/>
        </w:rPr>
      </w:pPr>
      <w:r>
        <w:rPr>
          <w:rFonts w:ascii="Arial" w:cs="Arial" w:eastAsia="Arial" w:hAnsi="Arial"/>
          <w:sz w:val="16"/>
          <w:szCs w:val="16"/>
          <w:b w:val="1"/>
          <w:bCs w:val="1"/>
          <w:color w:val="auto"/>
        </w:rPr>
        <w:t>Magnum Group</w:t>
      </w:r>
      <w:r>
        <w:rPr>
          <w:rFonts w:ascii="Arial" w:cs="Arial" w:eastAsia="Arial" w:hAnsi="Arial"/>
          <w:sz w:val="16"/>
          <w:szCs w:val="16"/>
          <w:color w:val="auto"/>
        </w:rPr>
        <w:t>, an investment group</w:t>
      </w:r>
    </w:p>
    <w:p>
      <w:pPr>
        <w:spacing w:after="0" w:line="8" w:lineRule="exact"/>
        <w:rPr>
          <w:sz w:val="20"/>
          <w:szCs w:val="20"/>
          <w:color w:val="auto"/>
        </w:rPr>
      </w:pPr>
    </w:p>
    <w:p>
      <w:pPr>
        <w:ind w:left="104" w:right="80"/>
        <w:spacing w:after="0" w:line="220" w:lineRule="auto"/>
        <w:rPr>
          <w:sz w:val="20"/>
          <w:szCs w:val="20"/>
          <w:color w:val="auto"/>
        </w:rPr>
      </w:pPr>
      <w:r>
        <w:rPr>
          <w:rFonts w:ascii="Arial" w:cs="Arial" w:eastAsia="Arial" w:hAnsi="Arial"/>
          <w:sz w:val="16"/>
          <w:szCs w:val="16"/>
          <w:color w:val="auto"/>
        </w:rPr>
        <w:t>investing in telecom and tech ventures, including DSP Group (a major shareholder</w:t>
      </w:r>
    </w:p>
    <w:p>
      <w:pPr>
        <w:ind w:left="104" w:right="200"/>
        <w:spacing w:after="0" w:line="241" w:lineRule="auto"/>
        <w:rPr>
          <w:sz w:val="20"/>
          <w:szCs w:val="20"/>
          <w:color w:val="auto"/>
        </w:rPr>
      </w:pPr>
      <w:r>
        <w:rPr>
          <w:rFonts w:ascii="Arial" w:cs="Arial" w:eastAsia="Arial" w:hAnsi="Arial"/>
          <w:sz w:val="16"/>
          <w:szCs w:val="16"/>
          <w:color w:val="auto"/>
        </w:rPr>
        <w:t>of AudioCodes which was taken public in 1999)</w:t>
      </w:r>
    </w:p>
    <w:p>
      <w:pPr>
        <w:spacing w:after="0" w:line="48" w:lineRule="exact"/>
        <w:rPr>
          <w:sz w:val="20"/>
          <w:szCs w:val="20"/>
          <w:color w:val="auto"/>
        </w:rPr>
      </w:pPr>
    </w:p>
    <w:p>
      <w:pPr>
        <w:ind w:left="264" w:hanging="156"/>
        <w:spacing w:after="0"/>
        <w:tabs>
          <w:tab w:leader="none" w:pos="264" w:val="left"/>
        </w:tabs>
        <w:numPr>
          <w:ilvl w:val="0"/>
          <w:numId w:val="46"/>
        </w:numPr>
        <w:rPr>
          <w:rFonts w:ascii="Arial" w:cs="Arial" w:eastAsia="Arial" w:hAnsi="Arial"/>
          <w:sz w:val="16"/>
          <w:szCs w:val="16"/>
          <w:color w:val="62259D"/>
        </w:rPr>
      </w:pPr>
      <w:r>
        <w:rPr>
          <w:rFonts w:ascii="Arial" w:cs="Arial" w:eastAsia="Arial" w:hAnsi="Arial"/>
          <w:sz w:val="16"/>
          <w:szCs w:val="16"/>
          <w:color w:val="auto"/>
        </w:rPr>
        <w:t>Founder (1994 to 2006)</w:t>
      </w:r>
    </w:p>
    <w:p>
      <w:pPr>
        <w:spacing w:after="0" w:line="44" w:lineRule="exact"/>
        <w:rPr>
          <w:sz w:val="20"/>
          <w:szCs w:val="20"/>
          <w:color w:val="auto"/>
        </w:rPr>
      </w:pPr>
    </w:p>
    <w:p>
      <w:pPr>
        <w:ind w:left="104" w:right="60"/>
        <w:spacing w:after="0" w:line="230" w:lineRule="auto"/>
        <w:rPr>
          <w:sz w:val="20"/>
          <w:szCs w:val="20"/>
          <w:color w:val="auto"/>
        </w:rPr>
      </w:pPr>
      <w:r>
        <w:rPr>
          <w:rFonts w:ascii="Arial" w:cs="Arial" w:eastAsia="Arial" w:hAnsi="Arial"/>
          <w:sz w:val="16"/>
          <w:szCs w:val="16"/>
          <w:b w:val="1"/>
          <w:bCs w:val="1"/>
          <w:color w:val="auto"/>
        </w:rPr>
        <w:t xml:space="preserve">Sapiens International Corporation </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development company which was</w:t>
      </w:r>
    </w:p>
    <w:p>
      <w:pPr>
        <w:spacing w:after="0" w:line="1" w:lineRule="exact"/>
        <w:rPr>
          <w:sz w:val="20"/>
          <w:szCs w:val="20"/>
          <w:color w:val="auto"/>
        </w:rPr>
      </w:pPr>
    </w:p>
    <w:p>
      <w:pPr>
        <w:ind w:left="104"/>
        <w:spacing w:after="0"/>
        <w:rPr>
          <w:sz w:val="20"/>
          <w:szCs w:val="20"/>
          <w:color w:val="auto"/>
        </w:rPr>
      </w:pPr>
      <w:r>
        <w:rPr>
          <w:rFonts w:ascii="Arial" w:cs="Arial" w:eastAsia="Arial" w:hAnsi="Arial"/>
          <w:sz w:val="16"/>
          <w:szCs w:val="16"/>
          <w:color w:val="auto"/>
        </w:rPr>
        <w:t>listed on the Nasdaq Stock Market in 1992</w:t>
      </w:r>
    </w:p>
    <w:p>
      <w:pPr>
        <w:spacing w:after="0" w:line="59" w:lineRule="exact"/>
        <w:rPr>
          <w:sz w:val="20"/>
          <w:szCs w:val="20"/>
          <w:color w:val="auto"/>
        </w:rPr>
      </w:pPr>
    </w:p>
    <w:p>
      <w:pPr>
        <w:ind w:left="264" w:right="380" w:hanging="156"/>
        <w:spacing w:after="0" w:line="259" w:lineRule="auto"/>
        <w:tabs>
          <w:tab w:leader="none" w:pos="264" w:val="left"/>
        </w:tabs>
        <w:numPr>
          <w:ilvl w:val="0"/>
          <w:numId w:val="47"/>
        </w:numPr>
        <w:rPr>
          <w:rFonts w:ascii="Arial" w:cs="Arial" w:eastAsia="Arial" w:hAnsi="Arial"/>
          <w:sz w:val="16"/>
          <w:szCs w:val="16"/>
          <w:color w:val="62259D"/>
        </w:rPr>
      </w:pPr>
      <w:r>
        <w:rPr>
          <w:rFonts w:ascii="Arial" w:cs="Arial" w:eastAsia="Arial" w:hAnsi="Arial"/>
          <w:sz w:val="16"/>
          <w:szCs w:val="16"/>
          <w:color w:val="auto"/>
        </w:rPr>
        <w:t>Founder and Chief Executive Officer (1989 to 1993)</w:t>
      </w:r>
    </w:p>
    <w:p>
      <w:pPr>
        <w:spacing w:after="0" w:line="19" w:lineRule="exact"/>
        <w:rPr>
          <w:sz w:val="20"/>
          <w:szCs w:val="20"/>
          <w:color w:val="auto"/>
        </w:rPr>
      </w:pPr>
    </w:p>
    <w:p>
      <w:pPr>
        <w:ind w:left="104"/>
        <w:spacing w:after="0"/>
        <w:rPr>
          <w:sz w:val="20"/>
          <w:szCs w:val="20"/>
          <w:color w:val="auto"/>
        </w:rPr>
      </w:pPr>
      <w:r>
        <w:rPr>
          <w:rFonts w:ascii="Arial" w:cs="Arial" w:eastAsia="Arial" w:hAnsi="Arial"/>
          <w:sz w:val="16"/>
          <w:szCs w:val="16"/>
          <w:b w:val="1"/>
          <w:bCs w:val="1"/>
          <w:color w:val="auto"/>
        </w:rPr>
        <w:t>Eurosoft</w:t>
      </w:r>
      <w:r>
        <w:rPr>
          <w:rFonts w:ascii="Arial" w:cs="Arial" w:eastAsia="Arial" w:hAnsi="Arial"/>
          <w:sz w:val="16"/>
          <w:szCs w:val="16"/>
          <w:color w:val="auto"/>
        </w:rPr>
        <w:t>, an IT company</w:t>
      </w:r>
    </w:p>
    <w:p>
      <w:pPr>
        <w:spacing w:after="0" w:line="61" w:lineRule="exact"/>
        <w:rPr>
          <w:sz w:val="20"/>
          <w:szCs w:val="20"/>
          <w:color w:val="auto"/>
        </w:rPr>
      </w:pPr>
    </w:p>
    <w:p>
      <w:pPr>
        <w:ind w:left="264" w:hanging="156"/>
        <w:spacing w:after="0"/>
        <w:tabs>
          <w:tab w:leader="none" w:pos="264" w:val="left"/>
        </w:tabs>
        <w:numPr>
          <w:ilvl w:val="0"/>
          <w:numId w:val="48"/>
        </w:numPr>
        <w:rPr>
          <w:rFonts w:ascii="Arial" w:cs="Arial" w:eastAsia="Arial" w:hAnsi="Arial"/>
          <w:sz w:val="16"/>
          <w:szCs w:val="16"/>
          <w:color w:val="62259D"/>
        </w:rPr>
      </w:pPr>
      <w:r>
        <w:rPr>
          <w:rFonts w:ascii="Arial" w:cs="Arial" w:eastAsia="Arial" w:hAnsi="Arial"/>
          <w:sz w:val="16"/>
          <w:szCs w:val="16"/>
          <w:color w:val="auto"/>
        </w:rPr>
        <w:t>Founder and Chief Executive Officer</w:t>
      </w:r>
    </w:p>
    <w:p>
      <w:pPr>
        <w:spacing w:after="0" w:line="30" w:lineRule="exact"/>
        <w:rPr>
          <w:rFonts w:ascii="Arial" w:cs="Arial" w:eastAsia="Arial" w:hAnsi="Arial"/>
          <w:sz w:val="16"/>
          <w:szCs w:val="16"/>
          <w:color w:val="62259D"/>
        </w:rPr>
      </w:pPr>
    </w:p>
    <w:p>
      <w:pPr>
        <w:ind w:left="104"/>
        <w:spacing w:after="0"/>
        <w:rPr>
          <w:rFonts w:ascii="Arial" w:cs="Arial" w:eastAsia="Arial" w:hAnsi="Arial"/>
          <w:sz w:val="16"/>
          <w:szCs w:val="16"/>
          <w:color w:val="62259D"/>
        </w:rPr>
      </w:pPr>
      <w:r>
        <w:rPr>
          <w:rFonts w:ascii="Arial" w:cs="Arial" w:eastAsia="Arial" w:hAnsi="Arial"/>
          <w:sz w:val="16"/>
          <w:szCs w:val="16"/>
          <w:b w:val="1"/>
          <w:bCs w:val="1"/>
          <w:color w:val="auto"/>
        </w:rPr>
        <w:t>Tecnomatix Technologies</w:t>
      </w:r>
    </w:p>
    <w:p>
      <w:pPr>
        <w:spacing w:after="0" w:line="61" w:lineRule="exact"/>
        <w:rPr>
          <w:rFonts w:ascii="Arial" w:cs="Arial" w:eastAsia="Arial" w:hAnsi="Arial"/>
          <w:sz w:val="16"/>
          <w:szCs w:val="16"/>
          <w:color w:val="62259D"/>
        </w:rPr>
      </w:pPr>
    </w:p>
    <w:p>
      <w:pPr>
        <w:ind w:left="264" w:hanging="156"/>
        <w:spacing w:after="0"/>
        <w:tabs>
          <w:tab w:leader="none" w:pos="264" w:val="left"/>
        </w:tabs>
        <w:numPr>
          <w:ilvl w:val="0"/>
          <w:numId w:val="48"/>
        </w:numPr>
        <w:rPr>
          <w:rFonts w:ascii="Arial" w:cs="Arial" w:eastAsia="Arial" w:hAnsi="Arial"/>
          <w:sz w:val="16"/>
          <w:szCs w:val="16"/>
          <w:color w:val="62259D"/>
        </w:rPr>
      </w:pPr>
      <w:r>
        <w:rPr>
          <w:rFonts w:ascii="Arial" w:cs="Arial" w:eastAsia="Arial" w:hAnsi="Arial"/>
          <w:sz w:val="16"/>
          <w:szCs w:val="16"/>
          <w:color w:val="auto"/>
        </w:rPr>
        <w:t>Founder (1983)</w:t>
      </w:r>
    </w:p>
    <w:p>
      <w:pPr>
        <w:spacing w:after="0" w:line="44" w:lineRule="exact"/>
        <w:rPr>
          <w:sz w:val="20"/>
          <w:szCs w:val="20"/>
          <w:color w:val="auto"/>
        </w:rPr>
      </w:pPr>
    </w:p>
    <w:p>
      <w:pPr>
        <w:ind w:left="104" w:right="80"/>
        <w:spacing w:after="0" w:line="261" w:lineRule="auto"/>
        <w:rPr>
          <w:sz w:val="20"/>
          <w:szCs w:val="20"/>
          <w:color w:val="auto"/>
        </w:rPr>
      </w:pPr>
      <w:r>
        <w:rPr>
          <w:rFonts w:ascii="Arial" w:cs="Arial" w:eastAsia="Arial" w:hAnsi="Arial"/>
          <w:sz w:val="16"/>
          <w:szCs w:val="16"/>
          <w:b w:val="1"/>
          <w:bCs w:val="1"/>
          <w:color w:val="auto"/>
        </w:rPr>
        <w:t>Oshap Technologies Ltd.</w:t>
      </w:r>
      <w:r>
        <w:rPr>
          <w:rFonts w:ascii="Arial" w:cs="Arial" w:eastAsia="Arial" w:hAnsi="Arial"/>
          <w:sz w:val="16"/>
          <w:szCs w:val="16"/>
          <w:color w:val="auto"/>
        </w:rPr>
        <w:t>, a developer</w:t>
      </w:r>
      <w:r>
        <w:rPr>
          <w:rFonts w:ascii="Arial" w:cs="Arial" w:eastAsia="Arial" w:hAnsi="Arial"/>
          <w:sz w:val="16"/>
          <w:szCs w:val="16"/>
          <w:b w:val="1"/>
          <w:bCs w:val="1"/>
          <w:color w:val="auto"/>
        </w:rPr>
        <w:t xml:space="preserve"> </w:t>
      </w:r>
      <w:r>
        <w:rPr>
          <w:rFonts w:ascii="Arial" w:cs="Arial" w:eastAsia="Arial" w:hAnsi="Arial"/>
          <w:sz w:val="16"/>
          <w:szCs w:val="16"/>
          <w:color w:val="auto"/>
        </w:rPr>
        <w:t>of flexible automation software for robotics</w:t>
      </w:r>
    </w:p>
    <w:p>
      <w:pPr>
        <w:spacing w:after="0" w:line="34" w:lineRule="exact"/>
        <w:rPr>
          <w:sz w:val="20"/>
          <w:szCs w:val="20"/>
          <w:color w:val="auto"/>
        </w:rPr>
      </w:pPr>
    </w:p>
    <w:p>
      <w:pPr>
        <w:ind w:left="264" w:right="380" w:hanging="156"/>
        <w:spacing w:after="0" w:line="259" w:lineRule="auto"/>
        <w:tabs>
          <w:tab w:leader="none" w:pos="264" w:val="left"/>
        </w:tabs>
        <w:numPr>
          <w:ilvl w:val="0"/>
          <w:numId w:val="49"/>
        </w:numPr>
        <w:rPr>
          <w:rFonts w:ascii="Arial" w:cs="Arial" w:eastAsia="Arial" w:hAnsi="Arial"/>
          <w:sz w:val="16"/>
          <w:szCs w:val="16"/>
          <w:color w:val="62259D"/>
        </w:rPr>
      </w:pPr>
      <w:r>
        <w:rPr>
          <w:rFonts w:ascii="Arial" w:cs="Arial" w:eastAsia="Arial" w:hAnsi="Arial"/>
          <w:sz w:val="16"/>
          <w:szCs w:val="16"/>
          <w:color w:val="auto"/>
        </w:rPr>
        <w:t>Founder and Chief Executive Officer (1982 to 1985)</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338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62259D"/>
        </w:rPr>
        <w:t>BOARD SERVICE</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360" w:right="219" w:hanging="154"/>
        <w:spacing w:after="0" w:line="235" w:lineRule="auto"/>
        <w:tabs>
          <w:tab w:leader="none" w:pos="360" w:val="left"/>
        </w:tabs>
        <w:numPr>
          <w:ilvl w:val="0"/>
          <w:numId w:val="50"/>
        </w:numPr>
        <w:rPr>
          <w:rFonts w:ascii="Arial" w:cs="Arial" w:eastAsia="Arial" w:hAnsi="Arial"/>
          <w:sz w:val="16"/>
          <w:szCs w:val="16"/>
          <w:color w:val="62259D"/>
        </w:rPr>
      </w:pPr>
      <w:r>
        <w:rPr>
          <w:rFonts w:ascii="Arial" w:cs="Arial" w:eastAsia="Arial" w:hAnsi="Arial"/>
          <w:sz w:val="16"/>
          <w:szCs w:val="16"/>
          <w:b w:val="1"/>
          <w:bCs w:val="1"/>
          <w:color w:val="auto"/>
        </w:rPr>
        <w:t xml:space="preserve">ECI </w:t>
      </w:r>
      <w:r>
        <w:rPr>
          <w:rFonts w:ascii="Arial" w:cs="Arial" w:eastAsia="Arial" w:hAnsi="Arial"/>
          <w:sz w:val="16"/>
          <w:szCs w:val="16"/>
          <w:color w:val="auto"/>
        </w:rPr>
        <w:t>(where Swarth Group was the</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controlling shareholder) (2007 to 2012), holding the position of Chairman (2009 to 2012)</w:t>
      </w:r>
    </w:p>
    <w:p>
      <w:pPr>
        <w:spacing w:after="0" w:line="48" w:lineRule="exact"/>
        <w:rPr>
          <w:rFonts w:ascii="Arial" w:cs="Arial" w:eastAsia="Arial" w:hAnsi="Arial"/>
          <w:sz w:val="16"/>
          <w:szCs w:val="16"/>
          <w:color w:val="62259D"/>
        </w:rPr>
      </w:pPr>
    </w:p>
    <w:p>
      <w:pPr>
        <w:ind w:left="360" w:right="219" w:hanging="154"/>
        <w:spacing w:after="0" w:line="233" w:lineRule="auto"/>
        <w:tabs>
          <w:tab w:leader="none" w:pos="360" w:val="left"/>
        </w:tabs>
        <w:numPr>
          <w:ilvl w:val="0"/>
          <w:numId w:val="50"/>
        </w:numPr>
        <w:rPr>
          <w:rFonts w:ascii="Arial" w:cs="Arial" w:eastAsia="Arial" w:hAnsi="Arial"/>
          <w:sz w:val="16"/>
          <w:szCs w:val="16"/>
          <w:color w:val="62259D"/>
        </w:rPr>
      </w:pPr>
      <w:r>
        <w:rPr>
          <w:rFonts w:ascii="Arial" w:cs="Arial" w:eastAsia="Arial" w:hAnsi="Arial"/>
          <w:sz w:val="16"/>
          <w:szCs w:val="16"/>
          <w:b w:val="1"/>
          <w:bCs w:val="1"/>
          <w:color w:val="auto"/>
        </w:rPr>
        <w:t>Global Village Telecom</w:t>
      </w:r>
      <w:r>
        <w:rPr>
          <w:rFonts w:ascii="Arial" w:cs="Arial" w:eastAsia="Arial" w:hAnsi="Arial"/>
          <w:sz w:val="16"/>
          <w:szCs w:val="16"/>
          <w:color w:val="auto"/>
        </w:rPr>
        <w:t>, a</w:t>
      </w:r>
      <w:r>
        <w:rPr>
          <w:rFonts w:ascii="Arial" w:cs="Arial" w:eastAsia="Arial" w:hAnsi="Arial"/>
          <w:sz w:val="16"/>
          <w:szCs w:val="16"/>
          <w:b w:val="1"/>
          <w:bCs w:val="1"/>
          <w:color w:val="auto"/>
        </w:rPr>
        <w:t xml:space="preserve"> </w:t>
      </w:r>
      <w:r>
        <w:rPr>
          <w:rFonts w:ascii="Arial" w:cs="Arial" w:eastAsia="Arial" w:hAnsi="Arial"/>
          <w:sz w:val="16"/>
          <w:szCs w:val="16"/>
          <w:color w:val="auto"/>
        </w:rPr>
        <w:t>telecommunications service provider in Brazil (where Swarth Group was the lead investor), Executive Chairman (1997 until its acquisition by the Vivendi Group in 2009)</w:t>
      </w:r>
    </w:p>
    <w:p>
      <w:pPr>
        <w:spacing w:after="0" w:line="48" w:lineRule="exact"/>
        <w:rPr>
          <w:rFonts w:ascii="Arial" w:cs="Arial" w:eastAsia="Arial" w:hAnsi="Arial"/>
          <w:sz w:val="16"/>
          <w:szCs w:val="16"/>
          <w:color w:val="62259D"/>
        </w:rPr>
      </w:pPr>
    </w:p>
    <w:p>
      <w:pPr>
        <w:ind w:left="360" w:right="439" w:hanging="154"/>
        <w:spacing w:after="0" w:line="237" w:lineRule="auto"/>
        <w:tabs>
          <w:tab w:leader="none" w:pos="360" w:val="left"/>
        </w:tabs>
        <w:numPr>
          <w:ilvl w:val="0"/>
          <w:numId w:val="50"/>
        </w:numPr>
        <w:rPr>
          <w:rFonts w:ascii="Arial" w:cs="Arial" w:eastAsia="Arial" w:hAnsi="Arial"/>
          <w:sz w:val="16"/>
          <w:szCs w:val="16"/>
          <w:color w:val="62259D"/>
        </w:rPr>
      </w:pPr>
      <w:r>
        <w:rPr>
          <w:rFonts w:ascii="Arial" w:cs="Arial" w:eastAsia="Arial" w:hAnsi="Arial"/>
          <w:sz w:val="16"/>
          <w:szCs w:val="16"/>
          <w:b w:val="1"/>
          <w:bCs w:val="1"/>
          <w:color w:val="auto"/>
        </w:rPr>
        <w:t xml:space="preserve">DSP Group </w:t>
      </w:r>
      <w:r>
        <w:rPr>
          <w:rFonts w:ascii="Arial" w:cs="Arial" w:eastAsia="Arial" w:hAnsi="Arial"/>
          <w:sz w:val="16"/>
          <w:szCs w:val="16"/>
          <w:color w:val="auto"/>
        </w:rPr>
        <w:t>(serving as director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the Magnum Group) (1999 to 2000)</w:t>
      </w:r>
    </w:p>
    <w:p>
      <w:pPr>
        <w:spacing w:after="0" w:line="48" w:lineRule="exact"/>
        <w:rPr>
          <w:rFonts w:ascii="Arial" w:cs="Arial" w:eastAsia="Arial" w:hAnsi="Arial"/>
          <w:sz w:val="16"/>
          <w:szCs w:val="16"/>
          <w:color w:val="62259D"/>
        </w:rPr>
      </w:pPr>
    </w:p>
    <w:p>
      <w:pPr>
        <w:ind w:left="360" w:right="379" w:hanging="154"/>
        <w:spacing w:after="0" w:line="261" w:lineRule="auto"/>
        <w:tabs>
          <w:tab w:leader="none" w:pos="360" w:val="left"/>
        </w:tabs>
        <w:numPr>
          <w:ilvl w:val="0"/>
          <w:numId w:val="50"/>
        </w:numPr>
        <w:rPr>
          <w:rFonts w:ascii="Arial" w:cs="Arial" w:eastAsia="Arial" w:hAnsi="Arial"/>
          <w:sz w:val="16"/>
          <w:szCs w:val="16"/>
          <w:color w:val="62259D"/>
        </w:rPr>
      </w:pPr>
      <w:r>
        <w:rPr>
          <w:rFonts w:ascii="Arial" w:cs="Arial" w:eastAsia="Arial" w:hAnsi="Arial"/>
          <w:sz w:val="16"/>
          <w:szCs w:val="16"/>
          <w:b w:val="1"/>
          <w:bCs w:val="1"/>
          <w:color w:val="auto"/>
        </w:rPr>
        <w:t>Sapiens International Corporation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(1989 to 1993)</w:t>
      </w:r>
    </w:p>
    <w:p>
      <w:pPr>
        <w:spacing w:after="0" w:line="33" w:lineRule="exact"/>
        <w:rPr>
          <w:rFonts w:ascii="Arial" w:cs="Arial" w:eastAsia="Arial" w:hAnsi="Arial"/>
          <w:sz w:val="16"/>
          <w:szCs w:val="16"/>
          <w:color w:val="62259D"/>
        </w:rPr>
      </w:pPr>
    </w:p>
    <w:p>
      <w:pPr>
        <w:ind w:left="360" w:right="259" w:hanging="154"/>
        <w:spacing w:after="0" w:line="234" w:lineRule="auto"/>
        <w:tabs>
          <w:tab w:leader="none" w:pos="360" w:val="left"/>
        </w:tabs>
        <w:numPr>
          <w:ilvl w:val="0"/>
          <w:numId w:val="50"/>
        </w:numPr>
        <w:rPr>
          <w:rFonts w:ascii="Arial" w:cs="Arial" w:eastAsia="Arial" w:hAnsi="Arial"/>
          <w:sz w:val="16"/>
          <w:szCs w:val="16"/>
          <w:color w:val="62259D"/>
        </w:rPr>
      </w:pPr>
      <w:r>
        <w:rPr>
          <w:rFonts w:ascii="Arial" w:cs="Arial" w:eastAsia="Arial" w:hAnsi="Arial"/>
          <w:sz w:val="16"/>
          <w:szCs w:val="16"/>
          <w:color w:val="auto"/>
        </w:rPr>
        <w:t>held board positions at many private and public companies in the field of telecommunications and technology over the last 30 years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SKILLS AND EXPERTISE</w:t>
      </w:r>
    </w:p>
    <w:p>
      <w:pPr>
        <w:spacing w:after="0" w:line="48" w:lineRule="exact"/>
        <w:rPr>
          <w:sz w:val="20"/>
          <w:szCs w:val="20"/>
          <w:color w:val="auto"/>
        </w:rPr>
      </w:pPr>
    </w:p>
    <w:p>
      <w:pPr>
        <w:ind w:left="200" w:right="379"/>
        <w:spacing w:after="0" w:line="229" w:lineRule="auto"/>
        <w:rPr>
          <w:sz w:val="20"/>
          <w:szCs w:val="20"/>
          <w:color w:val="auto"/>
        </w:rPr>
      </w:pPr>
      <w:r>
        <w:rPr>
          <w:rFonts w:ascii="Arial" w:cs="Arial" w:eastAsia="Arial" w:hAnsi="Arial"/>
          <w:sz w:val="16"/>
          <w:szCs w:val="16"/>
          <w:color w:val="auto"/>
        </w:rPr>
        <w:t>We believe Mr. Shani is qualified to serve on the Board due to his extensive</w:t>
      </w:r>
    </w:p>
    <w:p>
      <w:pPr>
        <w:ind w:left="200" w:right="399"/>
        <w:spacing w:after="0" w:line="228" w:lineRule="auto"/>
        <w:rPr>
          <w:sz w:val="20"/>
          <w:szCs w:val="20"/>
          <w:color w:val="auto"/>
        </w:rPr>
      </w:pPr>
      <w:r>
        <w:rPr>
          <w:rFonts w:ascii="Arial" w:cs="Arial" w:eastAsia="Arial" w:hAnsi="Arial"/>
          <w:sz w:val="16"/>
          <w:szCs w:val="16"/>
          <w:color w:val="auto"/>
        </w:rPr>
        <w:t>background in finance and private equity, his extensive knowledge of the</w:t>
      </w:r>
    </w:p>
    <w:p>
      <w:pPr>
        <w:spacing w:after="0" w:line="1" w:lineRule="exact"/>
        <w:rPr>
          <w:sz w:val="20"/>
          <w:szCs w:val="20"/>
          <w:color w:val="auto"/>
        </w:rPr>
      </w:pPr>
    </w:p>
    <w:p>
      <w:pPr>
        <w:ind w:left="200" w:right="759"/>
        <w:spacing w:after="0" w:line="220" w:lineRule="auto"/>
        <w:rPr>
          <w:sz w:val="20"/>
          <w:szCs w:val="20"/>
          <w:color w:val="auto"/>
        </w:rPr>
      </w:pPr>
      <w:r>
        <w:rPr>
          <w:rFonts w:ascii="Arial" w:cs="Arial" w:eastAsia="Arial" w:hAnsi="Arial"/>
          <w:sz w:val="16"/>
          <w:szCs w:val="16"/>
          <w:color w:val="auto"/>
        </w:rPr>
        <w:t>telecommunication business and his experience serving as a director of</w:t>
      </w:r>
    </w:p>
    <w:p>
      <w:pPr>
        <w:ind w:left="200" w:right="659"/>
        <w:spacing w:after="0" w:line="241" w:lineRule="auto"/>
        <w:rPr>
          <w:sz w:val="20"/>
          <w:szCs w:val="20"/>
          <w:color w:val="auto"/>
        </w:rPr>
      </w:pPr>
      <w:r>
        <w:rPr>
          <w:rFonts w:ascii="Arial" w:cs="Arial" w:eastAsia="Arial" w:hAnsi="Arial"/>
          <w:sz w:val="16"/>
          <w:szCs w:val="16"/>
          <w:color w:val="auto"/>
        </w:rPr>
        <w:t>companies in the telecommunications industry.</w:t>
      </w:r>
    </w:p>
    <w:p>
      <w:pPr>
        <w:spacing w:after="0" w:line="200" w:lineRule="exact"/>
        <w:rPr>
          <w:sz w:val="20"/>
          <w:szCs w:val="20"/>
          <w:color w:val="auto"/>
        </w:rPr>
      </w:pPr>
    </w:p>
    <w:p>
      <w:pPr>
        <w:sectPr>
          <w:pgSz w:w="11900" w:h="16838" w:orient="portrait"/>
          <w:cols w:equalWidth="0" w:num="3">
            <w:col w:w="2256" w:space="720"/>
            <w:col w:w="3284" w:space="20"/>
            <w:col w:w="3599"/>
          </w:cols>
          <w:pgMar w:left="580" w:top="97" w:right="1440" w:bottom="1440" w:gutter="0" w:footer="0" w:header="0"/>
          <w:type w:val="continuous"/>
        </w:sectPr>
      </w:pPr>
    </w:p>
    <w:p>
      <w:pPr>
        <w:spacing w:after="0" w:line="384"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-12700</wp:posOffset>
            </wp:positionV>
            <wp:extent cx="56235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18" w:lineRule="exact"/>
        <w:rPr>
          <w:sz w:val="20"/>
          <w:szCs w:val="20"/>
          <w:color w:val="auto"/>
        </w:rPr>
      </w:pPr>
    </w:p>
    <w:p>
      <w:pPr>
        <w:ind w:left="920"/>
        <w:spacing w:after="0"/>
        <w:tabs>
          <w:tab w:leader="none" w:pos="2740" w:val="left"/>
        </w:tabs>
        <w:rPr>
          <w:sz w:val="20"/>
          <w:szCs w:val="20"/>
          <w:color w:val="auto"/>
        </w:rPr>
      </w:pPr>
      <w:r>
        <w:rPr>
          <w:rFonts w:ascii="Arial" w:cs="Arial" w:eastAsia="Arial" w:hAnsi="Arial"/>
          <w:sz w:val="16"/>
          <w:szCs w:val="16"/>
          <w:color w:val="62259D"/>
        </w:rPr>
        <w:t>​</w:t>
      </w:r>
      <w:r>
        <w:rPr>
          <w:sz w:val="20"/>
          <w:szCs w:val="20"/>
          <w:color w:val="auto"/>
        </w:rPr>
        <w:tab/>
      </w:r>
      <w:r>
        <w:rPr>
          <w:rFonts w:ascii="Arial" w:cs="Arial" w:eastAsia="Arial" w:hAnsi="Arial"/>
          <w:sz w:val="16"/>
          <w:szCs w:val="16"/>
          <w:color w:val="62259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-107315</wp:posOffset>
            </wp:positionV>
            <wp:extent cx="1054100" cy="10883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54100" cy="108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72</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tabs>
          <w:tab w:leader="none" w:pos="1200" w:val="left"/>
        </w:tabs>
        <w:numPr>
          <w:ilvl w:val="0"/>
          <w:numId w:val="51"/>
        </w:numPr>
        <w:rPr>
          <w:rFonts w:ascii="Arial" w:cs="Arial" w:eastAsia="Arial" w:hAnsi="Arial"/>
          <w:sz w:val="16"/>
          <w:szCs w:val="16"/>
          <w:color w:val="62259D"/>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left="224" w:hanging="224"/>
        <w:spacing w:after="0"/>
        <w:tabs>
          <w:tab w:leader="none" w:pos="224" w:val="left"/>
        </w:tabs>
        <w:numPr>
          <w:ilvl w:val="0"/>
          <w:numId w:val="52"/>
        </w:numPr>
        <w:rPr>
          <w:rFonts w:ascii="Arial" w:cs="Arial" w:eastAsia="Arial" w:hAnsi="Arial"/>
          <w:sz w:val="25"/>
          <w:szCs w:val="25"/>
          <w:b w:val="1"/>
          <w:bCs w:val="1"/>
          <w:color w:val="FEFEFE"/>
        </w:rPr>
      </w:pPr>
      <w:r>
        <w:rPr>
          <w:rFonts w:ascii="Arial" w:cs="Arial" w:eastAsia="Arial" w:hAnsi="Arial"/>
          <w:sz w:val="25"/>
          <w:szCs w:val="25"/>
          <w:b w:val="1"/>
          <w:bCs w:val="1"/>
          <w:color w:val="FEFEFE"/>
        </w:rPr>
        <w:t>LOUIS SILVER​</w:t>
      </w:r>
    </w:p>
    <w:p>
      <w:pPr>
        <w:spacing w:after="0" w:line="200" w:lineRule="exact"/>
        <w:rPr>
          <w:rFonts w:ascii="Arial" w:cs="Arial" w:eastAsia="Arial" w:hAnsi="Arial"/>
          <w:sz w:val="25"/>
          <w:szCs w:val="25"/>
          <w:b w:val="1"/>
          <w:bCs w:val="1"/>
          <w:color w:val="FEFEFE"/>
        </w:rPr>
      </w:pPr>
    </w:p>
    <w:p>
      <w:pPr>
        <w:spacing w:after="0" w:line="201" w:lineRule="exact"/>
        <w:rPr>
          <w:rFonts w:ascii="Arial" w:cs="Arial" w:eastAsia="Arial" w:hAnsi="Arial"/>
          <w:sz w:val="25"/>
          <w:szCs w:val="25"/>
          <w:b w:val="1"/>
          <w:bCs w:val="1"/>
          <w:color w:val="FEFEFE"/>
        </w:rPr>
      </w:pPr>
    </w:p>
    <w:p>
      <w:pPr>
        <w:ind w:left="104" w:hanging="104"/>
        <w:spacing w:after="0"/>
        <w:tabs>
          <w:tab w:leader="none" w:pos="104"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6" w:lineRule="exact"/>
        <w:rPr>
          <w:sz w:val="20"/>
          <w:szCs w:val="20"/>
          <w:color w:val="auto"/>
        </w:rPr>
      </w:pPr>
    </w:p>
    <w:p>
      <w:pPr>
        <w:ind w:left="104" w:right="60"/>
        <w:spacing w:after="0" w:line="244" w:lineRule="auto"/>
        <w:rPr>
          <w:sz w:val="20"/>
          <w:szCs w:val="20"/>
          <w:color w:val="auto"/>
        </w:rPr>
      </w:pPr>
      <w:r>
        <w:rPr>
          <w:rFonts w:ascii="Arial" w:cs="Arial" w:eastAsia="Arial" w:hAnsi="Arial"/>
          <w:sz w:val="16"/>
          <w:szCs w:val="16"/>
          <w:b w:val="1"/>
          <w:bCs w:val="1"/>
          <w:color w:val="auto"/>
        </w:rPr>
        <w:t>Alba Capital S.A.</w:t>
      </w:r>
      <w:r>
        <w:rPr>
          <w:rFonts w:ascii="Arial" w:cs="Arial" w:eastAsia="Arial" w:hAnsi="Arial"/>
          <w:sz w:val="16"/>
          <w:szCs w:val="16"/>
          <w:color w:val="auto"/>
        </w:rPr>
        <w:t>, a private holding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w:t>
      </w:r>
    </w:p>
    <w:p>
      <w:pPr>
        <w:spacing w:after="0" w:line="46" w:lineRule="exact"/>
        <w:rPr>
          <w:sz w:val="20"/>
          <w:szCs w:val="20"/>
          <w:color w:val="auto"/>
        </w:rPr>
      </w:pPr>
    </w:p>
    <w:p>
      <w:pPr>
        <w:ind w:left="264" w:hanging="156"/>
        <w:spacing w:after="0"/>
        <w:tabs>
          <w:tab w:leader="none" w:pos="264" w:val="left"/>
        </w:tabs>
        <w:numPr>
          <w:ilvl w:val="0"/>
          <w:numId w:val="53"/>
        </w:numPr>
        <w:rPr>
          <w:rFonts w:ascii="Arial" w:cs="Arial" w:eastAsia="Arial" w:hAnsi="Arial"/>
          <w:sz w:val="16"/>
          <w:szCs w:val="16"/>
          <w:color w:val="62259D"/>
        </w:rPr>
      </w:pPr>
      <w:r>
        <w:rPr>
          <w:rFonts w:ascii="Arial" w:cs="Arial" w:eastAsia="Arial" w:hAnsi="Arial"/>
          <w:sz w:val="16"/>
          <w:szCs w:val="16"/>
          <w:color w:val="auto"/>
        </w:rPr>
        <w:t>Managing Director (2016 to present)</w:t>
      </w:r>
    </w:p>
    <w:p>
      <w:pPr>
        <w:spacing w:after="0" w:line="59" w:lineRule="exact"/>
        <w:rPr>
          <w:rFonts w:ascii="Arial" w:cs="Arial" w:eastAsia="Arial" w:hAnsi="Arial"/>
          <w:sz w:val="16"/>
          <w:szCs w:val="16"/>
          <w:color w:val="62259D"/>
        </w:rPr>
      </w:pPr>
    </w:p>
    <w:p>
      <w:pPr>
        <w:ind w:left="264" w:hanging="156"/>
        <w:spacing w:after="0"/>
        <w:tabs>
          <w:tab w:leader="none" w:pos="264" w:val="left"/>
        </w:tabs>
        <w:numPr>
          <w:ilvl w:val="0"/>
          <w:numId w:val="53"/>
        </w:numPr>
        <w:rPr>
          <w:rFonts w:ascii="Arial" w:cs="Arial" w:eastAsia="Arial" w:hAnsi="Arial"/>
          <w:sz w:val="16"/>
          <w:szCs w:val="16"/>
          <w:color w:val="62259D"/>
        </w:rPr>
      </w:pPr>
      <w:r>
        <w:rPr>
          <w:rFonts w:ascii="Arial" w:cs="Arial" w:eastAsia="Arial" w:hAnsi="Arial"/>
          <w:sz w:val="16"/>
          <w:szCs w:val="16"/>
          <w:color w:val="auto"/>
        </w:rPr>
        <w:t>Corporate Advisor (2018 to present)</w:t>
      </w:r>
    </w:p>
    <w:p>
      <w:pPr>
        <w:spacing w:after="0" w:line="44" w:lineRule="exact"/>
        <w:rPr>
          <w:sz w:val="20"/>
          <w:szCs w:val="20"/>
          <w:color w:val="auto"/>
        </w:rPr>
      </w:pPr>
    </w:p>
    <w:p>
      <w:pPr>
        <w:ind w:left="104" w:right="260"/>
        <w:spacing w:after="0" w:line="261" w:lineRule="auto"/>
        <w:rPr>
          <w:sz w:val="20"/>
          <w:szCs w:val="20"/>
          <w:color w:val="auto"/>
        </w:rPr>
      </w:pPr>
      <w:r>
        <w:rPr>
          <w:rFonts w:ascii="Arial" w:cs="Arial" w:eastAsia="Arial" w:hAnsi="Arial"/>
          <w:sz w:val="16"/>
          <w:szCs w:val="16"/>
          <w:b w:val="1"/>
          <w:bCs w:val="1"/>
          <w:color w:val="auto"/>
        </w:rPr>
        <w:t>Wicklow Corp.</w:t>
      </w:r>
      <w:r>
        <w:rPr>
          <w:rFonts w:ascii="Arial" w:cs="Arial" w:eastAsia="Arial" w:hAnsi="Arial"/>
          <w:sz w:val="16"/>
          <w:szCs w:val="16"/>
          <w:color w:val="auto"/>
        </w:rPr>
        <w:t>, a private holding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w:t>
      </w:r>
    </w:p>
    <w:p>
      <w:pPr>
        <w:spacing w:after="0" w:line="34" w:lineRule="exact"/>
        <w:rPr>
          <w:sz w:val="20"/>
          <w:szCs w:val="20"/>
          <w:color w:val="auto"/>
        </w:rPr>
      </w:pPr>
    </w:p>
    <w:p>
      <w:pPr>
        <w:ind w:left="264" w:hanging="156"/>
        <w:spacing w:after="0"/>
        <w:tabs>
          <w:tab w:leader="none" w:pos="264" w:val="left"/>
        </w:tabs>
        <w:numPr>
          <w:ilvl w:val="0"/>
          <w:numId w:val="54"/>
        </w:numPr>
        <w:rPr>
          <w:rFonts w:ascii="Arial" w:cs="Arial" w:eastAsia="Arial" w:hAnsi="Arial"/>
          <w:sz w:val="16"/>
          <w:szCs w:val="16"/>
          <w:color w:val="62259D"/>
        </w:rPr>
      </w:pPr>
      <w:r>
        <w:rPr>
          <w:rFonts w:ascii="Arial" w:cs="Arial" w:eastAsia="Arial" w:hAnsi="Arial"/>
          <w:sz w:val="16"/>
          <w:szCs w:val="16"/>
          <w:color w:val="auto"/>
        </w:rPr>
        <w:t>Managing Director (2016 to present)</w:t>
      </w:r>
    </w:p>
    <w:p>
      <w:pPr>
        <w:spacing w:after="0" w:line="59" w:lineRule="exact"/>
        <w:rPr>
          <w:rFonts w:ascii="Arial" w:cs="Arial" w:eastAsia="Arial" w:hAnsi="Arial"/>
          <w:sz w:val="16"/>
          <w:szCs w:val="16"/>
          <w:color w:val="62259D"/>
        </w:rPr>
      </w:pPr>
    </w:p>
    <w:p>
      <w:pPr>
        <w:ind w:left="264" w:hanging="156"/>
        <w:spacing w:after="0"/>
        <w:tabs>
          <w:tab w:leader="none" w:pos="264" w:val="left"/>
        </w:tabs>
        <w:numPr>
          <w:ilvl w:val="0"/>
          <w:numId w:val="54"/>
        </w:numPr>
        <w:rPr>
          <w:rFonts w:ascii="Arial" w:cs="Arial" w:eastAsia="Arial" w:hAnsi="Arial"/>
          <w:sz w:val="16"/>
          <w:szCs w:val="16"/>
          <w:color w:val="62259D"/>
        </w:rPr>
      </w:pPr>
      <w:r>
        <w:rPr>
          <w:rFonts w:ascii="Arial" w:cs="Arial" w:eastAsia="Arial" w:hAnsi="Arial"/>
          <w:sz w:val="16"/>
          <w:szCs w:val="16"/>
          <w:color w:val="auto"/>
        </w:rPr>
        <w:t>Corporate Advisor (2018 to present)</w:t>
      </w:r>
    </w:p>
    <w:p>
      <w:pPr>
        <w:spacing w:after="0" w:line="44" w:lineRule="exact"/>
        <w:rPr>
          <w:sz w:val="20"/>
          <w:szCs w:val="20"/>
          <w:color w:val="auto"/>
        </w:rPr>
      </w:pPr>
    </w:p>
    <w:p>
      <w:pPr>
        <w:ind w:left="104" w:right="260"/>
        <w:spacing w:after="0" w:line="230" w:lineRule="auto"/>
        <w:rPr>
          <w:sz w:val="20"/>
          <w:szCs w:val="20"/>
          <w:color w:val="auto"/>
        </w:rPr>
      </w:pPr>
      <w:r>
        <w:rPr>
          <w:rFonts w:ascii="Arial" w:cs="Arial" w:eastAsia="Arial" w:hAnsi="Arial"/>
          <w:sz w:val="16"/>
          <w:szCs w:val="16"/>
          <w:b w:val="1"/>
          <w:bCs w:val="1"/>
          <w:color w:val="auto"/>
        </w:rPr>
        <w:t>RP Capital UK Ltd.</w:t>
      </w:r>
      <w:r>
        <w:rPr>
          <w:rFonts w:ascii="Arial" w:cs="Arial" w:eastAsia="Arial" w:hAnsi="Arial"/>
          <w:sz w:val="16"/>
          <w:szCs w:val="16"/>
          <w:color w:val="auto"/>
        </w:rPr>
        <w:t>, a multi-class</w:t>
      </w:r>
      <w:r>
        <w:rPr>
          <w:rFonts w:ascii="Arial" w:cs="Arial" w:eastAsia="Arial" w:hAnsi="Arial"/>
          <w:sz w:val="16"/>
          <w:szCs w:val="16"/>
          <w:b w:val="1"/>
          <w:bCs w:val="1"/>
          <w:color w:val="auto"/>
        </w:rPr>
        <w:t xml:space="preserve"> </w:t>
      </w:r>
      <w:r>
        <w:rPr>
          <w:rFonts w:ascii="Arial" w:cs="Arial" w:eastAsia="Arial" w:hAnsi="Arial"/>
          <w:sz w:val="16"/>
          <w:szCs w:val="16"/>
          <w:color w:val="auto"/>
        </w:rPr>
        <w:t>alternative investment fund focused on</w:t>
      </w:r>
    </w:p>
    <w:p>
      <w:pPr>
        <w:spacing w:after="0" w:line="1" w:lineRule="exact"/>
        <w:rPr>
          <w:sz w:val="20"/>
          <w:szCs w:val="20"/>
          <w:color w:val="auto"/>
        </w:rPr>
      </w:pPr>
    </w:p>
    <w:p>
      <w:pPr>
        <w:ind w:left="104" w:right="160"/>
        <w:spacing w:after="0" w:line="241" w:lineRule="auto"/>
        <w:rPr>
          <w:sz w:val="20"/>
          <w:szCs w:val="20"/>
          <w:color w:val="auto"/>
        </w:rPr>
      </w:pPr>
      <w:r>
        <w:rPr>
          <w:rFonts w:ascii="Arial" w:cs="Arial" w:eastAsia="Arial" w:hAnsi="Arial"/>
          <w:sz w:val="16"/>
          <w:szCs w:val="16"/>
          <w:color w:val="auto"/>
        </w:rPr>
        <w:t>liquid and illiquid investments in Eastern Europe, the Middle East and Africa</w:t>
      </w:r>
    </w:p>
    <w:p>
      <w:pPr>
        <w:spacing w:after="0" w:line="48" w:lineRule="exact"/>
        <w:rPr>
          <w:sz w:val="20"/>
          <w:szCs w:val="20"/>
          <w:color w:val="auto"/>
        </w:rPr>
      </w:pPr>
    </w:p>
    <w:p>
      <w:pPr>
        <w:ind w:left="264" w:hanging="156"/>
        <w:spacing w:after="0"/>
        <w:tabs>
          <w:tab w:leader="none" w:pos="264" w:val="left"/>
        </w:tabs>
        <w:numPr>
          <w:ilvl w:val="0"/>
          <w:numId w:val="55"/>
        </w:numPr>
        <w:rPr>
          <w:rFonts w:ascii="Arial" w:cs="Arial" w:eastAsia="Arial" w:hAnsi="Arial"/>
          <w:sz w:val="16"/>
          <w:szCs w:val="16"/>
          <w:color w:val="62259D"/>
        </w:rPr>
      </w:pPr>
      <w:r>
        <w:rPr>
          <w:rFonts w:ascii="Arial" w:cs="Arial" w:eastAsia="Arial" w:hAnsi="Arial"/>
          <w:sz w:val="16"/>
          <w:szCs w:val="16"/>
          <w:color w:val="auto"/>
        </w:rPr>
        <w:t>Principal (2005 to 2015)</w:t>
      </w:r>
    </w:p>
    <w:p>
      <w:pPr>
        <w:spacing w:after="0" w:line="98" w:lineRule="exact"/>
        <w:rPr>
          <w:sz w:val="20"/>
          <w:szCs w:val="20"/>
          <w:color w:val="auto"/>
        </w:rPr>
      </w:pPr>
    </w:p>
    <w:p>
      <w:pPr>
        <w:ind w:left="104"/>
        <w:spacing w:after="0"/>
        <w:rPr>
          <w:sz w:val="20"/>
          <w:szCs w:val="20"/>
          <w:color w:val="auto"/>
        </w:rPr>
      </w:pPr>
      <w:r>
        <w:rPr>
          <w:rFonts w:ascii="Arial" w:cs="Arial" w:eastAsia="Arial" w:hAnsi="Arial"/>
          <w:sz w:val="16"/>
          <w:szCs w:val="16"/>
          <w:b w:val="1"/>
          <w:bCs w:val="1"/>
          <w:color w:val="62259D"/>
        </w:rPr>
        <w:t>BOARD SERVICE</w:t>
      </w:r>
    </w:p>
    <w:p>
      <w:pPr>
        <w:spacing w:after="0" w:line="59" w:lineRule="exact"/>
        <w:rPr>
          <w:sz w:val="20"/>
          <w:szCs w:val="20"/>
          <w:color w:val="auto"/>
        </w:rPr>
      </w:pPr>
    </w:p>
    <w:p>
      <w:pPr>
        <w:ind w:left="264" w:right="40" w:hanging="156"/>
        <w:spacing w:after="0" w:line="237" w:lineRule="auto"/>
        <w:tabs>
          <w:tab w:leader="none" w:pos="264" w:val="left"/>
        </w:tabs>
        <w:numPr>
          <w:ilvl w:val="0"/>
          <w:numId w:val="56"/>
        </w:numPr>
        <w:rPr>
          <w:rFonts w:ascii="Arial" w:cs="Arial" w:eastAsia="Arial" w:hAnsi="Arial"/>
          <w:sz w:val="16"/>
          <w:szCs w:val="16"/>
          <w:color w:val="62259D"/>
        </w:rPr>
      </w:pPr>
      <w:r>
        <w:rPr>
          <w:rFonts w:ascii="Arial" w:cs="Arial" w:eastAsia="Arial" w:hAnsi="Arial"/>
          <w:sz w:val="16"/>
          <w:szCs w:val="16"/>
          <w:b w:val="1"/>
          <w:bCs w:val="1"/>
          <w:color w:val="auto"/>
        </w:rPr>
        <w:t xml:space="preserve">Ceva, Inc. </w:t>
      </w:r>
      <w:r>
        <w:rPr>
          <w:rFonts w:ascii="Arial" w:cs="Arial" w:eastAsia="Arial" w:hAnsi="Arial"/>
          <w:sz w:val="16"/>
          <w:szCs w:val="16"/>
          <w:color w:val="auto"/>
        </w:rPr>
        <w:t>(2002 to present), a leading</w:t>
      </w:r>
      <w:r>
        <w:rPr>
          <w:rFonts w:ascii="Arial" w:cs="Arial" w:eastAsia="Arial" w:hAnsi="Arial"/>
          <w:sz w:val="16"/>
          <w:szCs w:val="16"/>
          <w:b w:val="1"/>
          <w:bCs w:val="1"/>
          <w:color w:val="auto"/>
        </w:rPr>
        <w:t xml:space="preserve"> </w:t>
      </w:r>
      <w:r>
        <w:rPr>
          <w:rFonts w:ascii="Arial" w:cs="Arial" w:eastAsia="Arial" w:hAnsi="Arial"/>
          <w:sz w:val="16"/>
          <w:szCs w:val="16"/>
          <w:color w:val="auto"/>
        </w:rPr>
        <w:t>licensor of silicon and software intellectual property.</w:t>
      </w:r>
    </w:p>
    <w:p>
      <w:pPr>
        <w:spacing w:after="0" w:line="48" w:lineRule="exact"/>
        <w:rPr>
          <w:rFonts w:ascii="Arial" w:cs="Arial" w:eastAsia="Arial" w:hAnsi="Arial"/>
          <w:sz w:val="16"/>
          <w:szCs w:val="16"/>
          <w:color w:val="62259D"/>
        </w:rPr>
      </w:pPr>
    </w:p>
    <w:p>
      <w:pPr>
        <w:ind w:left="264" w:hanging="156"/>
        <w:spacing w:after="0" w:line="245" w:lineRule="auto"/>
        <w:tabs>
          <w:tab w:leader="none" w:pos="264" w:val="left"/>
        </w:tabs>
        <w:numPr>
          <w:ilvl w:val="0"/>
          <w:numId w:val="56"/>
        </w:numPr>
        <w:rPr>
          <w:rFonts w:ascii="Arial" w:cs="Arial" w:eastAsia="Arial" w:hAnsi="Arial"/>
          <w:sz w:val="16"/>
          <w:szCs w:val="16"/>
          <w:color w:val="62259D"/>
        </w:rPr>
      </w:pPr>
      <w:r>
        <w:rPr>
          <w:rFonts w:ascii="Arial" w:cs="Arial" w:eastAsia="Arial" w:hAnsi="Arial"/>
          <w:sz w:val="16"/>
          <w:szCs w:val="16"/>
          <w:b w:val="1"/>
          <w:bCs w:val="1"/>
          <w:color w:val="auto"/>
        </w:rPr>
        <w:t xml:space="preserve">DSP Group </w:t>
      </w:r>
      <w:r>
        <w:rPr>
          <w:rFonts w:ascii="Arial" w:cs="Arial" w:eastAsia="Arial" w:hAnsi="Arial"/>
          <w:sz w:val="16"/>
          <w:szCs w:val="16"/>
          <w:color w:val="auto"/>
        </w:rPr>
        <w:t>(1999 to 2012), a global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provider of wireless chipset solutions for converged communications.</w:t>
      </w:r>
    </w:p>
    <w:p>
      <w:pPr>
        <w:spacing w:after="0" w:line="46" w:lineRule="exact"/>
        <w:rPr>
          <w:rFonts w:ascii="Arial" w:cs="Arial" w:eastAsia="Arial" w:hAnsi="Arial"/>
          <w:sz w:val="16"/>
          <w:szCs w:val="16"/>
          <w:color w:val="62259D"/>
        </w:rPr>
      </w:pPr>
    </w:p>
    <w:p>
      <w:pPr>
        <w:ind w:left="264" w:right="160" w:hanging="156"/>
        <w:spacing w:after="0" w:line="233" w:lineRule="auto"/>
        <w:tabs>
          <w:tab w:leader="none" w:pos="264" w:val="left"/>
        </w:tabs>
        <w:numPr>
          <w:ilvl w:val="0"/>
          <w:numId w:val="56"/>
        </w:numPr>
        <w:rPr>
          <w:rFonts w:ascii="Arial" w:cs="Arial" w:eastAsia="Arial" w:hAnsi="Arial"/>
          <w:sz w:val="16"/>
          <w:szCs w:val="16"/>
          <w:color w:val="62259D"/>
        </w:rPr>
      </w:pPr>
      <w:r>
        <w:rPr>
          <w:rFonts w:ascii="Arial" w:cs="Arial" w:eastAsia="Arial" w:hAnsi="Arial"/>
          <w:sz w:val="16"/>
          <w:szCs w:val="16"/>
          <w:color w:val="auto"/>
        </w:rPr>
        <w:t>Holds and has held board positions at many private and public companies focused on investments and the technology industry over the last 25+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64135</wp:posOffset>
            </wp:positionV>
            <wp:extent cx="56235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80" w:type="dxa"/>
            <w:vAlign w:val="bottom"/>
            <w:vMerge w:val="restart"/>
          </w:tcPr>
          <w:p>
            <w:pPr>
              <w:ind w:left="120"/>
              <w:spacing w:after="0"/>
              <w:rPr>
                <w:sz w:val="20"/>
                <w:szCs w:val="20"/>
                <w:color w:val="auto"/>
              </w:rPr>
            </w:pPr>
            <w:r>
              <w:rPr>
                <w:rFonts w:ascii="Arial" w:cs="Arial" w:eastAsia="Arial" w:hAnsi="Arial"/>
                <w:sz w:val="25"/>
                <w:szCs w:val="25"/>
                <w:b w:val="1"/>
                <w:bCs w:val="1"/>
                <w:color w:val="FEFEFE"/>
              </w:rPr>
              <w:t>​</w:t>
            </w:r>
          </w:p>
        </w:tc>
        <w:tc>
          <w:tcPr>
            <w:tcW w:w="2060" w:type="dxa"/>
            <w:vAlign w:val="bottom"/>
          </w:tcPr>
          <w:p>
            <w:pPr>
              <w:ind w:left="160"/>
              <w:spacing w:after="0"/>
              <w:rPr>
                <w:sz w:val="20"/>
                <w:szCs w:val="20"/>
                <w:color w:val="auto"/>
              </w:rPr>
            </w:pPr>
            <w:r>
              <w:rPr>
                <w:rFonts w:ascii="Arial" w:cs="Arial" w:eastAsia="Arial" w:hAnsi="Arial"/>
                <w:sz w:val="15"/>
                <w:szCs w:val="15"/>
                <w:b w:val="1"/>
                <w:bCs w:val="1"/>
                <w:color w:val="FEFEFE"/>
              </w:rPr>
              <w:t>Independent Director</w:t>
            </w:r>
          </w:p>
        </w:tc>
        <w:tc>
          <w:tcPr>
            <w:tcW w:w="0" w:type="dxa"/>
            <w:vAlign w:val="bottom"/>
          </w:tcPr>
          <w:p>
            <w:pPr>
              <w:spacing w:after="0"/>
              <w:rPr>
                <w:sz w:val="1"/>
                <w:szCs w:val="1"/>
                <w:color w:val="auto"/>
              </w:rPr>
            </w:pPr>
          </w:p>
        </w:tc>
      </w:tr>
      <w:tr>
        <w:trPr>
          <w:trHeight w:val="264"/>
        </w:trPr>
        <w:tc>
          <w:tcPr>
            <w:tcW w:w="1380" w:type="dxa"/>
            <w:vAlign w:val="bottom"/>
            <w:vMerge w:val="continue"/>
          </w:tcPr>
          <w:p>
            <w:pPr>
              <w:spacing w:after="0"/>
              <w:rPr>
                <w:sz w:val="22"/>
                <w:szCs w:val="22"/>
                <w:color w:val="auto"/>
              </w:rPr>
            </w:pPr>
          </w:p>
        </w:tc>
        <w:tc>
          <w:tcPr>
            <w:tcW w:w="2060" w:type="dxa"/>
            <w:vAlign w:val="bottom"/>
          </w:tcPr>
          <w:p>
            <w:pPr>
              <w:ind w:left="780"/>
              <w:spacing w:after="0" w:line="264" w:lineRule="exact"/>
              <w:rPr>
                <w:sz w:val="20"/>
                <w:szCs w:val="20"/>
                <w:color w:val="auto"/>
              </w:rPr>
            </w:pPr>
            <w:r>
              <w:rPr>
                <w:rFonts w:ascii="Arial" w:cs="Arial" w:eastAsia="Arial" w:hAnsi="Arial"/>
                <w:sz w:val="15"/>
                <w:szCs w:val="15"/>
                <w:b w:val="1"/>
                <w:bCs w:val="1"/>
                <w:color w:val="FEFEFE"/>
              </w:rPr>
              <w:t>Director since</w:t>
            </w: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2060" w:type="dxa"/>
            <w:vAlign w:val="bottom"/>
          </w:tcPr>
          <w:p>
            <w:pPr>
              <w:ind w:left="1100"/>
              <w:spacing w:after="0"/>
              <w:rPr>
                <w:sz w:val="20"/>
                <w:szCs w:val="20"/>
                <w:color w:val="auto"/>
              </w:rPr>
            </w:pPr>
            <w:r>
              <w:rPr>
                <w:rFonts w:ascii="Arial" w:cs="Arial" w:eastAsia="Arial" w:hAnsi="Arial"/>
                <w:sz w:val="15"/>
                <w:szCs w:val="15"/>
                <w:b w:val="1"/>
                <w:bCs w:val="1"/>
                <w:color w:val="FEFEFE"/>
              </w:rPr>
              <w:t>April 2026</w:t>
            </w:r>
          </w:p>
        </w:tc>
        <w:tc>
          <w:tcPr>
            <w:tcW w:w="0" w:type="dxa"/>
            <w:vAlign w:val="bottom"/>
          </w:tcPr>
          <w:p>
            <w:pPr>
              <w:spacing w:after="0"/>
              <w:rPr>
                <w:sz w:val="1"/>
                <w:szCs w:val="1"/>
                <w:color w:val="auto"/>
              </w:rPr>
            </w:pPr>
          </w:p>
        </w:tc>
      </w:tr>
      <w:tr>
        <w:trPr>
          <w:trHeight w:val="407"/>
        </w:trPr>
        <w:tc>
          <w:tcPr>
            <w:tcW w:w="1380" w:type="dxa"/>
            <w:vAlign w:val="bottom"/>
          </w:tcPr>
          <w:p>
            <w:pPr>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62259D"/>
              </w:rPr>
              <w:t>EDUCATION</w:t>
            </w:r>
          </w:p>
        </w:tc>
        <w:tc>
          <w:tcPr>
            <w:tcW w:w="2060" w:type="dxa"/>
            <w:vAlign w:val="bottom"/>
          </w:tcPr>
          <w:p>
            <w:pPr>
              <w:ind w:left="2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-704850</wp:posOffset>
            </wp:positionV>
            <wp:extent cx="4320540" cy="4883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20540" cy="488315"/>
                    </a:xfrm>
                    <a:prstGeom prst="rect">
                      <a:avLst/>
                    </a:prstGeom>
                    <a:noFill/>
                  </pic:spPr>
                </pic:pic>
              </a:graphicData>
            </a:graphic>
          </wp:anchor>
        </w:drawing>
      </w:r>
    </w:p>
    <w:p>
      <w:pPr>
        <w:spacing w:after="0" w:line="8" w:lineRule="exact"/>
        <w:rPr>
          <w:sz w:val="20"/>
          <w:szCs w:val="20"/>
          <w:color w:val="auto"/>
        </w:rPr>
      </w:pPr>
    </w:p>
    <w:p>
      <w:pPr>
        <w:ind w:left="360" w:right="539" w:hanging="154"/>
        <w:spacing w:after="0" w:line="259" w:lineRule="auto"/>
        <w:tabs>
          <w:tab w:leader="none" w:pos="360" w:val="left"/>
        </w:tabs>
        <w:numPr>
          <w:ilvl w:val="0"/>
          <w:numId w:val="57"/>
        </w:numPr>
        <w:rPr>
          <w:rFonts w:ascii="Arial" w:cs="Arial" w:eastAsia="Arial" w:hAnsi="Arial"/>
          <w:sz w:val="16"/>
          <w:szCs w:val="16"/>
          <w:color w:val="62259D"/>
        </w:rPr>
      </w:pPr>
      <w:r>
        <w:rPr>
          <w:rFonts w:ascii="Arial" w:cs="Arial" w:eastAsia="Arial" w:hAnsi="Arial"/>
          <w:sz w:val="16"/>
          <w:szCs w:val="16"/>
          <w:color w:val="auto"/>
        </w:rPr>
        <w:t>Master of Laws, Corporate Law, New York University</w:t>
      </w:r>
    </w:p>
    <w:p>
      <w:pPr>
        <w:spacing w:after="0" w:line="34" w:lineRule="exact"/>
        <w:rPr>
          <w:rFonts w:ascii="Arial" w:cs="Arial" w:eastAsia="Arial" w:hAnsi="Arial"/>
          <w:sz w:val="16"/>
          <w:szCs w:val="16"/>
          <w:color w:val="62259D"/>
        </w:rPr>
      </w:pPr>
    </w:p>
    <w:p>
      <w:pPr>
        <w:ind w:left="360" w:hanging="154"/>
        <w:spacing w:after="0"/>
        <w:tabs>
          <w:tab w:leader="none" w:pos="360" w:val="left"/>
        </w:tabs>
        <w:numPr>
          <w:ilvl w:val="0"/>
          <w:numId w:val="57"/>
        </w:numPr>
        <w:rPr>
          <w:rFonts w:ascii="Arial" w:cs="Arial" w:eastAsia="Arial" w:hAnsi="Arial"/>
          <w:sz w:val="16"/>
          <w:szCs w:val="16"/>
          <w:color w:val="62259D"/>
        </w:rPr>
      </w:pPr>
      <w:r>
        <w:rPr>
          <w:rFonts w:ascii="Arial" w:cs="Arial" w:eastAsia="Arial" w:hAnsi="Arial"/>
          <w:sz w:val="16"/>
          <w:szCs w:val="16"/>
          <w:color w:val="auto"/>
        </w:rPr>
        <w:t>Bachelor of Laws, Tel Aviv University</w:t>
      </w:r>
    </w:p>
    <w:p>
      <w:pPr>
        <w:spacing w:after="0" w:line="59" w:lineRule="exact"/>
        <w:rPr>
          <w:rFonts w:ascii="Arial" w:cs="Arial" w:eastAsia="Arial" w:hAnsi="Arial"/>
          <w:sz w:val="16"/>
          <w:szCs w:val="16"/>
          <w:color w:val="62259D"/>
        </w:rPr>
      </w:pPr>
    </w:p>
    <w:p>
      <w:pPr>
        <w:ind w:left="360" w:hanging="154"/>
        <w:spacing w:after="0"/>
        <w:tabs>
          <w:tab w:leader="none" w:pos="360" w:val="left"/>
        </w:tabs>
        <w:numPr>
          <w:ilvl w:val="0"/>
          <w:numId w:val="57"/>
        </w:numPr>
        <w:rPr>
          <w:rFonts w:ascii="Arial" w:cs="Arial" w:eastAsia="Arial" w:hAnsi="Arial"/>
          <w:sz w:val="16"/>
          <w:szCs w:val="16"/>
          <w:color w:val="62259D"/>
        </w:rPr>
      </w:pPr>
      <w:r>
        <w:rPr>
          <w:rFonts w:ascii="Arial" w:cs="Arial" w:eastAsia="Arial" w:hAnsi="Arial"/>
          <w:sz w:val="16"/>
          <w:szCs w:val="16"/>
          <w:color w:val="auto"/>
        </w:rPr>
        <w:t>B.A., Harvard College</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SKILLS AND EXPERTISE</w:t>
      </w:r>
    </w:p>
    <w:p>
      <w:pPr>
        <w:spacing w:after="0" w:line="61" w:lineRule="exact"/>
        <w:rPr>
          <w:sz w:val="20"/>
          <w:szCs w:val="20"/>
          <w:color w:val="auto"/>
        </w:rPr>
      </w:pPr>
    </w:p>
    <w:p>
      <w:pPr>
        <w:ind w:left="360" w:right="239" w:hanging="154"/>
        <w:spacing w:after="0"/>
        <w:tabs>
          <w:tab w:leader="none" w:pos="360" w:val="left"/>
        </w:tabs>
        <w:numPr>
          <w:ilvl w:val="0"/>
          <w:numId w:val="58"/>
        </w:numPr>
        <w:rPr>
          <w:rFonts w:ascii="Arial" w:cs="Arial" w:eastAsia="Arial" w:hAnsi="Arial"/>
          <w:sz w:val="16"/>
          <w:szCs w:val="16"/>
          <w:color w:val="62259D"/>
        </w:rPr>
      </w:pPr>
      <w:r>
        <w:rPr>
          <w:rFonts w:ascii="Arial" w:cs="Arial" w:eastAsia="Arial" w:hAnsi="Arial"/>
          <w:sz w:val="16"/>
          <w:szCs w:val="16"/>
          <w:color w:val="auto"/>
        </w:rPr>
        <w:t>We believe Mr. Silver is qualified to serve on the Board due to his extensive background in strategic and investment advisory services, his legal and regulatory compliance experience, as well as his experience serving as a director of numerous private and public companies, including many in the technology space.</w:t>
      </w:r>
    </w:p>
    <w:p>
      <w:pPr>
        <w:spacing w:after="0" w:line="2821" w:lineRule="exact"/>
        <w:rPr>
          <w:sz w:val="20"/>
          <w:szCs w:val="20"/>
          <w:color w:val="auto"/>
        </w:rPr>
      </w:pPr>
    </w:p>
    <w:p>
      <w:pPr>
        <w:sectPr>
          <w:pgSz w:w="11900" w:h="16838" w:orient="portrait"/>
          <w:cols w:equalWidth="0" w:num="3">
            <w:col w:w="2800" w:space="176"/>
            <w:col w:w="3184" w:space="120"/>
            <w:col w:w="35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210820</wp:posOffset>
            </wp:positionV>
            <wp:extent cx="1088390" cy="10883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88390" cy="1088390"/>
                    </a:xfrm>
                    <a:prstGeom prst="rect">
                      <a:avLst/>
                    </a:prstGeom>
                    <a:noFill/>
                  </pic:spPr>
                </pic:pic>
              </a:graphicData>
            </a:graphic>
          </wp:anchor>
        </w:drawing>
      </w:r>
    </w:p>
    <w:p>
      <w:pPr>
        <w:spacing w:after="0" w:line="312"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920" w:type="dxa"/>
            <w:vAlign w:val="bottom"/>
          </w:tcPr>
          <w:p>
            <w:pPr>
              <w:spacing w:after="0"/>
              <w:rPr>
                <w:sz w:val="20"/>
                <w:szCs w:val="20"/>
                <w:color w:val="auto"/>
              </w:rPr>
            </w:pPr>
            <w:r>
              <w:rPr>
                <w:rFonts w:ascii="Arial" w:cs="Arial" w:eastAsia="Arial" w:hAnsi="Arial"/>
                <w:sz w:val="16"/>
                <w:szCs w:val="16"/>
                <w:color w:val="62259D"/>
              </w:rPr>
              <w:t>​</w:t>
            </w:r>
          </w:p>
        </w:tc>
        <w:tc>
          <w:tcPr>
            <w:tcW w:w="1080" w:type="dxa"/>
            <w:vAlign w:val="bottom"/>
          </w:tcPr>
          <w:p>
            <w:pPr>
              <w:ind w:left="860"/>
              <w:spacing w:after="0"/>
              <w:rPr>
                <w:sz w:val="20"/>
                <w:szCs w:val="20"/>
                <w:color w:val="auto"/>
              </w:rPr>
            </w:pPr>
            <w:r>
              <w:rPr>
                <w:rFonts w:ascii="Arial" w:cs="Arial" w:eastAsia="Arial" w:hAnsi="Arial"/>
                <w:sz w:val="16"/>
                <w:szCs w:val="16"/>
                <w:color w:val="62259D"/>
              </w:rPr>
              <w:t>​</w:t>
            </w:r>
          </w:p>
        </w:tc>
        <w:tc>
          <w:tcPr>
            <w:tcW w:w="120" w:type="dxa"/>
            <w:vAlign w:val="bottom"/>
            <w:shd w:val="clear" w:color="auto" w:fill="E7417A"/>
          </w:tcPr>
          <w:p>
            <w:pPr>
              <w:spacing w:after="0"/>
              <w:rPr>
                <w:sz w:val="19"/>
                <w:szCs w:val="19"/>
                <w:color w:val="auto"/>
              </w:rPr>
            </w:pPr>
          </w:p>
        </w:tc>
        <w:tc>
          <w:tcPr>
            <w:tcW w:w="2160" w:type="dxa"/>
            <w:vAlign w:val="bottom"/>
            <w:vMerge w:val="restart"/>
            <w:shd w:val="clear" w:color="auto" w:fill="E7417A"/>
          </w:tcPr>
          <w:p>
            <w:pPr>
              <w:ind w:left="100"/>
              <w:spacing w:after="0"/>
              <w:rPr>
                <w:sz w:val="20"/>
                <w:szCs w:val="20"/>
                <w:color w:val="auto"/>
              </w:rPr>
            </w:pPr>
            <w:r>
              <w:rPr>
                <w:rFonts w:ascii="Arial" w:cs="Arial" w:eastAsia="Arial" w:hAnsi="Arial"/>
                <w:sz w:val="25"/>
                <w:szCs w:val="25"/>
                <w:b w:val="1"/>
                <w:bCs w:val="1"/>
                <w:color w:val="FEFEFE"/>
              </w:rPr>
              <w:t>RICHARD W.</w:t>
            </w:r>
          </w:p>
        </w:tc>
        <w:tc>
          <w:tcPr>
            <w:tcW w:w="880" w:type="dxa"/>
            <w:vAlign w:val="bottom"/>
            <w:shd w:val="clear" w:color="auto" w:fill="E7417A"/>
          </w:tcPr>
          <w:p>
            <w:pPr>
              <w:spacing w:after="0"/>
              <w:rPr>
                <w:sz w:val="19"/>
                <w:szCs w:val="19"/>
                <w:color w:val="auto"/>
              </w:rPr>
            </w:pPr>
          </w:p>
        </w:tc>
        <w:tc>
          <w:tcPr>
            <w:tcW w:w="880" w:type="dxa"/>
            <w:vAlign w:val="bottom"/>
            <w:shd w:val="clear" w:color="auto" w:fill="E7417A"/>
          </w:tcPr>
          <w:p>
            <w:pPr>
              <w:spacing w:after="0"/>
              <w:rPr>
                <w:sz w:val="19"/>
                <w:szCs w:val="19"/>
                <w:color w:val="auto"/>
              </w:rPr>
            </w:pPr>
          </w:p>
        </w:tc>
        <w:tc>
          <w:tcPr>
            <w:tcW w:w="2760" w:type="dxa"/>
            <w:vAlign w:val="bottom"/>
            <w:vMerge w:val="restart"/>
            <w:shd w:val="clear" w:color="auto" w:fill="E7417A"/>
          </w:tcPr>
          <w:p>
            <w:pPr>
              <w:ind w:left="420"/>
              <w:spacing w:after="0"/>
              <w:rPr>
                <w:sz w:val="20"/>
                <w:szCs w:val="20"/>
                <w:color w:val="auto"/>
              </w:rPr>
            </w:pPr>
            <w:r>
              <w:rPr>
                <w:rFonts w:ascii="Arial" w:cs="Arial" w:eastAsia="Arial" w:hAnsi="Arial"/>
                <w:sz w:val="15"/>
                <w:szCs w:val="15"/>
                <w:b w:val="1"/>
                <w:bCs w:val="1"/>
                <w:color w:val="FEFEFE"/>
              </w:rPr>
              <w:t>Non-Independent Director</w:t>
            </w:r>
          </w:p>
        </w:tc>
        <w:tc>
          <w:tcPr>
            <w:tcW w:w="0" w:type="dxa"/>
            <w:vAlign w:val="bottom"/>
          </w:tcPr>
          <w:p>
            <w:pPr>
              <w:spacing w:after="0"/>
              <w:rPr>
                <w:sz w:val="1"/>
                <w:szCs w:val="1"/>
                <w:color w:val="auto"/>
              </w:rPr>
            </w:pPr>
          </w:p>
        </w:tc>
      </w:tr>
      <w:tr>
        <w:trPr>
          <w:trHeight w:val="48"/>
        </w:trPr>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shd w:val="clear" w:color="auto" w:fill="E7417A"/>
          </w:tcPr>
          <w:p>
            <w:pPr>
              <w:spacing w:after="0"/>
              <w:rPr>
                <w:sz w:val="4"/>
                <w:szCs w:val="4"/>
                <w:color w:val="auto"/>
              </w:rPr>
            </w:pPr>
          </w:p>
        </w:tc>
        <w:tc>
          <w:tcPr>
            <w:tcW w:w="2160" w:type="dxa"/>
            <w:vAlign w:val="bottom"/>
            <w:vMerge w:val="continue"/>
            <w:shd w:val="clear" w:color="auto" w:fill="E7417A"/>
          </w:tcPr>
          <w:p>
            <w:pPr>
              <w:spacing w:after="0"/>
              <w:rPr>
                <w:sz w:val="4"/>
                <w:szCs w:val="4"/>
                <w:color w:val="auto"/>
              </w:rPr>
            </w:pPr>
          </w:p>
        </w:tc>
        <w:tc>
          <w:tcPr>
            <w:tcW w:w="880" w:type="dxa"/>
            <w:vAlign w:val="bottom"/>
            <w:shd w:val="clear" w:color="auto" w:fill="E7417A"/>
          </w:tcPr>
          <w:p>
            <w:pPr>
              <w:spacing w:after="0"/>
              <w:rPr>
                <w:sz w:val="4"/>
                <w:szCs w:val="4"/>
                <w:color w:val="auto"/>
              </w:rPr>
            </w:pPr>
          </w:p>
        </w:tc>
        <w:tc>
          <w:tcPr>
            <w:tcW w:w="880" w:type="dxa"/>
            <w:vAlign w:val="bottom"/>
            <w:shd w:val="clear" w:color="auto" w:fill="E7417A"/>
          </w:tcPr>
          <w:p>
            <w:pPr>
              <w:spacing w:after="0"/>
              <w:rPr>
                <w:sz w:val="4"/>
                <w:szCs w:val="4"/>
                <w:color w:val="auto"/>
              </w:rPr>
            </w:pPr>
          </w:p>
        </w:tc>
        <w:tc>
          <w:tcPr>
            <w:tcW w:w="2760" w:type="dxa"/>
            <w:vAlign w:val="bottom"/>
            <w:vMerge w:val="continue"/>
            <w:shd w:val="clear" w:color="auto" w:fill="E7417A"/>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shd w:val="clear" w:color="auto" w:fill="E7417A"/>
          </w:tcPr>
          <w:p>
            <w:pPr>
              <w:spacing w:after="0" w:line="168" w:lineRule="exact"/>
              <w:rPr>
                <w:sz w:val="20"/>
                <w:szCs w:val="20"/>
                <w:color w:val="auto"/>
              </w:rPr>
            </w:pPr>
            <w:r>
              <w:rPr>
                <w:rFonts w:ascii="Arial" w:cs="Arial" w:eastAsia="Arial" w:hAnsi="Arial"/>
                <w:sz w:val="15"/>
                <w:szCs w:val="15"/>
                <w:b w:val="1"/>
                <w:bCs w:val="1"/>
                <w:color w:val="FEFEFE"/>
              </w:rPr>
              <w:t>​</w:t>
            </w:r>
          </w:p>
        </w:tc>
        <w:tc>
          <w:tcPr>
            <w:tcW w:w="2160" w:type="dxa"/>
            <w:vAlign w:val="bottom"/>
            <w:vMerge w:val="continue"/>
            <w:shd w:val="clear" w:color="auto" w:fill="E7417A"/>
          </w:tcPr>
          <w:p>
            <w:pPr>
              <w:spacing w:after="0"/>
              <w:rPr>
                <w:sz w:val="14"/>
                <w:szCs w:val="14"/>
                <w:color w:val="auto"/>
              </w:rPr>
            </w:pPr>
          </w:p>
        </w:tc>
        <w:tc>
          <w:tcPr>
            <w:tcW w:w="880" w:type="dxa"/>
            <w:vAlign w:val="bottom"/>
            <w:shd w:val="clear" w:color="auto" w:fill="E7417A"/>
          </w:tcPr>
          <w:p>
            <w:pPr>
              <w:ind w:left="440"/>
              <w:spacing w:after="0" w:line="168" w:lineRule="exact"/>
              <w:rPr>
                <w:sz w:val="20"/>
                <w:szCs w:val="20"/>
                <w:color w:val="auto"/>
              </w:rPr>
            </w:pPr>
            <w:r>
              <w:rPr>
                <w:rFonts w:ascii="Arial" w:cs="Arial" w:eastAsia="Arial" w:hAnsi="Arial"/>
                <w:sz w:val="15"/>
                <w:szCs w:val="15"/>
                <w:b w:val="1"/>
                <w:bCs w:val="1"/>
                <w:color w:val="FEFEFE"/>
              </w:rPr>
              <w:t>​</w:t>
            </w:r>
          </w:p>
        </w:tc>
        <w:tc>
          <w:tcPr>
            <w:tcW w:w="880" w:type="dxa"/>
            <w:vAlign w:val="bottom"/>
            <w:shd w:val="clear" w:color="auto" w:fill="E7417A"/>
          </w:tcPr>
          <w:p>
            <w:pPr>
              <w:ind w:left="420"/>
              <w:spacing w:after="0" w:line="168" w:lineRule="exact"/>
              <w:rPr>
                <w:sz w:val="20"/>
                <w:szCs w:val="20"/>
                <w:color w:val="auto"/>
              </w:rPr>
            </w:pPr>
            <w:r>
              <w:rPr>
                <w:rFonts w:ascii="Arial" w:cs="Arial" w:eastAsia="Arial" w:hAnsi="Arial"/>
                <w:sz w:val="15"/>
                <w:szCs w:val="15"/>
                <w:b w:val="1"/>
                <w:bCs w:val="1"/>
                <w:color w:val="FEFEFE"/>
              </w:rPr>
              <w:t>​</w:t>
            </w:r>
          </w:p>
        </w:tc>
        <w:tc>
          <w:tcPr>
            <w:tcW w:w="2760" w:type="dxa"/>
            <w:vAlign w:val="bottom"/>
            <w:shd w:val="clear" w:color="auto" w:fill="E7417A"/>
          </w:tcPr>
          <w:p>
            <w:pPr>
              <w:jc w:val="center"/>
              <w:ind w:left="1164"/>
              <w:spacing w:after="0" w:line="168" w:lineRule="exact"/>
              <w:rPr>
                <w:sz w:val="20"/>
                <w:szCs w:val="20"/>
                <w:color w:val="auto"/>
              </w:rPr>
            </w:pPr>
            <w:r>
              <w:rPr>
                <w:rFonts w:ascii="Arial" w:cs="Arial" w:eastAsia="Arial" w:hAnsi="Arial"/>
                <w:sz w:val="15"/>
                <w:szCs w:val="15"/>
                <w:b w:val="1"/>
                <w:bCs w:val="1"/>
                <w:color w:val="FEFEFE"/>
              </w:rPr>
              <w:t>Director since​</w:t>
            </w:r>
          </w:p>
        </w:tc>
        <w:tc>
          <w:tcPr>
            <w:tcW w:w="0" w:type="dxa"/>
            <w:vAlign w:val="bottom"/>
          </w:tcPr>
          <w:p>
            <w:pPr>
              <w:spacing w:after="0"/>
              <w:rPr>
                <w:sz w:val="1"/>
                <w:szCs w:val="1"/>
                <w:color w:val="auto"/>
              </w:rPr>
            </w:pPr>
          </w:p>
        </w:tc>
      </w:tr>
      <w:tr>
        <w:trPr>
          <w:trHeight w:val="324"/>
        </w:trPr>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shd w:val="clear" w:color="auto" w:fill="E7417A"/>
          </w:tcPr>
          <w:p>
            <w:pPr>
              <w:spacing w:after="0"/>
              <w:rPr>
                <w:sz w:val="24"/>
                <w:szCs w:val="24"/>
                <w:color w:val="auto"/>
              </w:rPr>
            </w:pPr>
          </w:p>
        </w:tc>
        <w:tc>
          <w:tcPr>
            <w:tcW w:w="2160" w:type="dxa"/>
            <w:vAlign w:val="bottom"/>
            <w:shd w:val="clear" w:color="auto" w:fill="E7417A"/>
          </w:tcPr>
          <w:p>
            <w:pPr>
              <w:ind w:left="100"/>
              <w:spacing w:after="0"/>
              <w:rPr>
                <w:sz w:val="20"/>
                <w:szCs w:val="20"/>
                <w:color w:val="auto"/>
              </w:rPr>
            </w:pPr>
            <w:r>
              <w:rPr>
                <w:rFonts w:ascii="Arial" w:cs="Arial" w:eastAsia="Arial" w:hAnsi="Arial"/>
                <w:sz w:val="25"/>
                <w:szCs w:val="25"/>
                <w:b w:val="1"/>
                <w:bCs w:val="1"/>
                <w:color w:val="FEFEFE"/>
              </w:rPr>
              <w:t>SMITH</w:t>
            </w:r>
          </w:p>
        </w:tc>
        <w:tc>
          <w:tcPr>
            <w:tcW w:w="880" w:type="dxa"/>
            <w:vAlign w:val="bottom"/>
            <w:shd w:val="clear" w:color="auto" w:fill="E7417A"/>
          </w:tcPr>
          <w:p>
            <w:pPr>
              <w:spacing w:after="0"/>
              <w:rPr>
                <w:sz w:val="24"/>
                <w:szCs w:val="24"/>
                <w:color w:val="auto"/>
              </w:rPr>
            </w:pPr>
          </w:p>
        </w:tc>
        <w:tc>
          <w:tcPr>
            <w:tcW w:w="880" w:type="dxa"/>
            <w:vAlign w:val="bottom"/>
            <w:shd w:val="clear" w:color="auto" w:fill="E7417A"/>
          </w:tcPr>
          <w:p>
            <w:pPr>
              <w:spacing w:after="0"/>
              <w:rPr>
                <w:sz w:val="24"/>
                <w:szCs w:val="24"/>
                <w:color w:val="auto"/>
              </w:rPr>
            </w:pPr>
          </w:p>
        </w:tc>
        <w:tc>
          <w:tcPr>
            <w:tcW w:w="2760" w:type="dxa"/>
            <w:vAlign w:val="bottom"/>
            <w:shd w:val="clear" w:color="auto" w:fill="E7417A"/>
          </w:tcPr>
          <w:p>
            <w:pPr>
              <w:jc w:val="center"/>
              <w:ind w:left="1184"/>
              <w:spacing w:after="0"/>
              <w:rPr>
                <w:sz w:val="20"/>
                <w:szCs w:val="20"/>
                <w:color w:val="auto"/>
              </w:rPr>
            </w:pPr>
            <w:r>
              <w:rPr>
                <w:rFonts w:ascii="Arial" w:cs="Arial" w:eastAsia="Arial" w:hAnsi="Arial"/>
                <w:sz w:val="15"/>
                <w:szCs w:val="15"/>
                <w:b w:val="1"/>
                <w:bCs w:val="1"/>
                <w:color w:val="FEFEFE"/>
              </w:rPr>
              <w:t>October 2017</w:t>
            </w:r>
          </w:p>
        </w:tc>
        <w:tc>
          <w:tcPr>
            <w:tcW w:w="0" w:type="dxa"/>
            <w:vAlign w:val="bottom"/>
          </w:tcPr>
          <w:p>
            <w:pPr>
              <w:spacing w:after="0"/>
              <w:rPr>
                <w:sz w:val="1"/>
                <w:szCs w:val="1"/>
                <w:color w:val="auto"/>
              </w:rPr>
            </w:pPr>
          </w:p>
        </w:tc>
      </w:tr>
    </w:tbl>
    <w:p>
      <w:pPr>
        <w:spacing w:after="0" w:line="124"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73</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tabs>
          <w:tab w:leader="none" w:pos="1200" w:val="left"/>
        </w:tabs>
        <w:numPr>
          <w:ilvl w:val="0"/>
          <w:numId w:val="59"/>
        </w:numPr>
        <w:rPr>
          <w:rFonts w:ascii="Arial" w:cs="Arial" w:eastAsia="Arial" w:hAnsi="Arial"/>
          <w:sz w:val="16"/>
          <w:szCs w:val="16"/>
          <w:color w:val="62259D"/>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ind w:left="104" w:hanging="104"/>
        <w:spacing w:after="0"/>
        <w:tabs>
          <w:tab w:leader="none" w:pos="104"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5" w:lineRule="exact"/>
        <w:rPr>
          <w:rFonts w:ascii="Arial" w:cs="Arial" w:eastAsia="Arial" w:hAnsi="Arial"/>
          <w:sz w:val="16"/>
          <w:szCs w:val="16"/>
          <w:color w:val="auto"/>
        </w:rPr>
      </w:pPr>
    </w:p>
    <w:p>
      <w:pPr>
        <w:ind w:left="104" w:right="100"/>
        <w:spacing w:after="0" w:line="237" w:lineRule="auto"/>
        <w:rPr>
          <w:rFonts w:ascii="Arial" w:cs="Arial" w:eastAsia="Arial" w:hAnsi="Arial"/>
          <w:sz w:val="16"/>
          <w:szCs w:val="16"/>
          <w:color w:val="auto"/>
        </w:rPr>
      </w:pPr>
      <w:r>
        <w:rPr>
          <w:rFonts w:ascii="Arial" w:cs="Arial" w:eastAsia="Arial" w:hAnsi="Arial"/>
          <w:sz w:val="16"/>
          <w:szCs w:val="16"/>
          <w:b w:val="1"/>
          <w:bCs w:val="1"/>
          <w:color w:val="auto"/>
        </w:rPr>
        <w:t>JPMorgan Chase &amp; Co.</w:t>
      </w:r>
      <w:r>
        <w:rPr>
          <w:rFonts w:ascii="Arial" w:cs="Arial" w:eastAsia="Arial" w:hAnsi="Arial"/>
          <w:sz w:val="16"/>
          <w:szCs w:val="16"/>
          <w:color w:val="auto"/>
        </w:rPr>
        <w:t>, a multinational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banking and financial services holding company</w:t>
      </w:r>
    </w:p>
    <w:p>
      <w:pPr>
        <w:spacing w:after="0" w:line="50" w:lineRule="exact"/>
        <w:rPr>
          <w:rFonts w:ascii="Arial" w:cs="Arial" w:eastAsia="Arial" w:hAnsi="Arial"/>
          <w:sz w:val="16"/>
          <w:szCs w:val="16"/>
          <w:color w:val="auto"/>
        </w:rPr>
      </w:pPr>
    </w:p>
    <w:p>
      <w:pPr>
        <w:ind w:left="264" w:right="120" w:hanging="156"/>
        <w:spacing w:after="0" w:line="233" w:lineRule="auto"/>
        <w:tabs>
          <w:tab w:leader="none" w:pos="264" w:val="left"/>
        </w:tabs>
        <w:numPr>
          <w:ilvl w:val="1"/>
          <w:numId w:val="60"/>
        </w:numPr>
        <w:rPr>
          <w:rFonts w:ascii="Arial" w:cs="Arial" w:eastAsia="Arial" w:hAnsi="Arial"/>
          <w:sz w:val="16"/>
          <w:szCs w:val="16"/>
          <w:color w:val="62259D"/>
        </w:rPr>
      </w:pPr>
      <w:r>
        <w:rPr>
          <w:rFonts w:ascii="Arial" w:cs="Arial" w:eastAsia="Arial" w:hAnsi="Arial"/>
          <w:sz w:val="16"/>
          <w:szCs w:val="16"/>
          <w:color w:val="auto"/>
        </w:rPr>
        <w:t>Chairman, Private Capital, creating and guiding a series of investment entities focused initially on technology and healthcare, funded by the bank and clients (February 2021 to present)</w:t>
      </w:r>
    </w:p>
    <w:p>
      <w:pPr>
        <w:spacing w:after="0" w:line="51" w:lineRule="exact"/>
        <w:rPr>
          <w:rFonts w:ascii="Arial" w:cs="Arial" w:eastAsia="Arial" w:hAnsi="Arial"/>
          <w:sz w:val="16"/>
          <w:szCs w:val="16"/>
          <w:color w:val="62259D"/>
        </w:rPr>
      </w:pPr>
    </w:p>
    <w:p>
      <w:pPr>
        <w:ind w:left="264" w:hanging="156"/>
        <w:spacing w:after="0" w:line="234" w:lineRule="auto"/>
        <w:tabs>
          <w:tab w:leader="none" w:pos="264" w:val="left"/>
        </w:tabs>
        <w:numPr>
          <w:ilvl w:val="1"/>
          <w:numId w:val="60"/>
        </w:numPr>
        <w:rPr>
          <w:rFonts w:ascii="Arial" w:cs="Arial" w:eastAsia="Arial" w:hAnsi="Arial"/>
          <w:sz w:val="16"/>
          <w:szCs w:val="16"/>
          <w:color w:val="62259D"/>
        </w:rPr>
      </w:pPr>
      <w:r>
        <w:rPr>
          <w:rFonts w:ascii="Arial" w:cs="Arial" w:eastAsia="Arial" w:hAnsi="Arial"/>
          <w:sz w:val="16"/>
          <w:szCs w:val="16"/>
          <w:color w:val="auto"/>
        </w:rPr>
        <w:t>Head of Private Investments, responsible for private and public company investments solely funded by the bank (November 2014 to January 2021)</w:t>
      </w:r>
    </w:p>
    <w:p>
      <w:pPr>
        <w:spacing w:after="0" w:line="51" w:lineRule="exact"/>
        <w:rPr>
          <w:rFonts w:ascii="Arial" w:cs="Arial" w:eastAsia="Arial" w:hAnsi="Arial"/>
          <w:sz w:val="16"/>
          <w:szCs w:val="16"/>
          <w:color w:val="62259D"/>
        </w:rPr>
      </w:pPr>
    </w:p>
    <w:p>
      <w:pPr>
        <w:ind w:left="264" w:right="240" w:hanging="156"/>
        <w:spacing w:after="0" w:line="259" w:lineRule="auto"/>
        <w:tabs>
          <w:tab w:leader="none" w:pos="264" w:val="left"/>
        </w:tabs>
        <w:numPr>
          <w:ilvl w:val="1"/>
          <w:numId w:val="60"/>
        </w:numPr>
        <w:rPr>
          <w:rFonts w:ascii="Arial" w:cs="Arial" w:eastAsia="Arial" w:hAnsi="Arial"/>
          <w:sz w:val="16"/>
          <w:szCs w:val="16"/>
          <w:color w:val="62259D"/>
        </w:rPr>
      </w:pPr>
      <w:r>
        <w:rPr>
          <w:rFonts w:ascii="Arial" w:cs="Arial" w:eastAsia="Arial" w:hAnsi="Arial"/>
          <w:sz w:val="16"/>
          <w:szCs w:val="16"/>
          <w:color w:val="auto"/>
        </w:rPr>
        <w:t>One Equity Partners, Partner (2002 to 2015)</w:t>
      </w:r>
    </w:p>
    <w:p>
      <w:pPr>
        <w:spacing w:after="0" w:line="19" w:lineRule="exact"/>
        <w:rPr>
          <w:sz w:val="20"/>
          <w:szCs w:val="20"/>
          <w:color w:val="auto"/>
        </w:rPr>
      </w:pPr>
    </w:p>
    <w:p>
      <w:pPr>
        <w:ind w:left="104" w:right="540"/>
        <w:spacing w:after="0" w:line="244" w:lineRule="auto"/>
        <w:rPr>
          <w:sz w:val="20"/>
          <w:szCs w:val="20"/>
          <w:color w:val="auto"/>
        </w:rPr>
      </w:pPr>
      <w:r>
        <w:rPr>
          <w:rFonts w:ascii="Arial" w:cs="Arial" w:eastAsia="Arial" w:hAnsi="Arial"/>
          <w:sz w:val="16"/>
          <w:szCs w:val="16"/>
          <w:b w:val="1"/>
          <w:bCs w:val="1"/>
          <w:color w:val="auto"/>
        </w:rPr>
        <w:t xml:space="preserve">Allegra Partners </w:t>
      </w:r>
      <w:r>
        <w:rPr>
          <w:rFonts w:ascii="Arial" w:cs="Arial" w:eastAsia="Arial" w:hAnsi="Arial"/>
          <w:sz w:val="16"/>
          <w:szCs w:val="16"/>
          <w:color w:val="auto"/>
        </w:rPr>
        <w:t>and predecessor</w:t>
      </w:r>
      <w:r>
        <w:rPr>
          <w:rFonts w:ascii="Arial" w:cs="Arial" w:eastAsia="Arial" w:hAnsi="Arial"/>
          <w:sz w:val="16"/>
          <w:szCs w:val="16"/>
          <w:b w:val="1"/>
          <w:bCs w:val="1"/>
          <w:color w:val="auto"/>
        </w:rPr>
        <w:t xml:space="preserve"> </w:t>
      </w:r>
      <w:r>
        <w:rPr>
          <w:rFonts w:ascii="Arial" w:cs="Arial" w:eastAsia="Arial" w:hAnsi="Arial"/>
          <w:sz w:val="16"/>
          <w:szCs w:val="16"/>
          <w:color w:val="auto"/>
        </w:rPr>
        <w:t>entities</w:t>
      </w:r>
    </w:p>
    <w:p>
      <w:pPr>
        <w:spacing w:after="0" w:line="46" w:lineRule="exact"/>
        <w:rPr>
          <w:sz w:val="20"/>
          <w:szCs w:val="20"/>
          <w:color w:val="auto"/>
        </w:rPr>
      </w:pPr>
    </w:p>
    <w:p>
      <w:pPr>
        <w:ind w:left="264" w:hanging="156"/>
        <w:spacing w:after="0"/>
        <w:tabs>
          <w:tab w:leader="none" w:pos="264" w:val="left"/>
        </w:tabs>
        <w:numPr>
          <w:ilvl w:val="0"/>
          <w:numId w:val="61"/>
        </w:numPr>
        <w:rPr>
          <w:rFonts w:ascii="Arial" w:cs="Arial" w:eastAsia="Arial" w:hAnsi="Arial"/>
          <w:sz w:val="16"/>
          <w:szCs w:val="16"/>
          <w:color w:val="62259D"/>
        </w:rPr>
      </w:pPr>
      <w:r>
        <w:rPr>
          <w:rFonts w:ascii="Arial" w:cs="Arial" w:eastAsia="Arial" w:hAnsi="Arial"/>
          <w:sz w:val="16"/>
          <w:szCs w:val="16"/>
          <w:color w:val="auto"/>
        </w:rPr>
        <w:t>Managing Partner (1981 to 2013)</w:t>
      </w:r>
    </w:p>
    <w:p>
      <w:pPr>
        <w:spacing w:after="0" w:line="44" w:lineRule="exact"/>
        <w:rPr>
          <w:sz w:val="20"/>
          <w:szCs w:val="20"/>
          <w:color w:val="auto"/>
        </w:rPr>
      </w:pPr>
    </w:p>
    <w:p>
      <w:pPr>
        <w:ind w:left="104"/>
        <w:spacing w:after="0"/>
        <w:rPr>
          <w:sz w:val="20"/>
          <w:szCs w:val="20"/>
          <w:color w:val="auto"/>
        </w:rPr>
      </w:pPr>
      <w:r>
        <w:rPr>
          <w:rFonts w:ascii="Arial" w:cs="Arial" w:eastAsia="Arial" w:hAnsi="Arial"/>
          <w:sz w:val="16"/>
          <w:szCs w:val="16"/>
          <w:b w:val="1"/>
          <w:bCs w:val="1"/>
          <w:color w:val="auto"/>
        </w:rPr>
        <w:t>Citicorp Venture Capital Ltd.</w:t>
      </w:r>
      <w:r>
        <w:rPr>
          <w:rFonts w:ascii="Arial" w:cs="Arial" w:eastAsia="Arial" w:hAnsi="Arial"/>
          <w:sz w:val="16"/>
          <w:szCs w:val="16"/>
          <w:color w:val="auto"/>
        </w:rPr>
        <w:t>, a former</w:t>
      </w:r>
    </w:p>
    <w:p>
      <w:pPr>
        <w:spacing w:after="0" w:line="8" w:lineRule="exact"/>
        <w:rPr>
          <w:sz w:val="20"/>
          <w:szCs w:val="20"/>
          <w:color w:val="auto"/>
        </w:rPr>
      </w:pPr>
    </w:p>
    <w:p>
      <w:pPr>
        <w:ind w:left="104" w:right="420"/>
        <w:spacing w:after="0" w:line="241" w:lineRule="auto"/>
        <w:rPr>
          <w:sz w:val="20"/>
          <w:szCs w:val="20"/>
          <w:color w:val="auto"/>
        </w:rPr>
      </w:pPr>
      <w:r>
        <w:rPr>
          <w:rFonts w:ascii="Arial" w:cs="Arial" w:eastAsia="Arial" w:hAnsi="Arial"/>
          <w:sz w:val="16"/>
          <w:szCs w:val="16"/>
          <w:color w:val="auto"/>
        </w:rPr>
        <w:t>venture and private equity investment division of Citigroup Inc.</w:t>
      </w:r>
    </w:p>
    <w:p>
      <w:pPr>
        <w:spacing w:after="0" w:line="48" w:lineRule="exact"/>
        <w:rPr>
          <w:sz w:val="20"/>
          <w:szCs w:val="20"/>
          <w:color w:val="auto"/>
        </w:rPr>
      </w:pPr>
    </w:p>
    <w:p>
      <w:pPr>
        <w:ind w:left="264" w:right="340" w:hanging="156"/>
        <w:spacing w:after="0" w:line="241" w:lineRule="auto"/>
        <w:tabs>
          <w:tab w:leader="none" w:pos="264" w:val="left"/>
        </w:tabs>
        <w:numPr>
          <w:ilvl w:val="0"/>
          <w:numId w:val="62"/>
        </w:numPr>
        <w:rPr>
          <w:rFonts w:ascii="Arial" w:cs="Arial" w:eastAsia="Arial" w:hAnsi="Arial"/>
          <w:sz w:val="16"/>
          <w:szCs w:val="16"/>
          <w:color w:val="62259D"/>
        </w:rPr>
      </w:pPr>
      <w:r>
        <w:rPr>
          <w:rFonts w:ascii="Arial" w:cs="Arial" w:eastAsia="Arial" w:hAnsi="Arial"/>
          <w:sz w:val="16"/>
          <w:szCs w:val="16"/>
          <w:color w:val="auto"/>
        </w:rPr>
        <w:t>Senior Investment Manager (1979 to 1981)</w:t>
      </w:r>
    </w:p>
    <w:p>
      <w:pPr>
        <w:spacing w:after="0" w:line="20" w:lineRule="exact"/>
        <w:rPr>
          <w:sz w:val="20"/>
          <w:szCs w:val="20"/>
          <w:color w:val="auto"/>
        </w:rPr>
      </w:pPr>
      <w:r>
        <w:rPr>
          <w:sz w:val="20"/>
          <w:szCs w:val="20"/>
          <w:color w:val="auto"/>
        </w:rPr>
        <w:br w:type="column"/>
      </w:r>
    </w:p>
    <w:p>
      <w:pPr>
        <w:spacing w:after="0"/>
        <w:tabs>
          <w:tab w:leader="none" w:pos="338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62259D"/>
        </w:rPr>
        <w:t>BOARD SERVICE</w:t>
      </w:r>
      <w:r>
        <w:rPr>
          <w:sz w:val="20"/>
          <w:szCs w:val="20"/>
          <w:color w:val="auto"/>
        </w:rPr>
        <w:tab/>
      </w:r>
      <w:r>
        <w:rPr>
          <w:rFonts w:ascii="Arial" w:cs="Arial" w:eastAsia="Arial" w:hAnsi="Arial"/>
          <w:sz w:val="16"/>
          <w:szCs w:val="16"/>
          <w:color w:val="auto"/>
        </w:rPr>
        <w:t>​</w:t>
      </w:r>
    </w:p>
    <w:p>
      <w:pPr>
        <w:spacing w:after="0" w:line="59" w:lineRule="exact"/>
        <w:rPr>
          <w:sz w:val="20"/>
          <w:szCs w:val="20"/>
          <w:color w:val="auto"/>
        </w:rPr>
      </w:pPr>
    </w:p>
    <w:p>
      <w:pPr>
        <w:ind w:left="360" w:hanging="154"/>
        <w:spacing w:after="0"/>
        <w:tabs>
          <w:tab w:leader="none" w:pos="360" w:val="left"/>
        </w:tabs>
        <w:numPr>
          <w:ilvl w:val="0"/>
          <w:numId w:val="63"/>
        </w:numPr>
        <w:rPr>
          <w:rFonts w:ascii="Arial" w:cs="Arial" w:eastAsia="Arial" w:hAnsi="Arial"/>
          <w:sz w:val="16"/>
          <w:szCs w:val="16"/>
          <w:color w:val="62259D"/>
        </w:rPr>
      </w:pPr>
      <w:r>
        <w:rPr>
          <w:rFonts w:ascii="Arial" w:cs="Arial" w:eastAsia="Arial" w:hAnsi="Arial"/>
          <w:sz w:val="16"/>
          <w:szCs w:val="16"/>
          <w:b w:val="1"/>
          <w:bCs w:val="1"/>
          <w:color w:val="auto"/>
        </w:rPr>
        <w:t xml:space="preserve">GENBAND </w:t>
      </w:r>
      <w:r>
        <w:rPr>
          <w:rFonts w:ascii="Arial" w:cs="Arial" w:eastAsia="Arial" w:hAnsi="Arial"/>
          <w:sz w:val="16"/>
          <w:szCs w:val="16"/>
          <w:color w:val="auto"/>
        </w:rPr>
        <w:t>(2014 to 2017)</w:t>
      </w:r>
    </w:p>
    <w:p>
      <w:pPr>
        <w:spacing w:after="0" w:line="61" w:lineRule="exact"/>
        <w:rPr>
          <w:rFonts w:ascii="Arial" w:cs="Arial" w:eastAsia="Arial" w:hAnsi="Arial"/>
          <w:sz w:val="16"/>
          <w:szCs w:val="16"/>
          <w:color w:val="62259D"/>
        </w:rPr>
      </w:pPr>
    </w:p>
    <w:p>
      <w:pPr>
        <w:ind w:left="360" w:right="279" w:hanging="154"/>
        <w:spacing w:after="0" w:line="244" w:lineRule="auto"/>
        <w:tabs>
          <w:tab w:leader="none" w:pos="360" w:val="left"/>
        </w:tabs>
        <w:numPr>
          <w:ilvl w:val="0"/>
          <w:numId w:val="63"/>
        </w:numPr>
        <w:rPr>
          <w:rFonts w:ascii="Arial" w:cs="Arial" w:eastAsia="Arial" w:hAnsi="Arial"/>
          <w:sz w:val="16"/>
          <w:szCs w:val="16"/>
          <w:color w:val="62259D"/>
        </w:rPr>
      </w:pPr>
      <w:r>
        <w:rPr>
          <w:rFonts w:ascii="Arial" w:cs="Arial" w:eastAsia="Arial" w:hAnsi="Arial"/>
          <w:sz w:val="16"/>
          <w:szCs w:val="16"/>
          <w:color w:val="auto"/>
        </w:rPr>
        <w:t>has over 46 years of experience as a board member of both public and private companies</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PUBLICATION</w:t>
      </w:r>
    </w:p>
    <w:p>
      <w:pPr>
        <w:spacing w:after="0" w:line="61" w:lineRule="exact"/>
        <w:rPr>
          <w:sz w:val="20"/>
          <w:szCs w:val="20"/>
          <w:color w:val="auto"/>
        </w:rPr>
      </w:pPr>
    </w:p>
    <w:p>
      <w:pPr>
        <w:ind w:left="360" w:right="239" w:hanging="154"/>
        <w:spacing w:after="0" w:line="244" w:lineRule="auto"/>
        <w:tabs>
          <w:tab w:leader="none" w:pos="360" w:val="left"/>
        </w:tabs>
        <w:numPr>
          <w:ilvl w:val="0"/>
          <w:numId w:val="64"/>
        </w:numPr>
        <w:rPr>
          <w:rFonts w:ascii="Arial" w:cs="Arial" w:eastAsia="Arial" w:hAnsi="Arial"/>
          <w:sz w:val="16"/>
          <w:szCs w:val="16"/>
          <w:color w:val="62259D"/>
        </w:rPr>
      </w:pPr>
      <w:r>
        <w:rPr>
          <w:rFonts w:ascii="Arial" w:cs="Arial" w:eastAsia="Arial" w:hAnsi="Arial"/>
          <w:sz w:val="16"/>
          <w:szCs w:val="16"/>
          <w:color w:val="auto"/>
        </w:rPr>
        <w:t xml:space="preserve">Co-author of the book </w:t>
      </w:r>
      <w:r>
        <w:rPr>
          <w:rFonts w:ascii="Arial" w:cs="Arial" w:eastAsia="Arial" w:hAnsi="Arial"/>
          <w:sz w:val="16"/>
          <w:szCs w:val="16"/>
          <w:i w:val="1"/>
          <w:iCs w:val="1"/>
          <w:color w:val="auto"/>
        </w:rPr>
        <w:t>Treasury</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 A Practitioner’s Handbook</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John Wiley &amp; Sons, 1980</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EDUCATION</w:t>
      </w:r>
    </w:p>
    <w:p>
      <w:pPr>
        <w:spacing w:after="0" w:line="61" w:lineRule="exact"/>
        <w:rPr>
          <w:sz w:val="20"/>
          <w:szCs w:val="20"/>
          <w:color w:val="auto"/>
        </w:rPr>
      </w:pPr>
    </w:p>
    <w:p>
      <w:pPr>
        <w:ind w:left="360" w:hanging="154"/>
        <w:spacing w:after="0"/>
        <w:tabs>
          <w:tab w:leader="none" w:pos="360" w:val="left"/>
        </w:tabs>
        <w:numPr>
          <w:ilvl w:val="0"/>
          <w:numId w:val="65"/>
        </w:numPr>
        <w:rPr>
          <w:rFonts w:ascii="Arial" w:cs="Arial" w:eastAsia="Arial" w:hAnsi="Arial"/>
          <w:sz w:val="16"/>
          <w:szCs w:val="16"/>
          <w:color w:val="62259D"/>
        </w:rPr>
      </w:pPr>
      <w:r>
        <w:rPr>
          <w:rFonts w:ascii="Arial" w:cs="Arial" w:eastAsia="Arial" w:hAnsi="Arial"/>
          <w:sz w:val="16"/>
          <w:szCs w:val="16"/>
          <w:color w:val="auto"/>
        </w:rPr>
        <w:t>B.A., Harvard College</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SKILLS AND EXPERTISE</w:t>
      </w:r>
    </w:p>
    <w:p>
      <w:pPr>
        <w:spacing w:after="0" w:line="4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believe Mr. Smith is qualified to serve</w:t>
      </w:r>
    </w:p>
    <w:p>
      <w:pPr>
        <w:spacing w:after="0" w:line="6" w:lineRule="exact"/>
        <w:rPr>
          <w:sz w:val="20"/>
          <w:szCs w:val="20"/>
          <w:color w:val="auto"/>
        </w:rPr>
      </w:pPr>
    </w:p>
    <w:p>
      <w:pPr>
        <w:ind w:left="200" w:right="439"/>
        <w:spacing w:after="0" w:line="220" w:lineRule="auto"/>
        <w:rPr>
          <w:sz w:val="20"/>
          <w:szCs w:val="20"/>
          <w:color w:val="auto"/>
        </w:rPr>
      </w:pPr>
      <w:r>
        <w:rPr>
          <w:rFonts w:ascii="Arial" w:cs="Arial" w:eastAsia="Arial" w:hAnsi="Arial"/>
          <w:sz w:val="16"/>
          <w:szCs w:val="16"/>
          <w:color w:val="auto"/>
        </w:rPr>
        <w:t>on the Board due to his extensive background in finance and private equity</w:t>
      </w:r>
    </w:p>
    <w:p>
      <w:pPr>
        <w:ind w:left="200"/>
        <w:spacing w:after="0" w:line="229" w:lineRule="auto"/>
        <w:rPr>
          <w:sz w:val="20"/>
          <w:szCs w:val="20"/>
          <w:color w:val="auto"/>
        </w:rPr>
      </w:pPr>
      <w:r>
        <w:rPr>
          <w:rFonts w:ascii="Arial" w:cs="Arial" w:eastAsia="Arial" w:hAnsi="Arial"/>
          <w:sz w:val="16"/>
          <w:szCs w:val="16"/>
          <w:color w:val="auto"/>
        </w:rPr>
        <w:t>and his experience serving as a director of</w:t>
      </w:r>
    </w:p>
    <w:p>
      <w:pPr>
        <w:ind w:left="200" w:right="659"/>
        <w:spacing w:after="0" w:line="231" w:lineRule="auto"/>
        <w:rPr>
          <w:sz w:val="20"/>
          <w:szCs w:val="20"/>
          <w:color w:val="auto"/>
        </w:rPr>
      </w:pPr>
      <w:r>
        <w:rPr>
          <w:rFonts w:ascii="Arial" w:cs="Arial" w:eastAsia="Arial" w:hAnsi="Arial"/>
          <w:sz w:val="16"/>
          <w:szCs w:val="16"/>
          <w:color w:val="auto"/>
        </w:rPr>
        <w:t>companies in the telecommunications industry.</w:t>
      </w:r>
    </w:p>
    <w:p>
      <w:pPr>
        <w:spacing w:after="0" w:line="803" w:lineRule="exact"/>
        <w:rPr>
          <w:sz w:val="20"/>
          <w:szCs w:val="20"/>
          <w:color w:val="auto"/>
        </w:rPr>
      </w:pPr>
    </w:p>
    <w:p>
      <w:pPr>
        <w:sectPr>
          <w:pgSz w:w="11900" w:h="16838" w:orient="portrait"/>
          <w:cols w:equalWidth="0" w:num="3">
            <w:col w:w="2256" w:space="720"/>
            <w:col w:w="3264" w:space="40"/>
            <w:col w:w="3599"/>
          </w:cols>
          <w:pgMar w:left="580" w:top="97" w:right="1440" w:bottom="1440" w:gutter="0" w:footer="0" w:header="0"/>
          <w:type w:val="continuous"/>
        </w:sectPr>
      </w:pPr>
    </w:p>
    <w:p>
      <w:pPr>
        <w:ind w:left="3080"/>
        <w:spacing w:after="0"/>
        <w:rPr>
          <w:sz w:val="20"/>
          <w:szCs w:val="20"/>
          <w:color w:val="auto"/>
        </w:rPr>
      </w:pPr>
      <w:r>
        <w:rPr>
          <w:rFonts w:ascii="Arial" w:cs="Arial" w:eastAsia="Arial" w:hAnsi="Arial"/>
          <w:sz w:val="16"/>
          <w:szCs w:val="16"/>
          <w:b w:val="1"/>
          <w:bCs w:val="1"/>
          <w:color w:val="auto"/>
        </w:rPr>
        <w:t>Morgan Guaranty Trust Company of</w:t>
      </w:r>
    </w:p>
    <w:p>
      <w:pPr>
        <w:spacing w:after="0" w:line="8" w:lineRule="exact"/>
        <w:rPr>
          <w:sz w:val="20"/>
          <w:szCs w:val="20"/>
          <w:color w:val="auto"/>
        </w:rPr>
      </w:pPr>
    </w:p>
    <w:p>
      <w:pPr>
        <w:ind w:left="3080"/>
        <w:spacing w:after="0"/>
        <w:rPr>
          <w:sz w:val="20"/>
          <w:szCs w:val="20"/>
          <w:color w:val="auto"/>
        </w:rPr>
      </w:pPr>
      <w:r>
        <w:rPr>
          <w:rFonts w:ascii="Arial" w:cs="Arial" w:eastAsia="Arial" w:hAnsi="Arial"/>
          <w:sz w:val="16"/>
          <w:szCs w:val="16"/>
          <w:b w:val="1"/>
          <w:bCs w:val="1"/>
          <w:color w:val="auto"/>
        </w:rPr>
        <w:t>New York</w:t>
      </w:r>
    </w:p>
    <w:p>
      <w:pPr>
        <w:spacing w:after="0" w:line="59" w:lineRule="exact"/>
        <w:rPr>
          <w:sz w:val="20"/>
          <w:szCs w:val="20"/>
          <w:color w:val="auto"/>
        </w:rPr>
      </w:pPr>
    </w:p>
    <w:p>
      <w:pPr>
        <w:ind w:left="3240" w:right="3699" w:hanging="156"/>
        <w:spacing w:after="0" w:line="259" w:lineRule="auto"/>
        <w:tabs>
          <w:tab w:leader="none" w:pos="3240" w:val="left"/>
        </w:tabs>
        <w:numPr>
          <w:ilvl w:val="0"/>
          <w:numId w:val="66"/>
        </w:numPr>
        <w:rPr>
          <w:rFonts w:ascii="Arial" w:cs="Arial" w:eastAsia="Arial" w:hAnsi="Arial"/>
          <w:sz w:val="16"/>
          <w:szCs w:val="16"/>
          <w:color w:val="62259D"/>
        </w:rPr>
      </w:pPr>
      <w:r>
        <w:rPr>
          <w:rFonts w:ascii="Arial" w:cs="Arial" w:eastAsia="Arial" w:hAnsi="Arial"/>
          <w:sz w:val="16"/>
          <w:szCs w:val="16"/>
          <w:color w:val="auto"/>
        </w:rPr>
        <w:t>International Money Management Group (1974 to 1979)</w:t>
      </w:r>
    </w:p>
    <w:p>
      <w:pPr>
        <w:spacing w:after="0" w:line="233"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-12700</wp:posOffset>
            </wp:positionV>
            <wp:extent cx="56235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194" w:lineRule="exact"/>
        <w:rPr>
          <w:sz w:val="20"/>
          <w:szCs w:val="20"/>
          <w:color w:val="auto"/>
        </w:rPr>
      </w:pPr>
    </w:p>
    <w:p>
      <w:pPr>
        <w:ind w:left="980"/>
        <w:spacing w:after="0"/>
        <w:tabs>
          <w:tab w:leader="none" w:pos="27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-107315</wp:posOffset>
            </wp:positionV>
            <wp:extent cx="1088390" cy="10890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88390"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64</w:t>
      </w:r>
    </w:p>
    <w:p>
      <w:pPr>
        <w:spacing w:after="0" w:line="1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COMMITTEES</w:t>
      </w:r>
    </w:p>
    <w:p>
      <w:pPr>
        <w:spacing w:after="0" w:line="73" w:lineRule="exact"/>
        <w:rPr>
          <w:sz w:val="20"/>
          <w:szCs w:val="20"/>
          <w:color w:val="auto"/>
        </w:rPr>
      </w:pPr>
    </w:p>
    <w:p>
      <w:pPr>
        <w:ind w:left="1200" w:hanging="168"/>
        <w:spacing w:after="0"/>
        <w:tabs>
          <w:tab w:leader="none" w:pos="1200" w:val="left"/>
        </w:tabs>
        <w:numPr>
          <w:ilvl w:val="0"/>
          <w:numId w:val="67"/>
        </w:numPr>
        <w:rPr>
          <w:rFonts w:ascii="Arial" w:cs="Arial" w:eastAsia="Arial" w:hAnsi="Arial"/>
          <w:sz w:val="16"/>
          <w:szCs w:val="16"/>
          <w:color w:val="62259D"/>
        </w:rPr>
      </w:pPr>
      <w:r>
        <w:rPr>
          <w:rFonts w:ascii="Arial" w:cs="Arial" w:eastAsia="Arial" w:hAnsi="Arial"/>
          <w:sz w:val="16"/>
          <w:szCs w:val="16"/>
          <w:color w:val="auto"/>
        </w:rPr>
        <w:t>Compensation</w:t>
      </w:r>
    </w:p>
    <w:p>
      <w:pPr>
        <w:spacing w:after="0" w:line="59" w:lineRule="exact"/>
        <w:rPr>
          <w:rFonts w:ascii="Arial" w:cs="Arial" w:eastAsia="Arial" w:hAnsi="Arial"/>
          <w:sz w:val="16"/>
          <w:szCs w:val="16"/>
          <w:color w:val="62259D"/>
        </w:rPr>
      </w:pPr>
    </w:p>
    <w:p>
      <w:pPr>
        <w:ind w:left="1200" w:right="280" w:hanging="168"/>
        <w:spacing w:after="0" w:line="248" w:lineRule="auto"/>
        <w:tabs>
          <w:tab w:leader="none" w:pos="1200" w:val="left"/>
        </w:tabs>
        <w:numPr>
          <w:ilvl w:val="0"/>
          <w:numId w:val="67"/>
        </w:numPr>
        <w:rPr>
          <w:rFonts w:ascii="Arial" w:cs="Arial" w:eastAsia="Arial" w:hAnsi="Arial"/>
          <w:sz w:val="16"/>
          <w:szCs w:val="16"/>
          <w:color w:val="62259D"/>
        </w:rPr>
      </w:pPr>
      <w:r>
        <w:rPr>
          <w:rFonts w:ascii="Arial" w:cs="Arial" w:eastAsia="Arial" w:hAnsi="Arial"/>
          <w:sz w:val="16"/>
          <w:szCs w:val="16"/>
          <w:color w:val="auto"/>
        </w:rPr>
        <w:t>Nominating, Sustainability and Corporate Governance</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ind w:left="4"/>
        <w:spacing w:after="0"/>
        <w:tabs>
          <w:tab w:leader="none" w:pos="203" w:val="left"/>
        </w:tabs>
        <w:rPr>
          <w:sz w:val="20"/>
          <w:szCs w:val="20"/>
          <w:color w:val="auto"/>
        </w:rPr>
      </w:pPr>
      <w:r>
        <w:rPr>
          <w:rFonts w:ascii="Arial" w:cs="Arial" w:eastAsia="Arial" w:hAnsi="Arial"/>
          <w:sz w:val="15"/>
          <w:szCs w:val="15"/>
          <w:b w:val="1"/>
          <w:bCs w:val="1"/>
          <w:color w:val="FEFEFE"/>
        </w:rPr>
        <w:t>​</w:t>
      </w:r>
      <w:r>
        <w:rPr>
          <w:sz w:val="20"/>
          <w:szCs w:val="20"/>
          <w:color w:val="auto"/>
        </w:rPr>
        <w:tab/>
      </w:r>
      <w:r>
        <w:rPr>
          <w:rFonts w:ascii="Arial" w:cs="Arial" w:eastAsia="Arial" w:hAnsi="Arial"/>
          <w:sz w:val="25"/>
          <w:szCs w:val="25"/>
          <w:b w:val="1"/>
          <w:bCs w:val="1"/>
          <w:color w:val="FEFEFE"/>
        </w:rPr>
        <w:t xml:space="preserve">TANYA TAMONE </w:t>
      </w:r>
      <w:r>
        <w:rPr>
          <w:rFonts w:ascii="Arial" w:cs="Arial" w:eastAsia="Arial" w:hAnsi="Arial"/>
          <w:sz w:val="15"/>
          <w:szCs w:val="15"/>
          <w:b w:val="1"/>
          <w:bCs w:val="1"/>
          <w:color w:val="FEFEFE"/>
        </w:rPr>
        <w:t>​</w:t>
      </w:r>
    </w:p>
    <w:p>
      <w:pPr>
        <w:spacing w:after="0" w:line="200" w:lineRule="exact"/>
        <w:rPr>
          <w:sz w:val="20"/>
          <w:szCs w:val="20"/>
          <w:color w:val="auto"/>
        </w:rPr>
      </w:pPr>
    </w:p>
    <w:p>
      <w:pPr>
        <w:spacing w:after="0" w:line="201" w:lineRule="exact"/>
        <w:rPr>
          <w:sz w:val="20"/>
          <w:szCs w:val="20"/>
          <w:color w:val="auto"/>
        </w:rPr>
      </w:pPr>
    </w:p>
    <w:p>
      <w:pPr>
        <w:ind w:left="104" w:hanging="104"/>
        <w:spacing w:after="0"/>
        <w:tabs>
          <w:tab w:leader="none" w:pos="104"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5" w:lineRule="exact"/>
        <w:rPr>
          <w:rFonts w:ascii="Arial" w:cs="Arial" w:eastAsia="Arial" w:hAnsi="Arial"/>
          <w:sz w:val="16"/>
          <w:szCs w:val="16"/>
          <w:color w:val="auto"/>
        </w:rPr>
      </w:pPr>
    </w:p>
    <w:p>
      <w:pPr>
        <w:ind w:left="104"/>
        <w:spacing w:after="0"/>
        <w:rPr>
          <w:rFonts w:ascii="Arial" w:cs="Arial" w:eastAsia="Arial" w:hAnsi="Arial"/>
          <w:sz w:val="16"/>
          <w:szCs w:val="16"/>
          <w:color w:val="auto"/>
        </w:rPr>
      </w:pPr>
      <w:r>
        <w:rPr>
          <w:rFonts w:ascii="Arial" w:cs="Arial" w:eastAsia="Arial" w:hAnsi="Arial"/>
          <w:sz w:val="16"/>
          <w:szCs w:val="16"/>
          <w:b w:val="1"/>
          <w:bCs w:val="1"/>
          <w:color w:val="auto"/>
        </w:rPr>
        <w:t>Sogerco S.A.</w:t>
      </w:r>
      <w:r>
        <w:rPr>
          <w:rFonts w:ascii="Arial" w:cs="Arial" w:eastAsia="Arial" w:hAnsi="Arial"/>
          <w:sz w:val="16"/>
          <w:szCs w:val="16"/>
          <w:color w:val="auto"/>
        </w:rPr>
        <w:t>, a private trust company</w:t>
      </w:r>
    </w:p>
    <w:p>
      <w:pPr>
        <w:spacing w:after="0" w:line="61" w:lineRule="exact"/>
        <w:rPr>
          <w:sz w:val="20"/>
          <w:szCs w:val="20"/>
          <w:color w:val="auto"/>
        </w:rPr>
      </w:pPr>
    </w:p>
    <w:p>
      <w:pPr>
        <w:ind w:left="264" w:hanging="156"/>
        <w:spacing w:after="0"/>
        <w:tabs>
          <w:tab w:leader="none" w:pos="264" w:val="left"/>
        </w:tabs>
        <w:numPr>
          <w:ilvl w:val="0"/>
          <w:numId w:val="69"/>
        </w:numPr>
        <w:rPr>
          <w:rFonts w:ascii="Arial" w:cs="Arial" w:eastAsia="Arial" w:hAnsi="Arial"/>
          <w:sz w:val="16"/>
          <w:szCs w:val="16"/>
          <w:color w:val="62259D"/>
        </w:rPr>
      </w:pPr>
      <w:r>
        <w:rPr>
          <w:rFonts w:ascii="Arial" w:cs="Arial" w:eastAsia="Arial" w:hAnsi="Arial"/>
          <w:sz w:val="16"/>
          <w:szCs w:val="16"/>
          <w:color w:val="auto"/>
        </w:rPr>
        <w:t>Chief Executive Officer (2007 to present)</w:t>
      </w:r>
    </w:p>
    <w:p>
      <w:pPr>
        <w:spacing w:after="0" w:line="57" w:lineRule="exact"/>
        <w:rPr>
          <w:sz w:val="20"/>
          <w:szCs w:val="20"/>
          <w:color w:val="auto"/>
        </w:rPr>
      </w:pPr>
    </w:p>
    <w:p>
      <w:pPr>
        <w:ind w:left="104" w:right="20"/>
        <w:spacing w:after="0" w:line="244" w:lineRule="auto"/>
        <w:rPr>
          <w:sz w:val="20"/>
          <w:szCs w:val="20"/>
          <w:color w:val="auto"/>
        </w:rPr>
      </w:pPr>
      <w:r>
        <w:rPr>
          <w:rFonts w:ascii="Arial" w:cs="Arial" w:eastAsia="Arial" w:hAnsi="Arial"/>
          <w:sz w:val="16"/>
          <w:szCs w:val="16"/>
          <w:b w:val="1"/>
          <w:bCs w:val="1"/>
          <w:color w:val="auto"/>
        </w:rPr>
        <w:t>Bank Leu</w:t>
      </w:r>
      <w:r>
        <w:rPr>
          <w:rFonts w:ascii="Arial" w:cs="Arial" w:eastAsia="Arial" w:hAnsi="Arial"/>
          <w:sz w:val="16"/>
          <w:szCs w:val="16"/>
          <w:color w:val="auto"/>
        </w:rPr>
        <w:t>,</w:t>
      </w:r>
      <w:r>
        <w:rPr>
          <w:rFonts w:ascii="Arial" w:cs="Arial" w:eastAsia="Arial" w:hAnsi="Arial"/>
          <w:sz w:val="16"/>
          <w:szCs w:val="16"/>
          <w:b w:val="1"/>
          <w:bCs w:val="1"/>
          <w:color w:val="auto"/>
        </w:rPr>
        <w:t xml:space="preserve"> Fuji Bank </w:t>
      </w:r>
      <w:r>
        <w:rPr>
          <w:rFonts w:ascii="Arial" w:cs="Arial" w:eastAsia="Arial" w:hAnsi="Arial"/>
          <w:sz w:val="16"/>
          <w:szCs w:val="16"/>
          <w:color w:val="auto"/>
        </w:rPr>
        <w:t>and</w:t>
      </w:r>
      <w:r>
        <w:rPr>
          <w:rFonts w:ascii="Arial" w:cs="Arial" w:eastAsia="Arial" w:hAnsi="Arial"/>
          <w:sz w:val="16"/>
          <w:szCs w:val="16"/>
          <w:b w:val="1"/>
          <w:bCs w:val="1"/>
          <w:color w:val="auto"/>
        </w:rPr>
        <w:t xml:space="preserve"> Cedef S.A.</w:t>
      </w:r>
      <w:r>
        <w:rPr>
          <w:rFonts w:ascii="Arial" w:cs="Arial" w:eastAsia="Arial" w:hAnsi="Arial"/>
          <w:sz w:val="16"/>
          <w:szCs w:val="16"/>
          <w:color w:val="auto"/>
        </w:rPr>
        <w:t>, in</w:t>
      </w:r>
      <w:r>
        <w:rPr>
          <w:rFonts w:ascii="Arial" w:cs="Arial" w:eastAsia="Arial" w:hAnsi="Arial"/>
          <w:sz w:val="16"/>
          <w:szCs w:val="16"/>
          <w:b w:val="1"/>
          <w:bCs w:val="1"/>
          <w:color w:val="auto"/>
        </w:rPr>
        <w:t xml:space="preserve"> </w:t>
      </w:r>
      <w:r>
        <w:rPr>
          <w:rFonts w:ascii="Arial" w:cs="Arial" w:eastAsia="Arial" w:hAnsi="Arial"/>
          <w:sz w:val="16"/>
          <w:szCs w:val="16"/>
          <w:color w:val="auto"/>
        </w:rPr>
        <w:t>Switzerland</w:t>
      </w:r>
    </w:p>
    <w:p>
      <w:pPr>
        <w:spacing w:after="0" w:line="46" w:lineRule="exact"/>
        <w:rPr>
          <w:sz w:val="20"/>
          <w:szCs w:val="20"/>
          <w:color w:val="auto"/>
        </w:rPr>
      </w:pPr>
    </w:p>
    <w:p>
      <w:pPr>
        <w:ind w:left="264" w:right="400" w:hanging="156"/>
        <w:spacing w:after="0" w:line="259" w:lineRule="auto"/>
        <w:tabs>
          <w:tab w:leader="none" w:pos="264" w:val="left"/>
        </w:tabs>
        <w:numPr>
          <w:ilvl w:val="0"/>
          <w:numId w:val="70"/>
        </w:numPr>
        <w:rPr>
          <w:rFonts w:ascii="Arial" w:cs="Arial" w:eastAsia="Arial" w:hAnsi="Arial"/>
          <w:sz w:val="16"/>
          <w:szCs w:val="16"/>
          <w:color w:val="62259D"/>
        </w:rPr>
      </w:pPr>
      <w:r>
        <w:rPr>
          <w:rFonts w:ascii="Arial" w:cs="Arial" w:eastAsia="Arial" w:hAnsi="Arial"/>
          <w:sz w:val="16"/>
          <w:szCs w:val="16"/>
          <w:color w:val="auto"/>
        </w:rPr>
        <w:t>Trader, specializing in currency and interest trading (1985 to 1996)</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1540"/>
        <w:spacing w:after="0"/>
        <w:rPr>
          <w:sz w:val="20"/>
          <w:szCs w:val="20"/>
          <w:color w:val="auto"/>
        </w:rPr>
      </w:pPr>
      <w:r>
        <w:rPr>
          <w:rFonts w:ascii="Arial" w:cs="Arial" w:eastAsia="Arial" w:hAnsi="Arial"/>
          <w:sz w:val="15"/>
          <w:szCs w:val="15"/>
          <w:b w:val="1"/>
          <w:bCs w:val="1"/>
          <w:color w:val="FEFEFE"/>
        </w:rPr>
        <w:t>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-156845</wp:posOffset>
            </wp:positionV>
            <wp:extent cx="4320540" cy="4883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20540" cy="48831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880" w:type="dxa"/>
            <w:vAlign w:val="bottom"/>
          </w:tcPr>
          <w:p>
            <w:pPr>
              <w:ind w:left="220"/>
              <w:spacing w:after="0"/>
              <w:rPr>
                <w:sz w:val="20"/>
                <w:szCs w:val="20"/>
                <w:color w:val="auto"/>
              </w:rPr>
            </w:pPr>
            <w:r>
              <w:rPr>
                <w:rFonts w:ascii="Arial" w:cs="Arial" w:eastAsia="Arial" w:hAnsi="Arial"/>
                <w:sz w:val="15"/>
                <w:szCs w:val="15"/>
                <w:b w:val="1"/>
                <w:bCs w:val="1"/>
                <w:color w:val="FEFEFE"/>
              </w:rPr>
              <w:t>​</w:t>
            </w:r>
          </w:p>
        </w:tc>
        <w:tc>
          <w:tcPr>
            <w:tcW w:w="1560" w:type="dxa"/>
            <w:vAlign w:val="bottom"/>
          </w:tcPr>
          <w:p>
            <w:pPr>
              <w:ind w:left="280"/>
              <w:spacing w:after="0"/>
              <w:rPr>
                <w:sz w:val="20"/>
                <w:szCs w:val="20"/>
                <w:color w:val="auto"/>
              </w:rPr>
            </w:pPr>
            <w:r>
              <w:rPr>
                <w:rFonts w:ascii="Arial" w:cs="Arial" w:eastAsia="Arial" w:hAnsi="Arial"/>
                <w:sz w:val="15"/>
                <w:szCs w:val="15"/>
                <w:b w:val="1"/>
                <w:bCs w:val="1"/>
                <w:color w:val="FEFEFE"/>
              </w:rPr>
              <w:t>Director since​</w:t>
            </w:r>
          </w:p>
        </w:tc>
      </w:tr>
      <w:tr>
        <w:trPr>
          <w:trHeight w:val="210"/>
        </w:trPr>
        <w:tc>
          <w:tcPr>
            <w:tcW w:w="1880" w:type="dxa"/>
            <w:vAlign w:val="bottom"/>
          </w:tcPr>
          <w:p>
            <w:pPr>
              <w:spacing w:after="0"/>
              <w:rPr>
                <w:sz w:val="18"/>
                <w:szCs w:val="18"/>
                <w:color w:val="auto"/>
              </w:rPr>
            </w:pPr>
          </w:p>
        </w:tc>
        <w:tc>
          <w:tcPr>
            <w:tcW w:w="1560" w:type="dxa"/>
            <w:vAlign w:val="bottom"/>
          </w:tcPr>
          <w:p>
            <w:pPr>
              <w:ind w:left="600"/>
              <w:spacing w:after="0"/>
              <w:rPr>
                <w:sz w:val="20"/>
                <w:szCs w:val="20"/>
                <w:color w:val="auto"/>
              </w:rPr>
            </w:pPr>
            <w:r>
              <w:rPr>
                <w:rFonts w:ascii="Arial" w:cs="Arial" w:eastAsia="Arial" w:hAnsi="Arial"/>
                <w:sz w:val="15"/>
                <w:szCs w:val="15"/>
                <w:b w:val="1"/>
                <w:bCs w:val="1"/>
                <w:color w:val="FEFEFE"/>
              </w:rPr>
              <w:t>June 2020</w:t>
            </w:r>
          </w:p>
        </w:tc>
      </w:tr>
      <w:tr>
        <w:trPr>
          <w:trHeight w:val="407"/>
        </w:trPr>
        <w:tc>
          <w:tcPr>
            <w:tcW w:w="1880" w:type="dxa"/>
            <w:vAlign w:val="bottom"/>
          </w:tcPr>
          <w:p>
            <w:pPr>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62259D"/>
              </w:rPr>
              <w:t>BOARD SERVICE</w:t>
            </w:r>
          </w:p>
        </w:tc>
        <w:tc>
          <w:tcPr>
            <w:tcW w:w="1560" w:type="dxa"/>
            <w:vAlign w:val="bottom"/>
          </w:tcPr>
          <w:p>
            <w:pPr>
              <w:ind w:left="1520"/>
              <w:spacing w:after="0"/>
              <w:rPr>
                <w:sz w:val="20"/>
                <w:szCs w:val="20"/>
                <w:color w:val="auto"/>
              </w:rPr>
            </w:pPr>
            <w:r>
              <w:rPr>
                <w:rFonts w:ascii="Arial" w:cs="Arial" w:eastAsia="Arial" w:hAnsi="Arial"/>
                <w:sz w:val="16"/>
                <w:szCs w:val="16"/>
                <w:color w:val="auto"/>
              </w:rPr>
              <w:t>​</w:t>
            </w:r>
          </w:p>
        </w:tc>
      </w:tr>
    </w:tbl>
    <w:p>
      <w:pPr>
        <w:spacing w:after="0" w:line="28" w:lineRule="exact"/>
        <w:rPr>
          <w:sz w:val="20"/>
          <w:szCs w:val="20"/>
          <w:color w:val="auto"/>
        </w:rPr>
      </w:pPr>
    </w:p>
    <w:p>
      <w:pPr>
        <w:ind w:left="360" w:right="299" w:hanging="154"/>
        <w:spacing w:after="0" w:line="259" w:lineRule="auto"/>
        <w:tabs>
          <w:tab w:leader="none" w:pos="360" w:val="left"/>
        </w:tabs>
        <w:numPr>
          <w:ilvl w:val="0"/>
          <w:numId w:val="71"/>
        </w:numPr>
        <w:rPr>
          <w:rFonts w:ascii="Arial" w:cs="Arial" w:eastAsia="Arial" w:hAnsi="Arial"/>
          <w:sz w:val="16"/>
          <w:szCs w:val="16"/>
          <w:color w:val="62259D"/>
        </w:rPr>
      </w:pPr>
      <w:r>
        <w:rPr>
          <w:rFonts w:ascii="Arial" w:cs="Arial" w:eastAsia="Arial" w:hAnsi="Arial"/>
          <w:sz w:val="16"/>
          <w:szCs w:val="16"/>
          <w:color w:val="auto"/>
        </w:rPr>
        <w:t>currently serves as a director for several privately held companies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62259D"/>
        </w:rPr>
        <w:t>SKILLS AND EXPERTISE</w:t>
      </w:r>
    </w:p>
    <w:p>
      <w:pPr>
        <w:spacing w:after="0" w:line="34" w:lineRule="exact"/>
        <w:rPr>
          <w:sz w:val="20"/>
          <w:szCs w:val="20"/>
          <w:color w:val="auto"/>
        </w:rPr>
      </w:pPr>
    </w:p>
    <w:p>
      <w:pPr>
        <w:ind w:left="200" w:right="379"/>
        <w:spacing w:after="0" w:line="238" w:lineRule="auto"/>
        <w:rPr>
          <w:sz w:val="20"/>
          <w:szCs w:val="20"/>
          <w:color w:val="auto"/>
        </w:rPr>
      </w:pPr>
      <w:r>
        <w:rPr>
          <w:rFonts w:ascii="Arial" w:cs="Arial" w:eastAsia="Arial" w:hAnsi="Arial"/>
          <w:sz w:val="16"/>
          <w:szCs w:val="16"/>
          <w:color w:val="auto"/>
        </w:rPr>
        <w:t>We believe Ms. Tamone is qualified to serve on the Board due to her experience</w:t>
      </w:r>
    </w:p>
    <w:p>
      <w:pPr>
        <w:ind w:left="200" w:right="759"/>
        <w:spacing w:after="0" w:line="231" w:lineRule="auto"/>
        <w:rPr>
          <w:sz w:val="20"/>
          <w:szCs w:val="20"/>
          <w:color w:val="auto"/>
        </w:rPr>
      </w:pPr>
      <w:r>
        <w:rPr>
          <w:rFonts w:ascii="Arial" w:cs="Arial" w:eastAsia="Arial" w:hAnsi="Arial"/>
          <w:sz w:val="16"/>
          <w:szCs w:val="16"/>
          <w:color w:val="auto"/>
        </w:rPr>
        <w:t>as a Chief Executive Officer and her financial expertise.</w:t>
      </w:r>
    </w:p>
    <w:p>
      <w:pPr>
        <w:spacing w:after="0" w:line="1073" w:lineRule="exact"/>
        <w:rPr>
          <w:sz w:val="20"/>
          <w:szCs w:val="20"/>
          <w:color w:val="auto"/>
        </w:rPr>
      </w:pPr>
    </w:p>
    <w:p>
      <w:pPr>
        <w:sectPr>
          <w:pgSz w:w="11900" w:h="16838" w:orient="portrait"/>
          <w:cols w:equalWidth="0" w:num="3">
            <w:col w:w="2800" w:space="176"/>
            <w:col w:w="3244" w:space="60"/>
            <w:col w:w="3599"/>
          </w:cols>
          <w:pgMar w:left="580" w:top="97" w:right="1440" w:bottom="1440" w:gutter="0" w:footer="0" w:header="0"/>
          <w:type w:val="continuous"/>
        </w:sectPr>
      </w:pPr>
    </w:p>
    <w:p>
      <w:pPr>
        <w:spacing w:after="0" w:line="283"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-4445</wp:posOffset>
            </wp:positionV>
            <wp:extent cx="56235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Corporate Governance</w:t>
      </w:r>
    </w:p>
    <w:p>
      <w:pPr>
        <w:spacing w:after="0" w:line="158" w:lineRule="exact"/>
        <w:rPr>
          <w:sz w:val="20"/>
          <w:szCs w:val="20"/>
          <w:color w:val="auto"/>
        </w:rPr>
      </w:pPr>
    </w:p>
    <w:p>
      <w:pPr>
        <w:ind w:left="920" w:right="139"/>
        <w:spacing w:after="0" w:line="244" w:lineRule="auto"/>
        <w:rPr>
          <w:sz w:val="20"/>
          <w:szCs w:val="20"/>
          <w:color w:val="auto"/>
        </w:rPr>
      </w:pPr>
      <w:r>
        <w:rPr>
          <w:rFonts w:ascii="Arial" w:cs="Arial" w:eastAsia="Arial" w:hAnsi="Arial"/>
          <w:sz w:val="18"/>
          <w:szCs w:val="18"/>
          <w:color w:val="auto"/>
        </w:rPr>
        <w:t>We are committed to strong corporate governance practices, which include building long-term value for our stockholders and assuring the success of the Company for our stockholders and stakeholders, including our employees, customers, suppliers and the communities in which we operate. To achieve these goals, our Board is charged with monitoring the performance of the Company and our officers as well as its programs and procedures to ensure compliance with laws and our overall success. Governance is an ongoing focus at Ribbon, starting with the Board and extending to management and all employees. In addition, we solicit feedback from stockholders on governance and executive compensation practices in order to improve our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100330</wp:posOffset>
            </wp:positionV>
            <wp:extent cx="5623560" cy="308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23560" cy="3086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217"/>
        </w:trPr>
        <w:tc>
          <w:tcPr>
            <w:tcW w:w="260" w:type="dxa"/>
            <w:vAlign w:val="bottom"/>
          </w:tcPr>
          <w:p>
            <w:pPr>
              <w:ind w:left="60"/>
              <w:spacing w:after="0"/>
              <w:rPr>
                <w:sz w:val="20"/>
                <w:szCs w:val="20"/>
                <w:color w:val="auto"/>
              </w:rPr>
            </w:pPr>
            <w:r>
              <w:rPr>
                <w:rFonts w:ascii="Arial" w:cs="Arial" w:eastAsia="Arial" w:hAnsi="Arial"/>
                <w:sz w:val="16"/>
                <w:szCs w:val="16"/>
                <w:b w:val="1"/>
                <w:bCs w:val="1"/>
                <w:color w:val="FEFEFE"/>
              </w:rPr>
              <w:t>​</w:t>
            </w:r>
          </w:p>
        </w:tc>
        <w:tc>
          <w:tcPr>
            <w:tcW w:w="8400" w:type="dxa"/>
            <w:vAlign w:val="bottom"/>
            <w:gridSpan w:val="3"/>
          </w:tcPr>
          <w:p>
            <w:pPr>
              <w:ind w:left="2920"/>
              <w:spacing w:after="0"/>
              <w:rPr>
                <w:sz w:val="20"/>
                <w:szCs w:val="20"/>
                <w:color w:val="auto"/>
              </w:rPr>
            </w:pPr>
            <w:r>
              <w:rPr>
                <w:rFonts w:ascii="Arial" w:cs="Arial" w:eastAsia="Arial" w:hAnsi="Arial"/>
                <w:sz w:val="16"/>
                <w:szCs w:val="16"/>
                <w:b w:val="1"/>
                <w:bCs w:val="1"/>
                <w:color w:val="FEFEFE"/>
              </w:rPr>
              <w:t>Strong Governance Practices</w:t>
            </w:r>
          </w:p>
        </w:tc>
        <w:tc>
          <w:tcPr>
            <w:tcW w:w="0" w:type="dxa"/>
            <w:vAlign w:val="bottom"/>
          </w:tcPr>
          <w:p>
            <w:pPr>
              <w:spacing w:after="0"/>
              <w:rPr>
                <w:sz w:val="1"/>
                <w:szCs w:val="1"/>
                <w:color w:val="auto"/>
              </w:rPr>
            </w:pPr>
          </w:p>
        </w:tc>
      </w:tr>
      <w:tr>
        <w:trPr>
          <w:trHeight w:val="229"/>
        </w:trPr>
        <w:tc>
          <w:tcPr>
            <w:tcW w:w="26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3940" w:type="dxa"/>
            <w:vAlign w:val="bottom"/>
            <w:shd w:val="clear" w:color="auto" w:fill="F2F2F2"/>
          </w:tcPr>
          <w:p>
            <w:pPr>
              <w:ind w:left="160"/>
              <w:spacing w:after="0"/>
              <w:rPr>
                <w:sz w:val="20"/>
                <w:szCs w:val="20"/>
                <w:color w:val="auto"/>
              </w:rPr>
            </w:pPr>
            <w:r>
              <w:rPr>
                <w:rFonts w:ascii="Arial" w:cs="Arial" w:eastAsia="Arial" w:hAnsi="Arial"/>
                <w:sz w:val="16"/>
                <w:szCs w:val="16"/>
                <w:color w:val="auto"/>
              </w:rPr>
              <w:t>Annual election of all directors</w:t>
            </w:r>
          </w:p>
        </w:tc>
        <w:tc>
          <w:tcPr>
            <w:tcW w:w="240" w:type="dxa"/>
            <w:vAlign w:val="bottom"/>
            <w:tcBorders>
              <w:right w:val="single" w:sz="8" w:color="FEFEFE"/>
            </w:tcBorders>
            <w:shd w:val="clear" w:color="auto" w:fill="F2F2F2"/>
          </w:tcPr>
          <w:p>
            <w:pPr>
              <w:ind w:left="120"/>
              <w:spacing w:after="0"/>
              <w:rPr>
                <w:sz w:val="20"/>
                <w:szCs w:val="20"/>
                <w:color w:val="auto"/>
              </w:rPr>
            </w:pPr>
            <w:r>
              <w:rPr>
                <w:rFonts w:ascii="Arial" w:cs="Arial" w:eastAsia="Arial" w:hAnsi="Arial"/>
                <w:sz w:val="16"/>
                <w:szCs w:val="16"/>
                <w:color w:val="auto"/>
              </w:rPr>
              <w:t>​</w:t>
            </w:r>
          </w:p>
        </w:tc>
        <w:tc>
          <w:tcPr>
            <w:tcW w:w="4220" w:type="dxa"/>
            <w:vAlign w:val="bottom"/>
          </w:tcPr>
          <w:p>
            <w:pPr>
              <w:spacing w:after="0"/>
              <w:rPr>
                <w:sz w:val="20"/>
                <w:szCs w:val="20"/>
                <w:color w:val="auto"/>
              </w:rPr>
            </w:pPr>
            <w:r>
              <w:rPr>
                <w:rFonts w:ascii="Arial" w:cs="Arial" w:eastAsia="Arial" w:hAnsi="Arial"/>
                <w:sz w:val="26"/>
                <w:szCs w:val="26"/>
                <w:color w:val="auto"/>
                <w:vertAlign w:val="superscript"/>
              </w:rPr>
              <w:t>​</w:t>
            </w:r>
            <w:r>
              <w:rPr>
                <w:rFonts w:ascii="Arial" w:cs="Arial" w:eastAsia="Arial" w:hAnsi="Arial"/>
                <w:sz w:val="16"/>
                <w:szCs w:val="16"/>
                <w:color w:val="auto"/>
              </w:rPr>
              <w:t>Annual advisory approval of executive</w:t>
            </w:r>
          </w:p>
        </w:tc>
        <w:tc>
          <w:tcPr>
            <w:tcW w:w="0" w:type="dxa"/>
            <w:vAlign w:val="bottom"/>
          </w:tcPr>
          <w:p>
            <w:pPr>
              <w:spacing w:after="0"/>
              <w:rPr>
                <w:sz w:val="1"/>
                <w:szCs w:val="1"/>
                <w:color w:val="auto"/>
              </w:rPr>
            </w:pPr>
          </w:p>
        </w:tc>
      </w:tr>
      <w:tr>
        <w:trPr>
          <w:trHeight w:val="215"/>
        </w:trPr>
        <w:tc>
          <w:tcPr>
            <w:tcW w:w="260" w:type="dxa"/>
            <w:vAlign w:val="bottom"/>
            <w:shd w:val="clear" w:color="auto" w:fill="F2F2F2"/>
          </w:tcPr>
          <w:p>
            <w:pPr>
              <w:spacing w:after="0"/>
              <w:rPr>
                <w:sz w:val="18"/>
                <w:szCs w:val="18"/>
                <w:color w:val="auto"/>
              </w:rPr>
            </w:pPr>
          </w:p>
        </w:tc>
        <w:tc>
          <w:tcPr>
            <w:tcW w:w="394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Majority voting for director elections</w:t>
            </w:r>
          </w:p>
        </w:tc>
        <w:tc>
          <w:tcPr>
            <w:tcW w:w="240" w:type="dxa"/>
            <w:vAlign w:val="bottom"/>
            <w:tcBorders>
              <w:right w:val="single" w:sz="8" w:color="FEFEFE"/>
            </w:tcBorders>
            <w:shd w:val="clear" w:color="auto" w:fill="F2F2F2"/>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6"/>
                <w:szCs w:val="16"/>
                <w:color w:val="auto"/>
              </w:rPr>
              <w:t>compensation</w:t>
            </w:r>
          </w:p>
        </w:tc>
        <w:tc>
          <w:tcPr>
            <w:tcW w:w="0" w:type="dxa"/>
            <w:vAlign w:val="bottom"/>
          </w:tcPr>
          <w:p>
            <w:pPr>
              <w:spacing w:after="0"/>
              <w:rPr>
                <w:sz w:val="1"/>
                <w:szCs w:val="1"/>
                <w:color w:val="auto"/>
              </w:rPr>
            </w:pPr>
          </w:p>
        </w:tc>
      </w:tr>
      <w:tr>
        <w:trPr>
          <w:trHeight w:val="68"/>
        </w:trPr>
        <w:tc>
          <w:tcPr>
            <w:tcW w:w="260" w:type="dxa"/>
            <w:vAlign w:val="bottom"/>
            <w:shd w:val="clear" w:color="auto" w:fill="F2F2F2"/>
          </w:tcPr>
          <w:p>
            <w:pPr>
              <w:spacing w:after="0"/>
              <w:rPr>
                <w:sz w:val="5"/>
                <w:szCs w:val="5"/>
                <w:color w:val="auto"/>
              </w:rPr>
            </w:pPr>
          </w:p>
        </w:tc>
        <w:tc>
          <w:tcPr>
            <w:tcW w:w="3940" w:type="dxa"/>
            <w:vAlign w:val="bottom"/>
            <w:vMerge w:val="continue"/>
            <w:shd w:val="clear" w:color="auto" w:fill="F2F2F2"/>
          </w:tcPr>
          <w:p>
            <w:pPr>
              <w:spacing w:after="0"/>
              <w:rPr>
                <w:sz w:val="5"/>
                <w:szCs w:val="5"/>
                <w:color w:val="auto"/>
              </w:rPr>
            </w:pPr>
          </w:p>
        </w:tc>
        <w:tc>
          <w:tcPr>
            <w:tcW w:w="240" w:type="dxa"/>
            <w:vAlign w:val="bottom"/>
            <w:tcBorders>
              <w:right w:val="single" w:sz="8" w:color="FEFEFE"/>
            </w:tcBorders>
            <w:shd w:val="clear" w:color="auto" w:fill="F2F2F2"/>
          </w:tcPr>
          <w:p>
            <w:pPr>
              <w:spacing w:after="0"/>
              <w:rPr>
                <w:sz w:val="5"/>
                <w:szCs w:val="5"/>
                <w:color w:val="auto"/>
              </w:rPr>
            </w:pPr>
          </w:p>
        </w:tc>
        <w:tc>
          <w:tcPr>
            <w:tcW w:w="4220" w:type="dxa"/>
            <w:vAlign w:val="bottom"/>
            <w:vMerge w:val="restart"/>
          </w:tcPr>
          <w:p>
            <w:pPr>
              <w:ind w:left="420"/>
              <w:spacing w:after="0"/>
              <w:rPr>
                <w:sz w:val="20"/>
                <w:szCs w:val="20"/>
                <w:color w:val="auto"/>
              </w:rPr>
            </w:pPr>
            <w:r>
              <w:rPr>
                <w:rFonts w:ascii="Arial" w:cs="Arial" w:eastAsia="Arial" w:hAnsi="Arial"/>
                <w:sz w:val="16"/>
                <w:szCs w:val="16"/>
                <w:color w:val="auto"/>
              </w:rPr>
              <w:t>Disclosure Committee for financial reporting</w:t>
            </w:r>
          </w:p>
        </w:tc>
        <w:tc>
          <w:tcPr>
            <w:tcW w:w="0" w:type="dxa"/>
            <w:vAlign w:val="bottom"/>
          </w:tcPr>
          <w:p>
            <w:pPr>
              <w:spacing w:after="0"/>
              <w:rPr>
                <w:sz w:val="1"/>
                <w:szCs w:val="1"/>
                <w:color w:val="auto"/>
              </w:rPr>
            </w:pPr>
          </w:p>
        </w:tc>
      </w:tr>
      <w:tr>
        <w:trPr>
          <w:trHeight w:val="204"/>
        </w:trPr>
        <w:tc>
          <w:tcPr>
            <w:tcW w:w="260" w:type="dxa"/>
            <w:vAlign w:val="bottom"/>
            <w:shd w:val="clear" w:color="auto" w:fill="F2F2F2"/>
          </w:tcPr>
          <w:p>
            <w:pPr>
              <w:spacing w:after="0"/>
              <w:rPr>
                <w:sz w:val="17"/>
                <w:szCs w:val="17"/>
                <w:color w:val="auto"/>
              </w:rPr>
            </w:pPr>
          </w:p>
        </w:tc>
        <w:tc>
          <w:tcPr>
            <w:tcW w:w="3940" w:type="dxa"/>
            <w:vAlign w:val="bottom"/>
            <w:shd w:val="clear" w:color="auto" w:fill="F2F2F2"/>
          </w:tcPr>
          <w:p>
            <w:pPr>
              <w:ind w:left="160"/>
              <w:spacing w:after="0"/>
              <w:rPr>
                <w:sz w:val="20"/>
                <w:szCs w:val="20"/>
                <w:color w:val="auto"/>
              </w:rPr>
            </w:pPr>
            <w:r>
              <w:rPr>
                <w:rFonts w:ascii="Arial" w:cs="Arial" w:eastAsia="Arial" w:hAnsi="Arial"/>
                <w:sz w:val="16"/>
                <w:szCs w:val="16"/>
                <w:color w:val="auto"/>
              </w:rPr>
              <w:t>Separate Chairman and CEO</w:t>
            </w:r>
          </w:p>
        </w:tc>
        <w:tc>
          <w:tcPr>
            <w:tcW w:w="240" w:type="dxa"/>
            <w:vAlign w:val="bottom"/>
            <w:tcBorders>
              <w:right w:val="single" w:sz="8" w:color="FEFEFE"/>
            </w:tcBorders>
            <w:shd w:val="clear" w:color="auto" w:fill="F2F2F2"/>
          </w:tcPr>
          <w:p>
            <w:pPr>
              <w:spacing w:after="0"/>
              <w:rPr>
                <w:sz w:val="17"/>
                <w:szCs w:val="17"/>
                <w:color w:val="auto"/>
              </w:rPr>
            </w:pPr>
          </w:p>
        </w:tc>
        <w:tc>
          <w:tcPr>
            <w:tcW w:w="4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0" w:type="dxa"/>
            <w:vAlign w:val="bottom"/>
            <w:shd w:val="clear" w:color="auto" w:fill="F2F2F2"/>
          </w:tcPr>
          <w:p>
            <w:pPr>
              <w:spacing w:after="0"/>
              <w:rPr>
                <w:sz w:val="16"/>
                <w:szCs w:val="16"/>
                <w:color w:val="auto"/>
              </w:rPr>
            </w:pPr>
          </w:p>
        </w:tc>
        <w:tc>
          <w:tcPr>
            <w:tcW w:w="394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Appointment of lead independent director</w:t>
            </w:r>
          </w:p>
        </w:tc>
        <w:tc>
          <w:tcPr>
            <w:tcW w:w="240" w:type="dxa"/>
            <w:vAlign w:val="bottom"/>
            <w:tcBorders>
              <w:right w:val="single" w:sz="8" w:color="FEFEFE"/>
            </w:tcBorders>
            <w:shd w:val="clear" w:color="auto" w:fill="F2F2F2"/>
          </w:tcPr>
          <w:p>
            <w:pPr>
              <w:spacing w:after="0"/>
              <w:rPr>
                <w:sz w:val="16"/>
                <w:szCs w:val="16"/>
                <w:color w:val="auto"/>
              </w:rPr>
            </w:pPr>
          </w:p>
        </w:tc>
        <w:tc>
          <w:tcPr>
            <w:tcW w:w="4220" w:type="dxa"/>
            <w:vAlign w:val="bottom"/>
          </w:tcPr>
          <w:p>
            <w:pPr>
              <w:ind w:left="420"/>
              <w:spacing w:after="0"/>
              <w:rPr>
                <w:sz w:val="20"/>
                <w:szCs w:val="20"/>
                <w:color w:val="auto"/>
              </w:rPr>
            </w:pPr>
            <w:r>
              <w:rPr>
                <w:rFonts w:ascii="Arial" w:cs="Arial" w:eastAsia="Arial" w:hAnsi="Arial"/>
                <w:sz w:val="16"/>
                <w:szCs w:val="16"/>
                <w:color w:val="auto"/>
              </w:rPr>
              <w:t>Review and approval policy for related party</w:t>
            </w:r>
          </w:p>
        </w:tc>
        <w:tc>
          <w:tcPr>
            <w:tcW w:w="0" w:type="dxa"/>
            <w:vAlign w:val="bottom"/>
          </w:tcPr>
          <w:p>
            <w:pPr>
              <w:spacing w:after="0"/>
              <w:rPr>
                <w:sz w:val="1"/>
                <w:szCs w:val="1"/>
                <w:color w:val="auto"/>
              </w:rPr>
            </w:pPr>
          </w:p>
        </w:tc>
      </w:tr>
      <w:tr>
        <w:trPr>
          <w:trHeight w:val="107"/>
        </w:trPr>
        <w:tc>
          <w:tcPr>
            <w:tcW w:w="260" w:type="dxa"/>
            <w:vAlign w:val="bottom"/>
            <w:shd w:val="clear" w:color="auto" w:fill="F2F2F2"/>
          </w:tcPr>
          <w:p>
            <w:pPr>
              <w:spacing w:after="0"/>
              <w:rPr>
                <w:sz w:val="9"/>
                <w:szCs w:val="9"/>
                <w:color w:val="auto"/>
              </w:rPr>
            </w:pPr>
          </w:p>
        </w:tc>
        <w:tc>
          <w:tcPr>
            <w:tcW w:w="3940" w:type="dxa"/>
            <w:vAlign w:val="bottom"/>
            <w:vMerge w:val="continue"/>
            <w:shd w:val="clear" w:color="auto" w:fill="F2F2F2"/>
          </w:tcPr>
          <w:p>
            <w:pPr>
              <w:spacing w:after="0"/>
              <w:rPr>
                <w:sz w:val="9"/>
                <w:szCs w:val="9"/>
                <w:color w:val="auto"/>
              </w:rPr>
            </w:pPr>
          </w:p>
        </w:tc>
        <w:tc>
          <w:tcPr>
            <w:tcW w:w="240" w:type="dxa"/>
            <w:vAlign w:val="bottom"/>
            <w:tcBorders>
              <w:right w:val="single" w:sz="8" w:color="FEFEFE"/>
            </w:tcBorders>
            <w:shd w:val="clear" w:color="auto" w:fill="F2F2F2"/>
          </w:tcPr>
          <w:p>
            <w:pPr>
              <w:spacing w:after="0"/>
              <w:rPr>
                <w:sz w:val="9"/>
                <w:szCs w:val="9"/>
                <w:color w:val="auto"/>
              </w:rPr>
            </w:pPr>
          </w:p>
        </w:tc>
        <w:tc>
          <w:tcPr>
            <w:tcW w:w="4220" w:type="dxa"/>
            <w:vAlign w:val="bottom"/>
            <w:vMerge w:val="restart"/>
          </w:tcPr>
          <w:p>
            <w:pPr>
              <w:ind w:left="420"/>
              <w:spacing w:after="0"/>
              <w:rPr>
                <w:sz w:val="20"/>
                <w:szCs w:val="20"/>
                <w:color w:val="auto"/>
              </w:rPr>
            </w:pPr>
            <w:r>
              <w:rPr>
                <w:rFonts w:ascii="Arial" w:cs="Arial" w:eastAsia="Arial" w:hAnsi="Arial"/>
                <w:sz w:val="16"/>
                <w:szCs w:val="16"/>
                <w:color w:val="auto"/>
              </w:rPr>
              <w:t>transactions</w:t>
            </w:r>
          </w:p>
        </w:tc>
        <w:tc>
          <w:tcPr>
            <w:tcW w:w="0" w:type="dxa"/>
            <w:vAlign w:val="bottom"/>
          </w:tcPr>
          <w:p>
            <w:pPr>
              <w:spacing w:after="0"/>
              <w:rPr>
                <w:sz w:val="1"/>
                <w:szCs w:val="1"/>
                <w:color w:val="auto"/>
              </w:rPr>
            </w:pPr>
          </w:p>
        </w:tc>
      </w:tr>
      <w:tr>
        <w:trPr>
          <w:trHeight w:val="108"/>
        </w:trPr>
        <w:tc>
          <w:tcPr>
            <w:tcW w:w="260" w:type="dxa"/>
            <w:vAlign w:val="bottom"/>
            <w:shd w:val="clear" w:color="auto" w:fill="F2F2F2"/>
          </w:tcPr>
          <w:p>
            <w:pPr>
              <w:spacing w:after="0"/>
              <w:rPr>
                <w:sz w:val="9"/>
                <w:szCs w:val="9"/>
                <w:color w:val="auto"/>
              </w:rPr>
            </w:pPr>
          </w:p>
        </w:tc>
        <w:tc>
          <w:tcPr>
            <w:tcW w:w="394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Substantial majority of independent directors</w:t>
            </w:r>
          </w:p>
        </w:tc>
        <w:tc>
          <w:tcPr>
            <w:tcW w:w="240" w:type="dxa"/>
            <w:vAlign w:val="bottom"/>
            <w:tcBorders>
              <w:right w:val="single" w:sz="8" w:color="FEFEFE"/>
            </w:tcBorders>
            <w:shd w:val="clear" w:color="auto" w:fill="F2F2F2"/>
          </w:tcPr>
          <w:p>
            <w:pPr>
              <w:spacing w:after="0"/>
              <w:rPr>
                <w:sz w:val="9"/>
                <w:szCs w:val="9"/>
                <w:color w:val="auto"/>
              </w:rPr>
            </w:pPr>
          </w:p>
        </w:tc>
        <w:tc>
          <w:tcPr>
            <w:tcW w:w="4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shd w:val="clear" w:color="auto" w:fill="F2F2F2"/>
          </w:tcPr>
          <w:p>
            <w:pPr>
              <w:spacing w:after="0"/>
              <w:rPr>
                <w:sz w:val="11"/>
                <w:szCs w:val="11"/>
                <w:color w:val="auto"/>
              </w:rPr>
            </w:pPr>
          </w:p>
        </w:tc>
        <w:tc>
          <w:tcPr>
            <w:tcW w:w="3940" w:type="dxa"/>
            <w:vAlign w:val="bottom"/>
            <w:vMerge w:val="continue"/>
            <w:shd w:val="clear" w:color="auto" w:fill="F2F2F2"/>
          </w:tcPr>
          <w:p>
            <w:pPr>
              <w:spacing w:after="0"/>
              <w:rPr>
                <w:sz w:val="11"/>
                <w:szCs w:val="11"/>
                <w:color w:val="auto"/>
              </w:rPr>
            </w:pPr>
          </w:p>
        </w:tc>
        <w:tc>
          <w:tcPr>
            <w:tcW w:w="240" w:type="dxa"/>
            <w:vAlign w:val="bottom"/>
            <w:tcBorders>
              <w:right w:val="single" w:sz="8" w:color="FEFEFE"/>
            </w:tcBorders>
            <w:shd w:val="clear" w:color="auto" w:fill="F2F2F2"/>
          </w:tcPr>
          <w:p>
            <w:pPr>
              <w:spacing w:after="0"/>
              <w:rPr>
                <w:sz w:val="11"/>
                <w:szCs w:val="11"/>
                <w:color w:val="auto"/>
              </w:rPr>
            </w:pPr>
          </w:p>
        </w:tc>
        <w:tc>
          <w:tcPr>
            <w:tcW w:w="4220" w:type="dxa"/>
            <w:vAlign w:val="bottom"/>
            <w:vMerge w:val="restart"/>
          </w:tcPr>
          <w:p>
            <w:pPr>
              <w:ind w:left="420"/>
              <w:spacing w:after="0"/>
              <w:rPr>
                <w:sz w:val="20"/>
                <w:szCs w:val="20"/>
                <w:color w:val="auto"/>
              </w:rPr>
            </w:pPr>
            <w:r>
              <w:rPr>
                <w:rFonts w:ascii="Arial" w:cs="Arial" w:eastAsia="Arial" w:hAnsi="Arial"/>
                <w:sz w:val="16"/>
                <w:szCs w:val="16"/>
                <w:color w:val="auto"/>
              </w:rPr>
              <w:t>Share ownership guidelines for our CEO, certain</w:t>
            </w:r>
          </w:p>
        </w:tc>
        <w:tc>
          <w:tcPr>
            <w:tcW w:w="0" w:type="dxa"/>
            <w:vAlign w:val="bottom"/>
          </w:tcPr>
          <w:p>
            <w:pPr>
              <w:spacing w:after="0"/>
              <w:rPr>
                <w:sz w:val="1"/>
                <w:szCs w:val="1"/>
                <w:color w:val="auto"/>
              </w:rPr>
            </w:pPr>
          </w:p>
        </w:tc>
      </w:tr>
      <w:tr>
        <w:trPr>
          <w:trHeight w:val="82"/>
        </w:trPr>
        <w:tc>
          <w:tcPr>
            <w:tcW w:w="260" w:type="dxa"/>
            <w:vAlign w:val="bottom"/>
            <w:shd w:val="clear" w:color="auto" w:fill="F2F2F2"/>
          </w:tcPr>
          <w:p>
            <w:pPr>
              <w:spacing w:after="0"/>
              <w:rPr>
                <w:sz w:val="7"/>
                <w:szCs w:val="7"/>
                <w:color w:val="auto"/>
              </w:rPr>
            </w:pPr>
          </w:p>
        </w:tc>
        <w:tc>
          <w:tcPr>
            <w:tcW w:w="394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Independent directors meet without management</w:t>
            </w:r>
          </w:p>
        </w:tc>
        <w:tc>
          <w:tcPr>
            <w:tcW w:w="240" w:type="dxa"/>
            <w:vAlign w:val="bottom"/>
            <w:tcBorders>
              <w:right w:val="single" w:sz="8" w:color="FEFEFE"/>
            </w:tcBorders>
            <w:shd w:val="clear" w:color="auto" w:fill="F2F2F2"/>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60" w:type="dxa"/>
            <w:vAlign w:val="bottom"/>
            <w:shd w:val="clear" w:color="auto" w:fill="F2F2F2"/>
          </w:tcPr>
          <w:p>
            <w:pPr>
              <w:spacing w:after="0"/>
              <w:rPr>
                <w:sz w:val="11"/>
                <w:szCs w:val="11"/>
                <w:color w:val="auto"/>
              </w:rPr>
            </w:pPr>
          </w:p>
        </w:tc>
        <w:tc>
          <w:tcPr>
            <w:tcW w:w="3940" w:type="dxa"/>
            <w:vAlign w:val="bottom"/>
            <w:vMerge w:val="continue"/>
            <w:shd w:val="clear" w:color="auto" w:fill="F2F2F2"/>
          </w:tcPr>
          <w:p>
            <w:pPr>
              <w:spacing w:after="0"/>
              <w:rPr>
                <w:sz w:val="11"/>
                <w:szCs w:val="11"/>
                <w:color w:val="auto"/>
              </w:rPr>
            </w:pPr>
          </w:p>
        </w:tc>
        <w:tc>
          <w:tcPr>
            <w:tcW w:w="240" w:type="dxa"/>
            <w:vAlign w:val="bottom"/>
            <w:tcBorders>
              <w:right w:val="single" w:sz="8" w:color="FEFEFE"/>
            </w:tcBorders>
            <w:shd w:val="clear" w:color="auto" w:fill="F2F2F2"/>
          </w:tcPr>
          <w:p>
            <w:pPr>
              <w:spacing w:after="0"/>
              <w:rPr>
                <w:sz w:val="11"/>
                <w:szCs w:val="11"/>
                <w:color w:val="auto"/>
              </w:rPr>
            </w:pPr>
          </w:p>
        </w:tc>
        <w:tc>
          <w:tcPr>
            <w:tcW w:w="4220" w:type="dxa"/>
            <w:vAlign w:val="bottom"/>
            <w:vMerge w:val="restart"/>
          </w:tcPr>
          <w:p>
            <w:pPr>
              <w:ind w:left="420"/>
              <w:spacing w:after="0"/>
              <w:rPr>
                <w:sz w:val="20"/>
                <w:szCs w:val="20"/>
                <w:color w:val="auto"/>
              </w:rPr>
            </w:pPr>
            <w:r>
              <w:rPr>
                <w:rFonts w:ascii="Arial" w:cs="Arial" w:eastAsia="Arial" w:hAnsi="Arial"/>
                <w:sz w:val="16"/>
                <w:szCs w:val="16"/>
                <w:color w:val="auto"/>
              </w:rPr>
              <w:t>officers and our non-employee directors</w:t>
            </w:r>
          </w:p>
        </w:tc>
        <w:tc>
          <w:tcPr>
            <w:tcW w:w="0" w:type="dxa"/>
            <w:vAlign w:val="bottom"/>
          </w:tcPr>
          <w:p>
            <w:pPr>
              <w:spacing w:after="0"/>
              <w:rPr>
                <w:sz w:val="1"/>
                <w:szCs w:val="1"/>
                <w:color w:val="auto"/>
              </w:rPr>
            </w:pPr>
          </w:p>
        </w:tc>
      </w:tr>
      <w:tr>
        <w:trPr>
          <w:trHeight w:val="81"/>
        </w:trPr>
        <w:tc>
          <w:tcPr>
            <w:tcW w:w="260" w:type="dxa"/>
            <w:vAlign w:val="bottom"/>
            <w:shd w:val="clear" w:color="auto" w:fill="F2F2F2"/>
          </w:tcPr>
          <w:p>
            <w:pPr>
              <w:spacing w:after="0"/>
              <w:rPr>
                <w:sz w:val="7"/>
                <w:szCs w:val="7"/>
                <w:color w:val="auto"/>
              </w:rPr>
            </w:pPr>
          </w:p>
        </w:tc>
        <w:tc>
          <w:tcPr>
            <w:tcW w:w="394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Board with wide range of experience and skills</w:t>
            </w:r>
          </w:p>
        </w:tc>
        <w:tc>
          <w:tcPr>
            <w:tcW w:w="240" w:type="dxa"/>
            <w:vAlign w:val="bottom"/>
            <w:tcBorders>
              <w:right w:val="single" w:sz="8" w:color="FEFEFE"/>
            </w:tcBorders>
            <w:shd w:val="clear" w:color="auto" w:fill="F2F2F2"/>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60" w:type="dxa"/>
            <w:vAlign w:val="bottom"/>
            <w:shd w:val="clear" w:color="auto" w:fill="F2F2F2"/>
          </w:tcPr>
          <w:p>
            <w:pPr>
              <w:spacing w:after="0"/>
              <w:rPr>
                <w:sz w:val="17"/>
                <w:szCs w:val="17"/>
                <w:color w:val="auto"/>
              </w:rPr>
            </w:pPr>
          </w:p>
        </w:tc>
        <w:tc>
          <w:tcPr>
            <w:tcW w:w="3940" w:type="dxa"/>
            <w:vAlign w:val="bottom"/>
            <w:vMerge w:val="continue"/>
            <w:shd w:val="clear" w:color="auto" w:fill="F2F2F2"/>
          </w:tcPr>
          <w:p>
            <w:pPr>
              <w:spacing w:after="0"/>
              <w:rPr>
                <w:sz w:val="17"/>
                <w:szCs w:val="17"/>
                <w:color w:val="auto"/>
              </w:rPr>
            </w:pPr>
          </w:p>
        </w:tc>
        <w:tc>
          <w:tcPr>
            <w:tcW w:w="240" w:type="dxa"/>
            <w:vAlign w:val="bottom"/>
            <w:tcBorders>
              <w:right w:val="single" w:sz="8" w:color="FEFEFE"/>
            </w:tcBorders>
            <w:shd w:val="clear" w:color="auto" w:fill="F2F2F2"/>
          </w:tcPr>
          <w:p>
            <w:pPr>
              <w:spacing w:after="0"/>
              <w:rPr>
                <w:sz w:val="17"/>
                <w:szCs w:val="17"/>
                <w:color w:val="auto"/>
              </w:rPr>
            </w:pPr>
          </w:p>
        </w:tc>
        <w:tc>
          <w:tcPr>
            <w:tcW w:w="4220" w:type="dxa"/>
            <w:vAlign w:val="bottom"/>
          </w:tcPr>
          <w:p>
            <w:pPr>
              <w:ind w:left="420"/>
              <w:spacing w:after="0"/>
              <w:rPr>
                <w:sz w:val="20"/>
                <w:szCs w:val="20"/>
                <w:color w:val="auto"/>
              </w:rPr>
            </w:pPr>
            <w:r>
              <w:rPr>
                <w:rFonts w:ascii="Arial" w:cs="Arial" w:eastAsia="Arial" w:hAnsi="Arial"/>
                <w:sz w:val="16"/>
                <w:szCs w:val="16"/>
                <w:color w:val="auto"/>
              </w:rPr>
              <w:t>Clawback policy for recovering incentive-based</w:t>
            </w:r>
          </w:p>
        </w:tc>
        <w:tc>
          <w:tcPr>
            <w:tcW w:w="0" w:type="dxa"/>
            <w:vAlign w:val="bottom"/>
          </w:tcPr>
          <w:p>
            <w:pPr>
              <w:spacing w:after="0"/>
              <w:rPr>
                <w:sz w:val="1"/>
                <w:szCs w:val="1"/>
                <w:color w:val="auto"/>
              </w:rPr>
            </w:pPr>
          </w:p>
        </w:tc>
      </w:tr>
      <w:tr>
        <w:trPr>
          <w:trHeight w:val="242"/>
        </w:trPr>
        <w:tc>
          <w:tcPr>
            <w:tcW w:w="260" w:type="dxa"/>
            <w:vAlign w:val="bottom"/>
            <w:shd w:val="clear" w:color="auto" w:fill="F2F2F2"/>
          </w:tcPr>
          <w:p>
            <w:pPr>
              <w:spacing w:after="0"/>
              <w:rPr>
                <w:sz w:val="21"/>
                <w:szCs w:val="21"/>
                <w:color w:val="auto"/>
              </w:rPr>
            </w:pPr>
          </w:p>
        </w:tc>
        <w:tc>
          <w:tcPr>
            <w:tcW w:w="3940" w:type="dxa"/>
            <w:vAlign w:val="bottom"/>
            <w:shd w:val="clear" w:color="auto" w:fill="F2F2F2"/>
          </w:tcPr>
          <w:p>
            <w:pPr>
              <w:ind w:left="160"/>
              <w:spacing w:after="0"/>
              <w:rPr>
                <w:sz w:val="20"/>
                <w:szCs w:val="20"/>
                <w:color w:val="auto"/>
              </w:rPr>
            </w:pPr>
            <w:r>
              <w:rPr>
                <w:rFonts w:ascii="Arial" w:cs="Arial" w:eastAsia="Arial" w:hAnsi="Arial"/>
                <w:sz w:val="16"/>
                <w:szCs w:val="16"/>
                <w:color w:val="auto"/>
              </w:rPr>
              <w:t>Annual equity grant to non-employee directors</w:t>
            </w:r>
          </w:p>
        </w:tc>
        <w:tc>
          <w:tcPr>
            <w:tcW w:w="240" w:type="dxa"/>
            <w:vAlign w:val="bottom"/>
            <w:tcBorders>
              <w:right w:val="single" w:sz="8" w:color="FEFEFE"/>
            </w:tcBorders>
            <w:shd w:val="clear" w:color="auto" w:fill="F2F2F2"/>
          </w:tcPr>
          <w:p>
            <w:pPr>
              <w:spacing w:after="0"/>
              <w:rPr>
                <w:sz w:val="21"/>
                <w:szCs w:val="21"/>
                <w:color w:val="auto"/>
              </w:rPr>
            </w:pPr>
          </w:p>
        </w:tc>
        <w:tc>
          <w:tcPr>
            <w:tcW w:w="4220" w:type="dxa"/>
            <w:vAlign w:val="bottom"/>
          </w:tcPr>
          <w:p>
            <w:pPr>
              <w:ind w:left="420"/>
              <w:spacing w:after="0"/>
              <w:rPr>
                <w:sz w:val="20"/>
                <w:szCs w:val="20"/>
                <w:color w:val="auto"/>
              </w:rPr>
            </w:pPr>
            <w:r>
              <w:rPr>
                <w:rFonts w:ascii="Arial" w:cs="Arial" w:eastAsia="Arial" w:hAnsi="Arial"/>
                <w:sz w:val="16"/>
                <w:szCs w:val="16"/>
                <w:color w:val="auto"/>
              </w:rPr>
              <w:t>compensation following an accounting restatement</w:t>
            </w:r>
          </w:p>
        </w:tc>
        <w:tc>
          <w:tcPr>
            <w:tcW w:w="0" w:type="dxa"/>
            <w:vAlign w:val="bottom"/>
          </w:tcPr>
          <w:p>
            <w:pPr>
              <w:spacing w:after="0"/>
              <w:rPr>
                <w:sz w:val="1"/>
                <w:szCs w:val="1"/>
                <w:color w:val="auto"/>
              </w:rPr>
            </w:pPr>
          </w:p>
        </w:tc>
      </w:tr>
      <w:tr>
        <w:trPr>
          <w:trHeight w:val="205"/>
        </w:trPr>
        <w:tc>
          <w:tcPr>
            <w:tcW w:w="260" w:type="dxa"/>
            <w:vAlign w:val="bottom"/>
            <w:shd w:val="clear" w:color="auto" w:fill="F2F2F2"/>
          </w:tcPr>
          <w:p>
            <w:pPr>
              <w:spacing w:after="0"/>
              <w:rPr>
                <w:sz w:val="17"/>
                <w:szCs w:val="17"/>
                <w:color w:val="auto"/>
              </w:rPr>
            </w:pPr>
          </w:p>
        </w:tc>
        <w:tc>
          <w:tcPr>
            <w:tcW w:w="3940" w:type="dxa"/>
            <w:vAlign w:val="bottom"/>
            <w:shd w:val="clear" w:color="auto" w:fill="F2F2F2"/>
          </w:tcPr>
          <w:p>
            <w:pPr>
              <w:ind w:left="160"/>
              <w:spacing w:after="0"/>
              <w:rPr>
                <w:sz w:val="20"/>
                <w:szCs w:val="20"/>
                <w:color w:val="auto"/>
              </w:rPr>
            </w:pPr>
            <w:r>
              <w:rPr>
                <w:rFonts w:ascii="Arial" w:cs="Arial" w:eastAsia="Arial" w:hAnsi="Arial"/>
                <w:sz w:val="16"/>
                <w:szCs w:val="16"/>
                <w:color w:val="auto"/>
              </w:rPr>
              <w:t>Annual Board and committee self-assessments</w:t>
            </w:r>
          </w:p>
        </w:tc>
        <w:tc>
          <w:tcPr>
            <w:tcW w:w="240" w:type="dxa"/>
            <w:vAlign w:val="bottom"/>
            <w:tcBorders>
              <w:right w:val="single" w:sz="8" w:color="FEFEFE"/>
            </w:tcBorders>
            <w:shd w:val="clear" w:color="auto" w:fill="F2F2F2"/>
          </w:tcPr>
          <w:p>
            <w:pPr>
              <w:spacing w:after="0"/>
              <w:rPr>
                <w:sz w:val="17"/>
                <w:szCs w:val="17"/>
                <w:color w:val="auto"/>
              </w:rPr>
            </w:pPr>
          </w:p>
        </w:tc>
        <w:tc>
          <w:tcPr>
            <w:tcW w:w="4220" w:type="dxa"/>
            <w:vAlign w:val="bottom"/>
          </w:tcPr>
          <w:p>
            <w:pPr>
              <w:ind w:left="420"/>
              <w:spacing w:after="0"/>
              <w:rPr>
                <w:sz w:val="20"/>
                <w:szCs w:val="20"/>
                <w:color w:val="auto"/>
              </w:rPr>
            </w:pPr>
            <w:r>
              <w:rPr>
                <w:rFonts w:ascii="Arial" w:cs="Arial" w:eastAsia="Arial" w:hAnsi="Arial"/>
                <w:sz w:val="16"/>
                <w:szCs w:val="16"/>
                <w:color w:val="auto"/>
              </w:rPr>
              <w:t>Insider trading policy that prohibits hedging,</w:t>
            </w:r>
          </w:p>
        </w:tc>
        <w:tc>
          <w:tcPr>
            <w:tcW w:w="0" w:type="dxa"/>
            <w:vAlign w:val="bottom"/>
          </w:tcPr>
          <w:p>
            <w:pPr>
              <w:spacing w:after="0"/>
              <w:rPr>
                <w:sz w:val="1"/>
                <w:szCs w:val="1"/>
                <w:color w:val="auto"/>
              </w:rPr>
            </w:pPr>
          </w:p>
        </w:tc>
      </w:tr>
      <w:tr>
        <w:trPr>
          <w:trHeight w:val="175"/>
        </w:trPr>
        <w:tc>
          <w:tcPr>
            <w:tcW w:w="260" w:type="dxa"/>
            <w:vAlign w:val="bottom"/>
            <w:shd w:val="clear" w:color="auto" w:fill="F2F2F2"/>
          </w:tcPr>
          <w:p>
            <w:pPr>
              <w:spacing w:after="0"/>
              <w:rPr>
                <w:sz w:val="15"/>
                <w:szCs w:val="15"/>
                <w:color w:val="auto"/>
              </w:rPr>
            </w:pPr>
          </w:p>
        </w:tc>
        <w:tc>
          <w:tcPr>
            <w:tcW w:w="3940" w:type="dxa"/>
            <w:vAlign w:val="bottom"/>
            <w:shd w:val="clear" w:color="auto" w:fill="F2F2F2"/>
          </w:tcPr>
          <w:p>
            <w:pPr>
              <w:spacing w:after="0"/>
              <w:rPr>
                <w:sz w:val="15"/>
                <w:szCs w:val="15"/>
                <w:color w:val="auto"/>
              </w:rPr>
            </w:pPr>
          </w:p>
        </w:tc>
        <w:tc>
          <w:tcPr>
            <w:tcW w:w="240" w:type="dxa"/>
            <w:vAlign w:val="bottom"/>
            <w:tcBorders>
              <w:right w:val="single" w:sz="8" w:color="FEFEFE"/>
            </w:tcBorders>
            <w:shd w:val="clear" w:color="auto" w:fill="F2F2F2"/>
          </w:tcPr>
          <w:p>
            <w:pPr>
              <w:spacing w:after="0"/>
              <w:rPr>
                <w:sz w:val="15"/>
                <w:szCs w:val="15"/>
                <w:color w:val="auto"/>
              </w:rPr>
            </w:pPr>
          </w:p>
        </w:tc>
        <w:tc>
          <w:tcPr>
            <w:tcW w:w="4220" w:type="dxa"/>
            <w:vAlign w:val="bottom"/>
          </w:tcPr>
          <w:p>
            <w:pPr>
              <w:ind w:left="420"/>
              <w:spacing w:after="0" w:line="175" w:lineRule="exact"/>
              <w:rPr>
                <w:sz w:val="20"/>
                <w:szCs w:val="20"/>
                <w:color w:val="auto"/>
              </w:rPr>
            </w:pPr>
            <w:r>
              <w:rPr>
                <w:rFonts w:ascii="Arial" w:cs="Arial" w:eastAsia="Arial" w:hAnsi="Arial"/>
                <w:sz w:val="16"/>
                <w:szCs w:val="16"/>
                <w:color w:val="auto"/>
              </w:rPr>
              <w:t>pledging and other similar actions for our executive</w:t>
            </w:r>
          </w:p>
        </w:tc>
        <w:tc>
          <w:tcPr>
            <w:tcW w:w="0" w:type="dxa"/>
            <w:vAlign w:val="bottom"/>
          </w:tcPr>
          <w:p>
            <w:pPr>
              <w:spacing w:after="0"/>
              <w:rPr>
                <w:sz w:val="1"/>
                <w:szCs w:val="1"/>
                <w:color w:val="auto"/>
              </w:rPr>
            </w:pPr>
          </w:p>
        </w:tc>
      </w:tr>
      <w:tr>
        <w:trPr>
          <w:trHeight w:val="215"/>
        </w:trPr>
        <w:tc>
          <w:tcPr>
            <w:tcW w:w="260" w:type="dxa"/>
            <w:vAlign w:val="bottom"/>
            <w:shd w:val="clear" w:color="auto" w:fill="F2F2F2"/>
          </w:tcPr>
          <w:p>
            <w:pPr>
              <w:spacing w:after="0"/>
              <w:rPr>
                <w:sz w:val="18"/>
                <w:szCs w:val="18"/>
                <w:color w:val="auto"/>
              </w:rPr>
            </w:pPr>
          </w:p>
        </w:tc>
        <w:tc>
          <w:tcPr>
            <w:tcW w:w="3940" w:type="dxa"/>
            <w:vAlign w:val="bottom"/>
            <w:shd w:val="clear" w:color="auto" w:fill="F2F2F2"/>
          </w:tcPr>
          <w:p>
            <w:pPr>
              <w:spacing w:after="0"/>
              <w:rPr>
                <w:sz w:val="18"/>
                <w:szCs w:val="18"/>
                <w:color w:val="auto"/>
              </w:rPr>
            </w:pPr>
          </w:p>
        </w:tc>
        <w:tc>
          <w:tcPr>
            <w:tcW w:w="240" w:type="dxa"/>
            <w:vAlign w:val="bottom"/>
            <w:tcBorders>
              <w:right w:val="single" w:sz="8" w:color="FEFEFE"/>
            </w:tcBorders>
            <w:shd w:val="clear" w:color="auto" w:fill="F2F2F2"/>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6"/>
                <w:szCs w:val="16"/>
                <w:color w:val="auto"/>
              </w:rPr>
              <w:t>officers and directors</w:t>
            </w:r>
          </w:p>
        </w:tc>
        <w:tc>
          <w:tcPr>
            <w:tcW w:w="0" w:type="dxa"/>
            <w:vAlign w:val="bottom"/>
          </w:tcPr>
          <w:p>
            <w:pPr>
              <w:spacing w:after="0"/>
              <w:rPr>
                <w:sz w:val="1"/>
                <w:szCs w:val="1"/>
                <w:color w:val="auto"/>
              </w:rPr>
            </w:pPr>
          </w:p>
        </w:tc>
      </w:tr>
      <w:tr>
        <w:trPr>
          <w:trHeight w:val="258"/>
        </w:trPr>
        <w:tc>
          <w:tcPr>
            <w:tcW w:w="260" w:type="dxa"/>
            <w:vAlign w:val="bottom"/>
            <w:shd w:val="clear" w:color="auto" w:fill="F2F2F2"/>
          </w:tcPr>
          <w:p>
            <w:pPr>
              <w:spacing w:after="0"/>
              <w:rPr>
                <w:sz w:val="22"/>
                <w:szCs w:val="22"/>
                <w:color w:val="auto"/>
              </w:rPr>
            </w:pPr>
          </w:p>
        </w:tc>
        <w:tc>
          <w:tcPr>
            <w:tcW w:w="3940" w:type="dxa"/>
            <w:vAlign w:val="bottom"/>
            <w:shd w:val="clear" w:color="auto" w:fill="F2F2F2"/>
          </w:tcPr>
          <w:p>
            <w:pPr>
              <w:spacing w:after="0"/>
              <w:rPr>
                <w:sz w:val="22"/>
                <w:szCs w:val="22"/>
                <w:color w:val="auto"/>
              </w:rPr>
            </w:pPr>
          </w:p>
        </w:tc>
        <w:tc>
          <w:tcPr>
            <w:tcW w:w="240" w:type="dxa"/>
            <w:vAlign w:val="bottom"/>
            <w:tcBorders>
              <w:right w:val="single" w:sz="8" w:color="FEFEFE"/>
            </w:tcBorders>
            <w:shd w:val="clear" w:color="auto" w:fill="F2F2F2"/>
          </w:tcPr>
          <w:p>
            <w:pPr>
              <w:spacing w:after="0"/>
              <w:rPr>
                <w:sz w:val="22"/>
                <w:szCs w:val="22"/>
                <w:color w:val="auto"/>
              </w:rPr>
            </w:pPr>
          </w:p>
        </w:tc>
        <w:tc>
          <w:tcPr>
            <w:tcW w:w="42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-1782445</wp:posOffset>
            </wp:positionV>
            <wp:extent cx="111760" cy="1028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-1610995</wp:posOffset>
            </wp:positionV>
            <wp:extent cx="111760" cy="1028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-1448435</wp:posOffset>
            </wp:positionV>
            <wp:extent cx="111760"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-1294130</wp:posOffset>
            </wp:positionV>
            <wp:extent cx="111760" cy="1028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-1130935</wp:posOffset>
            </wp:positionV>
            <wp:extent cx="111760" cy="1028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-976630</wp:posOffset>
            </wp:positionV>
            <wp:extent cx="11176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-822325</wp:posOffset>
            </wp:positionV>
            <wp:extent cx="111760" cy="1028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-659765</wp:posOffset>
            </wp:positionV>
            <wp:extent cx="11176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-505460</wp:posOffset>
            </wp:positionV>
            <wp:extent cx="111760" cy="1028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-1807845</wp:posOffset>
            </wp:positionV>
            <wp:extent cx="2802890" cy="1800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02890" cy="1800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right"/>
        <w:ind w:right="99"/>
        <w:spacing w:after="0"/>
        <w:rPr>
          <w:sz w:val="20"/>
          <w:szCs w:val="20"/>
          <w:color w:val="auto"/>
        </w:rPr>
      </w:pPr>
      <w:r>
        <w:rPr>
          <w:rFonts w:ascii="Arial" w:cs="Arial" w:eastAsia="Arial" w:hAnsi="Arial"/>
          <w:sz w:val="16"/>
          <w:szCs w:val="16"/>
          <w:b w:val="1"/>
          <w:bCs w:val="1"/>
          <w:color w:val="FEFEFE"/>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862" w:lineRule="exact"/>
        <w:rPr>
          <w:sz w:val="20"/>
          <w:szCs w:val="20"/>
          <w:color w:val="auto"/>
        </w:rPr>
      </w:pPr>
    </w:p>
    <w:p>
      <w:pPr>
        <w:sectPr>
          <w:pgSz w:w="11900" w:h="16838" w:orient="portrait"/>
          <w:cols w:equalWidth="0" w:num="2">
            <w:col w:w="9580" w:space="100"/>
            <w:col w:w="199"/>
          </w:cols>
          <w:pgMar w:left="580" w:top="97" w:right="1440" w:bottom="1440" w:gutter="0" w:footer="0" w:header="0"/>
          <w:type w:val="continuous"/>
        </w:sectPr>
      </w:pPr>
    </w:p>
    <w:p>
      <w:pPr>
        <w:spacing w:after="0" w:line="73"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Oversight of Risk Management</w:t>
      </w:r>
    </w:p>
    <w:p>
      <w:pPr>
        <w:spacing w:after="0" w:line="158" w:lineRule="exact"/>
        <w:rPr>
          <w:sz w:val="20"/>
          <w:szCs w:val="20"/>
          <w:color w:val="auto"/>
        </w:rPr>
      </w:pPr>
    </w:p>
    <w:p>
      <w:pPr>
        <w:ind w:left="920" w:right="239"/>
        <w:spacing w:after="0" w:line="246" w:lineRule="auto"/>
        <w:rPr>
          <w:sz w:val="20"/>
          <w:szCs w:val="20"/>
          <w:color w:val="auto"/>
        </w:rPr>
      </w:pPr>
      <w:r>
        <w:rPr>
          <w:rFonts w:ascii="Arial" w:cs="Arial" w:eastAsia="Arial" w:hAnsi="Arial"/>
          <w:sz w:val="18"/>
          <w:szCs w:val="18"/>
          <w:color w:val="auto"/>
        </w:rPr>
        <w:t>At Ribbon, we believe that innovation and leadership are impossible without taking risks. We also recognize that imprudent acceptance of risk or the failure to appropriately identify and mitigate risks could be destructive to stockholder value. The Board is responsible for assessing the Company’s approach to risk management and overseeing management’s execution of its responsibilities for identifying and managing risk. The Board exercises its responsibilities through discussions in Board meetings and also through its committees, each of which examines various components of enterprise risk as part of its responsibilities.</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322"/>
        </w:trPr>
        <w:tc>
          <w:tcPr>
            <w:tcW w:w="5440" w:type="dxa"/>
            <w:vAlign w:val="bottom"/>
            <w:shd w:val="clear" w:color="auto" w:fill="62259D"/>
          </w:tcPr>
          <w:p>
            <w:pPr>
              <w:spacing w:after="0"/>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4"/>
                <w:szCs w:val="14"/>
                <w:b w:val="1"/>
                <w:bCs w:val="1"/>
                <w:color w:val="FEFEFE"/>
              </w:rPr>
              <w:t xml:space="preserve"> THE FULL BOARD</w:t>
            </w:r>
          </w:p>
        </w:tc>
        <w:tc>
          <w:tcPr>
            <w:tcW w:w="2980" w:type="dxa"/>
            <w:vAlign w:val="bottom"/>
            <w:shd w:val="clear" w:color="auto" w:fill="62259D"/>
          </w:tcPr>
          <w:p>
            <w:pPr>
              <w:ind w:left="2880"/>
              <w:spacing w:after="0"/>
              <w:rPr>
                <w:sz w:val="20"/>
                <w:szCs w:val="20"/>
                <w:color w:val="auto"/>
              </w:rPr>
            </w:pPr>
            <w:r>
              <w:rPr>
                <w:rFonts w:ascii="Arial" w:cs="Arial" w:eastAsia="Arial" w:hAnsi="Arial"/>
                <w:sz w:val="14"/>
                <w:szCs w:val="14"/>
                <w:b w:val="1"/>
                <w:bCs w:val="1"/>
                <w:color w:val="FEFEFE"/>
              </w:rPr>
              <w:t>​</w:t>
            </w:r>
          </w:p>
        </w:tc>
      </w:tr>
      <w:tr>
        <w:trPr>
          <w:trHeight w:val="210"/>
        </w:trPr>
        <w:tc>
          <w:tcPr>
            <w:tcW w:w="5440" w:type="dxa"/>
            <w:vAlign w:val="bottom"/>
          </w:tcPr>
          <w:p>
            <w:pPr>
              <w:spacing w:after="0"/>
              <w:rPr>
                <w:sz w:val="20"/>
                <w:szCs w:val="20"/>
                <w:color w:val="auto"/>
              </w:rPr>
            </w:pPr>
            <w:r>
              <w:rPr>
                <w:rFonts w:ascii="Arial" w:cs="Arial" w:eastAsia="Arial" w:hAnsi="Arial"/>
                <w:sz w:val="15"/>
                <w:szCs w:val="15"/>
                <w:color w:val="auto"/>
              </w:rPr>
              <w:t>​ generally, oversees and evaluates:</w:t>
            </w:r>
          </w:p>
        </w:tc>
        <w:tc>
          <w:tcPr>
            <w:tcW w:w="2980" w:type="dxa"/>
            <w:vAlign w:val="bottom"/>
          </w:tcPr>
          <w:p>
            <w:pPr>
              <w:ind w:left="288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-132715</wp:posOffset>
            </wp:positionV>
            <wp:extent cx="5349240"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349240" cy="308610"/>
                    </a:xfrm>
                    <a:prstGeom prst="rect">
                      <a:avLst/>
                    </a:prstGeom>
                    <a:noFill/>
                  </pic:spPr>
                </pic:pic>
              </a:graphicData>
            </a:graphic>
          </wp:anchor>
        </w:drawing>
      </w:r>
    </w:p>
    <w:p>
      <w:pPr>
        <w:spacing w:after="0" w:line="23" w:lineRule="exact"/>
        <w:rPr>
          <w:sz w:val="20"/>
          <w:szCs w:val="20"/>
          <w:color w:val="auto"/>
        </w:rPr>
      </w:pPr>
    </w:p>
    <w:p>
      <w:pPr>
        <w:ind w:left="1400" w:hanging="152"/>
        <w:spacing w:after="0"/>
        <w:tabs>
          <w:tab w:leader="none" w:pos="1400" w:val="left"/>
        </w:tabs>
        <w:numPr>
          <w:ilvl w:val="0"/>
          <w:numId w:val="72"/>
        </w:numPr>
        <w:rPr>
          <w:rFonts w:ascii="Arial" w:cs="Arial" w:eastAsia="Arial" w:hAnsi="Arial"/>
          <w:sz w:val="15"/>
          <w:szCs w:val="15"/>
          <w:color w:val="62259D"/>
        </w:rPr>
      </w:pPr>
      <w:r>
        <w:rPr>
          <w:rFonts w:ascii="Arial" w:cs="Arial" w:eastAsia="Arial" w:hAnsi="Arial"/>
          <w:sz w:val="15"/>
          <w:szCs w:val="15"/>
          <w:color w:val="auto"/>
        </w:rPr>
        <w:t>strategic risks and the risks related to management delegation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55880</wp:posOffset>
            </wp:positionV>
            <wp:extent cx="559752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97525" cy="154305"/>
                    </a:xfrm>
                    <a:prstGeom prst="rect">
                      <a:avLst/>
                    </a:prstGeom>
                    <a:noFill/>
                  </pic:spPr>
                </pic:pic>
              </a:graphicData>
            </a:graphic>
          </wp:anchor>
        </w:drawing>
      </w:r>
    </w:p>
    <w:p>
      <w:pPr>
        <w:spacing w:after="0" w:line="365"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80" w:type="dxa"/>
            <w:vAlign w:val="bottom"/>
            <w:shd w:val="clear" w:color="auto" w:fill="E7417A"/>
          </w:tcPr>
          <w:p>
            <w:pPr>
              <w:spacing w:after="0"/>
              <w:rPr>
                <w:sz w:val="17"/>
                <w:szCs w:val="17"/>
                <w:color w:val="auto"/>
              </w:rPr>
            </w:pPr>
          </w:p>
        </w:tc>
        <w:tc>
          <w:tcPr>
            <w:tcW w:w="1680" w:type="dxa"/>
            <w:vAlign w:val="bottom"/>
            <w:vMerge w:val="restart"/>
            <w:shd w:val="clear" w:color="auto" w:fill="E7417A"/>
          </w:tcPr>
          <w:p>
            <w:pPr>
              <w:ind w:left="360"/>
              <w:spacing w:after="0"/>
              <w:rPr>
                <w:sz w:val="20"/>
                <w:szCs w:val="20"/>
                <w:color w:val="auto"/>
              </w:rPr>
            </w:pPr>
            <w:r>
              <w:rPr>
                <w:rFonts w:ascii="Arial" w:cs="Arial" w:eastAsia="Arial" w:hAnsi="Arial"/>
                <w:sz w:val="14"/>
                <w:szCs w:val="14"/>
                <w:b w:val="1"/>
                <w:bCs w:val="1"/>
                <w:color w:val="FEFEFE"/>
              </w:rPr>
              <w:t>THE AUDIT</w:t>
            </w:r>
          </w:p>
        </w:tc>
        <w:tc>
          <w:tcPr>
            <w:tcW w:w="220" w:type="dxa"/>
            <w:vAlign w:val="bottom"/>
          </w:tcPr>
          <w:p>
            <w:pPr>
              <w:spacing w:after="0"/>
              <w:rPr>
                <w:sz w:val="17"/>
                <w:szCs w:val="17"/>
                <w:color w:val="auto"/>
              </w:rPr>
            </w:pPr>
          </w:p>
        </w:tc>
        <w:tc>
          <w:tcPr>
            <w:tcW w:w="1820" w:type="dxa"/>
            <w:vAlign w:val="bottom"/>
            <w:vMerge w:val="restart"/>
            <w:shd w:val="clear" w:color="auto" w:fill="E7417A"/>
          </w:tcPr>
          <w:p>
            <w:pPr>
              <w:ind w:left="80"/>
              <w:spacing w:after="0"/>
              <w:rPr>
                <w:sz w:val="20"/>
                <w:szCs w:val="20"/>
                <w:color w:val="auto"/>
              </w:rPr>
            </w:pPr>
            <w:r>
              <w:rPr>
                <w:rFonts w:ascii="Arial" w:cs="Arial" w:eastAsia="Arial" w:hAnsi="Arial"/>
                <w:sz w:val="14"/>
                <w:szCs w:val="14"/>
                <w:b w:val="1"/>
                <w:bCs w:val="1"/>
                <w:color w:val="FEFEFE"/>
              </w:rPr>
              <w:t>THE COMPENSATION</w:t>
            </w:r>
          </w:p>
        </w:tc>
        <w:tc>
          <w:tcPr>
            <w:tcW w:w="220" w:type="dxa"/>
            <w:vAlign w:val="bottom"/>
          </w:tcPr>
          <w:p>
            <w:pPr>
              <w:spacing w:after="0"/>
              <w:rPr>
                <w:sz w:val="17"/>
                <w:szCs w:val="17"/>
                <w:color w:val="auto"/>
              </w:rPr>
            </w:pPr>
          </w:p>
        </w:tc>
        <w:tc>
          <w:tcPr>
            <w:tcW w:w="2360" w:type="dxa"/>
            <w:vAlign w:val="bottom"/>
            <w:shd w:val="clear" w:color="auto" w:fill="E7417A"/>
          </w:tcPr>
          <w:p>
            <w:pPr>
              <w:jc w:val="center"/>
              <w:spacing w:after="0"/>
              <w:rPr>
                <w:sz w:val="20"/>
                <w:szCs w:val="20"/>
                <w:color w:val="auto"/>
              </w:rPr>
            </w:pPr>
            <w:r>
              <w:rPr>
                <w:rFonts w:ascii="Arial" w:cs="Arial" w:eastAsia="Arial" w:hAnsi="Arial"/>
                <w:sz w:val="14"/>
                <w:szCs w:val="14"/>
                <w:b w:val="1"/>
                <w:bCs w:val="1"/>
                <w:color w:val="FEFEFE"/>
              </w:rPr>
              <w:t>THE NOMINATING,</w:t>
            </w:r>
          </w:p>
        </w:tc>
        <w:tc>
          <w:tcPr>
            <w:tcW w:w="220" w:type="dxa"/>
            <w:vAlign w:val="bottom"/>
          </w:tcPr>
          <w:p>
            <w:pPr>
              <w:spacing w:after="0"/>
              <w:rPr>
                <w:sz w:val="17"/>
                <w:szCs w:val="17"/>
                <w:color w:val="auto"/>
              </w:rPr>
            </w:pPr>
          </w:p>
        </w:tc>
        <w:tc>
          <w:tcPr>
            <w:tcW w:w="1820" w:type="dxa"/>
            <w:vAlign w:val="bottom"/>
            <w:vMerge w:val="restart"/>
            <w:shd w:val="clear" w:color="auto" w:fill="E7417A"/>
          </w:tcPr>
          <w:p>
            <w:pPr>
              <w:jc w:val="center"/>
              <w:spacing w:after="0"/>
              <w:rPr>
                <w:sz w:val="20"/>
                <w:szCs w:val="20"/>
                <w:color w:val="auto"/>
              </w:rPr>
            </w:pPr>
            <w:r>
              <w:rPr>
                <w:rFonts w:ascii="Arial" w:cs="Arial" w:eastAsia="Arial" w:hAnsi="Arial"/>
                <w:sz w:val="14"/>
                <w:szCs w:val="14"/>
                <w:b w:val="1"/>
                <w:bCs w:val="1"/>
                <w:color w:val="FEFEFE"/>
              </w:rPr>
              <w:t>THE TECHNOLOGY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80" w:type="dxa"/>
            <w:vAlign w:val="bottom"/>
            <w:shd w:val="clear" w:color="auto" w:fill="E7417A"/>
          </w:tcPr>
          <w:p>
            <w:pPr>
              <w:spacing w:after="0"/>
              <w:rPr>
                <w:sz w:val="5"/>
                <w:szCs w:val="5"/>
                <w:color w:val="auto"/>
              </w:rPr>
            </w:pPr>
          </w:p>
        </w:tc>
        <w:tc>
          <w:tcPr>
            <w:tcW w:w="1680" w:type="dxa"/>
            <w:vAlign w:val="bottom"/>
            <w:vMerge w:val="continue"/>
            <w:shd w:val="clear" w:color="auto" w:fill="E7417A"/>
          </w:tcPr>
          <w:p>
            <w:pPr>
              <w:spacing w:after="0"/>
              <w:rPr>
                <w:sz w:val="5"/>
                <w:szCs w:val="5"/>
                <w:color w:val="auto"/>
              </w:rPr>
            </w:pPr>
          </w:p>
        </w:tc>
        <w:tc>
          <w:tcPr>
            <w:tcW w:w="220" w:type="dxa"/>
            <w:vAlign w:val="bottom"/>
          </w:tcPr>
          <w:p>
            <w:pPr>
              <w:spacing w:after="0"/>
              <w:rPr>
                <w:sz w:val="5"/>
                <w:szCs w:val="5"/>
                <w:color w:val="auto"/>
              </w:rPr>
            </w:pPr>
          </w:p>
        </w:tc>
        <w:tc>
          <w:tcPr>
            <w:tcW w:w="1820" w:type="dxa"/>
            <w:vAlign w:val="bottom"/>
            <w:vMerge w:val="continue"/>
            <w:shd w:val="clear" w:color="auto" w:fill="E7417A"/>
          </w:tcPr>
          <w:p>
            <w:pPr>
              <w:spacing w:after="0"/>
              <w:rPr>
                <w:sz w:val="5"/>
                <w:szCs w:val="5"/>
                <w:color w:val="auto"/>
              </w:rPr>
            </w:pPr>
          </w:p>
        </w:tc>
        <w:tc>
          <w:tcPr>
            <w:tcW w:w="220" w:type="dxa"/>
            <w:vAlign w:val="bottom"/>
          </w:tcPr>
          <w:p>
            <w:pPr>
              <w:spacing w:after="0"/>
              <w:rPr>
                <w:sz w:val="5"/>
                <w:szCs w:val="5"/>
                <w:color w:val="auto"/>
              </w:rPr>
            </w:pPr>
          </w:p>
        </w:tc>
        <w:tc>
          <w:tcPr>
            <w:tcW w:w="2360" w:type="dxa"/>
            <w:vAlign w:val="bottom"/>
            <w:vMerge w:val="restart"/>
            <w:shd w:val="clear" w:color="auto" w:fill="E7417A"/>
          </w:tcPr>
          <w:p>
            <w:pPr>
              <w:jc w:val="center"/>
              <w:spacing w:after="0"/>
              <w:rPr>
                <w:sz w:val="20"/>
                <w:szCs w:val="20"/>
                <w:color w:val="auto"/>
              </w:rPr>
            </w:pPr>
            <w:r>
              <w:rPr>
                <w:rFonts w:ascii="Arial" w:cs="Arial" w:eastAsia="Arial" w:hAnsi="Arial"/>
                <w:sz w:val="14"/>
                <w:szCs w:val="14"/>
                <w:b w:val="1"/>
                <w:bCs w:val="1"/>
                <w:color w:val="FEFEFE"/>
              </w:rPr>
              <w:t>SUSTAINABILITY AND</w:t>
            </w:r>
          </w:p>
        </w:tc>
        <w:tc>
          <w:tcPr>
            <w:tcW w:w="220" w:type="dxa"/>
            <w:vAlign w:val="bottom"/>
          </w:tcPr>
          <w:p>
            <w:pPr>
              <w:spacing w:after="0"/>
              <w:rPr>
                <w:sz w:val="5"/>
                <w:szCs w:val="5"/>
                <w:color w:val="auto"/>
              </w:rPr>
            </w:pPr>
          </w:p>
        </w:tc>
        <w:tc>
          <w:tcPr>
            <w:tcW w:w="1820" w:type="dxa"/>
            <w:vAlign w:val="bottom"/>
            <w:vMerge w:val="continue"/>
            <w:shd w:val="clear" w:color="auto" w:fill="E7417A"/>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80" w:type="dxa"/>
            <w:vAlign w:val="bottom"/>
            <w:shd w:val="clear" w:color="auto" w:fill="E7417A"/>
          </w:tcPr>
          <w:p>
            <w:pPr>
              <w:spacing w:after="0" w:line="145" w:lineRule="exact"/>
              <w:rPr>
                <w:sz w:val="20"/>
                <w:szCs w:val="20"/>
                <w:color w:val="auto"/>
              </w:rPr>
            </w:pPr>
            <w:r>
              <w:rPr>
                <w:rFonts w:ascii="Arial" w:cs="Arial" w:eastAsia="Arial" w:hAnsi="Arial"/>
                <w:sz w:val="14"/>
                <w:szCs w:val="14"/>
                <w:b w:val="1"/>
                <w:bCs w:val="1"/>
                <w:color w:val="FEFEFE"/>
              </w:rPr>
              <w:t>​</w:t>
            </w:r>
          </w:p>
        </w:tc>
        <w:tc>
          <w:tcPr>
            <w:tcW w:w="1680" w:type="dxa"/>
            <w:vAlign w:val="bottom"/>
            <w:vMerge w:val="continue"/>
            <w:shd w:val="clear" w:color="auto" w:fill="E7417A"/>
          </w:tcPr>
          <w:p>
            <w:pPr>
              <w:spacing w:after="0"/>
              <w:rPr>
                <w:sz w:val="12"/>
                <w:szCs w:val="12"/>
                <w:color w:val="auto"/>
              </w:rPr>
            </w:pPr>
          </w:p>
        </w:tc>
        <w:tc>
          <w:tcPr>
            <w:tcW w:w="220" w:type="dxa"/>
            <w:vAlign w:val="bottom"/>
          </w:tcPr>
          <w:p>
            <w:pPr>
              <w:ind w:left="60"/>
              <w:spacing w:after="0" w:line="145" w:lineRule="exact"/>
              <w:rPr>
                <w:sz w:val="20"/>
                <w:szCs w:val="20"/>
                <w:color w:val="auto"/>
              </w:rPr>
            </w:pPr>
            <w:r>
              <w:rPr>
                <w:rFonts w:ascii="Arial" w:cs="Arial" w:eastAsia="Arial" w:hAnsi="Arial"/>
                <w:sz w:val="14"/>
                <w:szCs w:val="14"/>
                <w:b w:val="1"/>
                <w:bCs w:val="1"/>
                <w:color w:val="FEFEFE"/>
              </w:rPr>
              <w:t>​ ​</w:t>
            </w:r>
          </w:p>
        </w:tc>
        <w:tc>
          <w:tcPr>
            <w:tcW w:w="1820" w:type="dxa"/>
            <w:vAlign w:val="bottom"/>
            <w:vMerge w:val="continue"/>
            <w:shd w:val="clear" w:color="auto" w:fill="E7417A"/>
          </w:tcPr>
          <w:p>
            <w:pPr>
              <w:spacing w:after="0"/>
              <w:rPr>
                <w:sz w:val="12"/>
                <w:szCs w:val="12"/>
                <w:color w:val="auto"/>
              </w:rPr>
            </w:pPr>
          </w:p>
        </w:tc>
        <w:tc>
          <w:tcPr>
            <w:tcW w:w="220" w:type="dxa"/>
            <w:vAlign w:val="bottom"/>
          </w:tcPr>
          <w:p>
            <w:pPr>
              <w:ind w:left="60"/>
              <w:spacing w:after="0" w:line="145" w:lineRule="exact"/>
              <w:rPr>
                <w:sz w:val="20"/>
                <w:szCs w:val="20"/>
                <w:color w:val="auto"/>
              </w:rPr>
            </w:pPr>
            <w:r>
              <w:rPr>
                <w:rFonts w:ascii="Arial" w:cs="Arial" w:eastAsia="Arial" w:hAnsi="Arial"/>
                <w:sz w:val="14"/>
                <w:szCs w:val="14"/>
                <w:b w:val="1"/>
                <w:bCs w:val="1"/>
                <w:color w:val="FEFEFE"/>
              </w:rPr>
              <w:t>​ ​</w:t>
            </w:r>
          </w:p>
        </w:tc>
        <w:tc>
          <w:tcPr>
            <w:tcW w:w="2360" w:type="dxa"/>
            <w:vAlign w:val="bottom"/>
            <w:vMerge w:val="continue"/>
            <w:shd w:val="clear" w:color="auto" w:fill="E7417A"/>
          </w:tcPr>
          <w:p>
            <w:pPr>
              <w:spacing w:after="0"/>
              <w:rPr>
                <w:sz w:val="12"/>
                <w:szCs w:val="12"/>
                <w:color w:val="auto"/>
              </w:rPr>
            </w:pPr>
          </w:p>
        </w:tc>
        <w:tc>
          <w:tcPr>
            <w:tcW w:w="220" w:type="dxa"/>
            <w:vAlign w:val="bottom"/>
          </w:tcPr>
          <w:p>
            <w:pPr>
              <w:ind w:left="60"/>
              <w:spacing w:after="0" w:line="145" w:lineRule="exact"/>
              <w:rPr>
                <w:sz w:val="20"/>
                <w:szCs w:val="20"/>
                <w:color w:val="auto"/>
              </w:rPr>
            </w:pPr>
            <w:r>
              <w:rPr>
                <w:rFonts w:ascii="Arial" w:cs="Arial" w:eastAsia="Arial" w:hAnsi="Arial"/>
                <w:sz w:val="14"/>
                <w:szCs w:val="14"/>
                <w:b w:val="1"/>
                <w:bCs w:val="1"/>
                <w:color w:val="FEFEFE"/>
              </w:rPr>
              <w:t>​ ​</w:t>
            </w:r>
          </w:p>
        </w:tc>
        <w:tc>
          <w:tcPr>
            <w:tcW w:w="1820" w:type="dxa"/>
            <w:vAlign w:val="bottom"/>
            <w:shd w:val="clear" w:color="auto" w:fill="E7417A"/>
          </w:tcPr>
          <w:p>
            <w:pPr>
              <w:jc w:val="center"/>
              <w:spacing w:after="0" w:line="145" w:lineRule="exact"/>
              <w:rPr>
                <w:sz w:val="20"/>
                <w:szCs w:val="20"/>
                <w:color w:val="auto"/>
              </w:rPr>
            </w:pPr>
            <w:r>
              <w:rPr>
                <w:rFonts w:ascii="Arial" w:cs="Arial" w:eastAsia="Arial" w:hAnsi="Arial"/>
                <w:sz w:val="14"/>
                <w:szCs w:val="14"/>
                <w:b w:val="1"/>
                <w:bCs w:val="1"/>
                <w:color w:val="FEFEFE"/>
              </w:rPr>
              <w:t>AND INNOVATION</w:t>
            </w:r>
          </w:p>
        </w:tc>
        <w:tc>
          <w:tcPr>
            <w:tcW w:w="40" w:type="dxa"/>
            <w:vAlign w:val="bottom"/>
          </w:tcPr>
          <w:p>
            <w:pPr>
              <w:spacing w:after="0" w:line="145" w:lineRule="exact"/>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126"/>
        </w:trPr>
        <w:tc>
          <w:tcPr>
            <w:tcW w:w="80" w:type="dxa"/>
            <w:vAlign w:val="bottom"/>
            <w:shd w:val="clear" w:color="auto" w:fill="E7417A"/>
          </w:tcPr>
          <w:p>
            <w:pPr>
              <w:spacing w:after="0"/>
              <w:rPr>
                <w:sz w:val="10"/>
                <w:szCs w:val="10"/>
                <w:color w:val="auto"/>
              </w:rPr>
            </w:pPr>
          </w:p>
        </w:tc>
        <w:tc>
          <w:tcPr>
            <w:tcW w:w="1680" w:type="dxa"/>
            <w:vAlign w:val="bottom"/>
            <w:shd w:val="clear" w:color="auto" w:fill="E7417A"/>
          </w:tcPr>
          <w:p>
            <w:pPr>
              <w:ind w:left="340"/>
              <w:spacing w:after="0" w:line="126" w:lineRule="exact"/>
              <w:rPr>
                <w:sz w:val="20"/>
                <w:szCs w:val="20"/>
                <w:color w:val="auto"/>
              </w:rPr>
            </w:pPr>
            <w:r>
              <w:rPr>
                <w:rFonts w:ascii="Arial" w:cs="Arial" w:eastAsia="Arial" w:hAnsi="Arial"/>
                <w:sz w:val="14"/>
                <w:szCs w:val="14"/>
                <w:b w:val="1"/>
                <w:bCs w:val="1"/>
                <w:color w:val="FEFEFE"/>
              </w:rPr>
              <w:t>COMMITTEE</w:t>
            </w:r>
          </w:p>
        </w:tc>
        <w:tc>
          <w:tcPr>
            <w:tcW w:w="220" w:type="dxa"/>
            <w:vAlign w:val="bottom"/>
          </w:tcPr>
          <w:p>
            <w:pPr>
              <w:spacing w:after="0"/>
              <w:rPr>
                <w:sz w:val="10"/>
                <w:szCs w:val="10"/>
                <w:color w:val="auto"/>
              </w:rPr>
            </w:pPr>
          </w:p>
        </w:tc>
        <w:tc>
          <w:tcPr>
            <w:tcW w:w="1820" w:type="dxa"/>
            <w:vAlign w:val="bottom"/>
            <w:shd w:val="clear" w:color="auto" w:fill="E7417A"/>
          </w:tcPr>
          <w:p>
            <w:pPr>
              <w:ind w:left="460"/>
              <w:spacing w:after="0" w:line="126" w:lineRule="exact"/>
              <w:rPr>
                <w:sz w:val="20"/>
                <w:szCs w:val="20"/>
                <w:color w:val="auto"/>
              </w:rPr>
            </w:pPr>
            <w:r>
              <w:rPr>
                <w:rFonts w:ascii="Arial" w:cs="Arial" w:eastAsia="Arial" w:hAnsi="Arial"/>
                <w:sz w:val="14"/>
                <w:szCs w:val="14"/>
                <w:b w:val="1"/>
                <w:bCs w:val="1"/>
                <w:color w:val="FEFEFE"/>
              </w:rPr>
              <w:t>COMMITTEE</w:t>
            </w:r>
          </w:p>
        </w:tc>
        <w:tc>
          <w:tcPr>
            <w:tcW w:w="220" w:type="dxa"/>
            <w:vAlign w:val="bottom"/>
          </w:tcPr>
          <w:p>
            <w:pPr>
              <w:spacing w:after="0"/>
              <w:rPr>
                <w:sz w:val="10"/>
                <w:szCs w:val="10"/>
                <w:color w:val="auto"/>
              </w:rPr>
            </w:pPr>
          </w:p>
        </w:tc>
        <w:tc>
          <w:tcPr>
            <w:tcW w:w="2360" w:type="dxa"/>
            <w:vAlign w:val="bottom"/>
            <w:shd w:val="clear" w:color="auto" w:fill="E7417A"/>
          </w:tcPr>
          <w:p>
            <w:pPr>
              <w:jc w:val="center"/>
              <w:spacing w:after="0" w:line="126" w:lineRule="exact"/>
              <w:rPr>
                <w:sz w:val="20"/>
                <w:szCs w:val="20"/>
                <w:color w:val="auto"/>
              </w:rPr>
            </w:pPr>
            <w:r>
              <w:rPr>
                <w:rFonts w:ascii="Arial" w:cs="Arial" w:eastAsia="Arial" w:hAnsi="Arial"/>
                <w:sz w:val="14"/>
                <w:szCs w:val="14"/>
                <w:b w:val="1"/>
                <w:bCs w:val="1"/>
                <w:color w:val="FEFEFE"/>
              </w:rPr>
              <w:t>CORPORATE</w:t>
            </w:r>
          </w:p>
        </w:tc>
        <w:tc>
          <w:tcPr>
            <w:tcW w:w="220" w:type="dxa"/>
            <w:vAlign w:val="bottom"/>
          </w:tcPr>
          <w:p>
            <w:pPr>
              <w:spacing w:after="0"/>
              <w:rPr>
                <w:sz w:val="10"/>
                <w:szCs w:val="10"/>
                <w:color w:val="auto"/>
              </w:rPr>
            </w:pPr>
          </w:p>
        </w:tc>
        <w:tc>
          <w:tcPr>
            <w:tcW w:w="1820" w:type="dxa"/>
            <w:vAlign w:val="bottom"/>
            <w:vMerge w:val="restart"/>
            <w:shd w:val="clear" w:color="auto" w:fill="E7417A"/>
          </w:tcPr>
          <w:p>
            <w:pPr>
              <w:jc w:val="center"/>
              <w:spacing w:after="0"/>
              <w:rPr>
                <w:sz w:val="20"/>
                <w:szCs w:val="20"/>
                <w:color w:val="auto"/>
              </w:rPr>
            </w:pPr>
            <w:r>
              <w:rPr>
                <w:rFonts w:ascii="Arial" w:cs="Arial" w:eastAsia="Arial" w:hAnsi="Arial"/>
                <w:sz w:val="14"/>
                <w:szCs w:val="14"/>
                <w:b w:val="1"/>
                <w:bCs w:val="1"/>
                <w:color w:val="FEFEFE"/>
              </w:rPr>
              <w:t>COMMITTEE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80" w:type="dxa"/>
            <w:vAlign w:val="bottom"/>
            <w:shd w:val="clear" w:color="auto" w:fill="E7417A"/>
          </w:tcPr>
          <w:p>
            <w:pPr>
              <w:spacing w:after="0"/>
              <w:rPr>
                <w:sz w:val="8"/>
                <w:szCs w:val="8"/>
                <w:color w:val="auto"/>
              </w:rPr>
            </w:pPr>
          </w:p>
        </w:tc>
        <w:tc>
          <w:tcPr>
            <w:tcW w:w="1680" w:type="dxa"/>
            <w:vAlign w:val="bottom"/>
            <w:shd w:val="clear" w:color="auto" w:fill="E7417A"/>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shd w:val="clear" w:color="auto" w:fill="E7417A"/>
          </w:tcPr>
          <w:p>
            <w:pPr>
              <w:spacing w:after="0"/>
              <w:rPr>
                <w:sz w:val="8"/>
                <w:szCs w:val="8"/>
                <w:color w:val="auto"/>
              </w:rPr>
            </w:pPr>
          </w:p>
        </w:tc>
        <w:tc>
          <w:tcPr>
            <w:tcW w:w="220" w:type="dxa"/>
            <w:vAlign w:val="bottom"/>
          </w:tcPr>
          <w:p>
            <w:pPr>
              <w:spacing w:after="0"/>
              <w:rPr>
                <w:sz w:val="8"/>
                <w:szCs w:val="8"/>
                <w:color w:val="auto"/>
              </w:rPr>
            </w:pPr>
          </w:p>
        </w:tc>
        <w:tc>
          <w:tcPr>
            <w:tcW w:w="2360" w:type="dxa"/>
            <w:vAlign w:val="bottom"/>
            <w:vMerge w:val="restart"/>
            <w:shd w:val="clear" w:color="auto" w:fill="E7417A"/>
          </w:tcPr>
          <w:p>
            <w:pPr>
              <w:jc w:val="center"/>
              <w:spacing w:after="0"/>
              <w:rPr>
                <w:sz w:val="20"/>
                <w:szCs w:val="20"/>
                <w:color w:val="auto"/>
              </w:rPr>
            </w:pPr>
            <w:r>
              <w:rPr>
                <w:rFonts w:ascii="Arial" w:cs="Arial" w:eastAsia="Arial" w:hAnsi="Arial"/>
                <w:sz w:val="14"/>
                <w:szCs w:val="14"/>
                <w:b w:val="1"/>
                <w:bCs w:val="1"/>
                <w:color w:val="FEFEFE"/>
              </w:rPr>
              <w:t>GOVERNANCE COMMITTEE</w:t>
            </w:r>
          </w:p>
        </w:tc>
        <w:tc>
          <w:tcPr>
            <w:tcW w:w="220" w:type="dxa"/>
            <w:vAlign w:val="bottom"/>
          </w:tcPr>
          <w:p>
            <w:pPr>
              <w:spacing w:after="0"/>
              <w:rPr>
                <w:sz w:val="8"/>
                <w:szCs w:val="8"/>
                <w:color w:val="auto"/>
              </w:rPr>
            </w:pPr>
          </w:p>
        </w:tc>
        <w:tc>
          <w:tcPr>
            <w:tcW w:w="1820" w:type="dxa"/>
            <w:vAlign w:val="bottom"/>
            <w:vMerge w:val="continue"/>
            <w:shd w:val="clear" w:color="auto" w:fill="E7417A"/>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80" w:type="dxa"/>
            <w:vAlign w:val="bottom"/>
            <w:shd w:val="clear" w:color="auto" w:fill="E7417A"/>
          </w:tcPr>
          <w:p>
            <w:pPr>
              <w:spacing w:after="0"/>
              <w:rPr>
                <w:sz w:val="9"/>
                <w:szCs w:val="9"/>
                <w:color w:val="auto"/>
              </w:rPr>
            </w:pPr>
          </w:p>
        </w:tc>
        <w:tc>
          <w:tcPr>
            <w:tcW w:w="1680" w:type="dxa"/>
            <w:vAlign w:val="bottom"/>
            <w:shd w:val="clear" w:color="auto" w:fill="E7417A"/>
          </w:tcPr>
          <w:p>
            <w:pPr>
              <w:spacing w:after="0"/>
              <w:rPr>
                <w:sz w:val="9"/>
                <w:szCs w:val="9"/>
                <w:color w:val="auto"/>
              </w:rPr>
            </w:pPr>
          </w:p>
        </w:tc>
        <w:tc>
          <w:tcPr>
            <w:tcW w:w="220" w:type="dxa"/>
            <w:vAlign w:val="bottom"/>
            <w:vMerge w:val="restart"/>
          </w:tcPr>
          <w:p>
            <w:pPr>
              <w:spacing w:after="0"/>
              <w:rPr>
                <w:sz w:val="20"/>
                <w:szCs w:val="20"/>
                <w:color w:val="auto"/>
              </w:rPr>
            </w:pPr>
            <w:r>
              <w:rPr>
                <w:rFonts w:ascii="Arial" w:cs="Arial" w:eastAsia="Arial" w:hAnsi="Arial"/>
                <w:sz w:val="15"/>
                <w:szCs w:val="15"/>
                <w:color w:val="auto"/>
              </w:rPr>
              <w:t>​ ​</w:t>
            </w:r>
          </w:p>
        </w:tc>
        <w:tc>
          <w:tcPr>
            <w:tcW w:w="1820" w:type="dxa"/>
            <w:vAlign w:val="bottom"/>
            <w:shd w:val="clear" w:color="auto" w:fill="E7417A"/>
          </w:tcPr>
          <w:p>
            <w:pPr>
              <w:spacing w:after="0"/>
              <w:rPr>
                <w:sz w:val="9"/>
                <w:szCs w:val="9"/>
                <w:color w:val="auto"/>
              </w:rPr>
            </w:pPr>
          </w:p>
        </w:tc>
        <w:tc>
          <w:tcPr>
            <w:tcW w:w="220" w:type="dxa"/>
            <w:vAlign w:val="bottom"/>
            <w:vMerge w:val="restart"/>
          </w:tcPr>
          <w:p>
            <w:pPr>
              <w:spacing w:after="0"/>
              <w:rPr>
                <w:sz w:val="20"/>
                <w:szCs w:val="20"/>
                <w:color w:val="auto"/>
              </w:rPr>
            </w:pPr>
            <w:r>
              <w:rPr>
                <w:rFonts w:ascii="Arial" w:cs="Arial" w:eastAsia="Arial" w:hAnsi="Arial"/>
                <w:sz w:val="15"/>
                <w:szCs w:val="15"/>
                <w:color w:val="auto"/>
              </w:rPr>
              <w:t>​ ​</w:t>
            </w:r>
          </w:p>
        </w:tc>
        <w:tc>
          <w:tcPr>
            <w:tcW w:w="2360" w:type="dxa"/>
            <w:vAlign w:val="bottom"/>
            <w:vMerge w:val="continue"/>
            <w:shd w:val="clear" w:color="auto" w:fill="E7417A"/>
          </w:tcPr>
          <w:p>
            <w:pPr>
              <w:spacing w:after="0"/>
              <w:rPr>
                <w:sz w:val="9"/>
                <w:szCs w:val="9"/>
                <w:color w:val="auto"/>
              </w:rPr>
            </w:pPr>
          </w:p>
        </w:tc>
        <w:tc>
          <w:tcPr>
            <w:tcW w:w="220" w:type="dxa"/>
            <w:vAlign w:val="bottom"/>
            <w:vMerge w:val="restart"/>
          </w:tcPr>
          <w:p>
            <w:pPr>
              <w:spacing w:after="0"/>
              <w:rPr>
                <w:sz w:val="20"/>
                <w:szCs w:val="20"/>
                <w:color w:val="auto"/>
              </w:rPr>
            </w:pPr>
            <w:r>
              <w:rPr>
                <w:rFonts w:ascii="Arial" w:cs="Arial" w:eastAsia="Arial" w:hAnsi="Arial"/>
                <w:sz w:val="15"/>
                <w:szCs w:val="15"/>
                <w:color w:val="auto"/>
              </w:rPr>
              <w:t>​ ​</w:t>
            </w:r>
          </w:p>
        </w:tc>
        <w:tc>
          <w:tcPr>
            <w:tcW w:w="1820" w:type="dxa"/>
            <w:vAlign w:val="bottom"/>
            <w:shd w:val="clear" w:color="auto" w:fill="E7417A"/>
          </w:tcPr>
          <w:p>
            <w:pPr>
              <w:spacing w:after="0"/>
              <w:rPr>
                <w:sz w:val="9"/>
                <w:szCs w:val="9"/>
                <w:color w:val="auto"/>
              </w:rPr>
            </w:pPr>
          </w:p>
        </w:tc>
        <w:tc>
          <w:tcPr>
            <w:tcW w:w="40" w:type="dxa"/>
            <w:vAlign w:val="bottom"/>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1760" w:type="dxa"/>
            <w:vAlign w:val="bottom"/>
            <w:gridSpan w:val="2"/>
            <w:shd w:val="clear" w:color="auto" w:fill="F2F2F2"/>
          </w:tcPr>
          <w:p>
            <w:pPr>
              <w:spacing w:after="0" w:line="199"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oversees and</w:t>
            </w:r>
          </w:p>
        </w:tc>
        <w:tc>
          <w:tcPr>
            <w:tcW w:w="220" w:type="dxa"/>
            <w:vAlign w:val="bottom"/>
            <w:vMerge w:val="continue"/>
          </w:tcPr>
          <w:p>
            <w:pPr>
              <w:spacing w:after="0"/>
              <w:rPr>
                <w:sz w:val="17"/>
                <w:szCs w:val="17"/>
                <w:color w:val="auto"/>
              </w:rPr>
            </w:pPr>
          </w:p>
        </w:tc>
        <w:tc>
          <w:tcPr>
            <w:tcW w:w="1820" w:type="dxa"/>
            <w:vAlign w:val="bottom"/>
            <w:shd w:val="clear" w:color="auto" w:fill="F2F2F2"/>
          </w:tcPr>
          <w:p>
            <w:pPr>
              <w:ind w:left="120"/>
              <w:spacing w:after="0"/>
              <w:rPr>
                <w:sz w:val="20"/>
                <w:szCs w:val="20"/>
                <w:color w:val="auto"/>
              </w:rPr>
            </w:pPr>
            <w:r>
              <w:rPr>
                <w:rFonts w:ascii="Arial" w:cs="Arial" w:eastAsia="Arial" w:hAnsi="Arial"/>
                <w:sz w:val="15"/>
                <w:szCs w:val="15"/>
                <w:color w:val="auto"/>
              </w:rPr>
              <w:t>oversees and</w:t>
            </w:r>
          </w:p>
        </w:tc>
        <w:tc>
          <w:tcPr>
            <w:tcW w:w="220" w:type="dxa"/>
            <w:vAlign w:val="bottom"/>
            <w:vMerge w:val="continue"/>
          </w:tcPr>
          <w:p>
            <w:pPr>
              <w:spacing w:after="0"/>
              <w:rPr>
                <w:sz w:val="17"/>
                <w:szCs w:val="17"/>
                <w:color w:val="auto"/>
              </w:rPr>
            </w:pPr>
          </w:p>
        </w:tc>
        <w:tc>
          <w:tcPr>
            <w:tcW w:w="2360" w:type="dxa"/>
            <w:vAlign w:val="bottom"/>
            <w:shd w:val="clear" w:color="auto" w:fill="F2F2F2"/>
          </w:tcPr>
          <w:p>
            <w:pPr>
              <w:ind w:left="120"/>
              <w:spacing w:after="0"/>
              <w:rPr>
                <w:sz w:val="20"/>
                <w:szCs w:val="20"/>
                <w:color w:val="auto"/>
              </w:rPr>
            </w:pPr>
            <w:r>
              <w:rPr>
                <w:rFonts w:ascii="Arial" w:cs="Arial" w:eastAsia="Arial" w:hAnsi="Arial"/>
                <w:sz w:val="15"/>
                <w:szCs w:val="15"/>
                <w:color w:val="auto"/>
              </w:rPr>
              <w:t>oversees and evaluates:</w:t>
            </w:r>
          </w:p>
        </w:tc>
        <w:tc>
          <w:tcPr>
            <w:tcW w:w="220" w:type="dxa"/>
            <w:vAlign w:val="bottom"/>
            <w:vMerge w:val="continue"/>
          </w:tcPr>
          <w:p>
            <w:pPr>
              <w:spacing w:after="0"/>
              <w:rPr>
                <w:sz w:val="17"/>
                <w:szCs w:val="17"/>
                <w:color w:val="auto"/>
              </w:rPr>
            </w:pPr>
          </w:p>
        </w:tc>
        <w:tc>
          <w:tcPr>
            <w:tcW w:w="1820" w:type="dxa"/>
            <w:vAlign w:val="bottom"/>
            <w:shd w:val="clear" w:color="auto" w:fill="F2F2F2"/>
          </w:tcPr>
          <w:p>
            <w:pPr>
              <w:ind w:left="100"/>
              <w:spacing w:after="0"/>
              <w:rPr>
                <w:sz w:val="20"/>
                <w:szCs w:val="20"/>
                <w:color w:val="auto"/>
              </w:rPr>
            </w:pPr>
            <w:r>
              <w:rPr>
                <w:rFonts w:ascii="Arial" w:cs="Arial" w:eastAsia="Arial" w:hAnsi="Arial"/>
                <w:sz w:val="15"/>
                <w:szCs w:val="15"/>
                <w:color w:val="auto"/>
              </w:rPr>
              <w:t>oversees and</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0" w:type="dxa"/>
            <w:vAlign w:val="bottom"/>
            <w:shd w:val="clear" w:color="auto" w:fill="F2F2F2"/>
          </w:tcPr>
          <w:p>
            <w:pPr>
              <w:spacing w:after="0"/>
              <w:rPr>
                <w:sz w:val="17"/>
                <w:szCs w:val="17"/>
                <w:color w:val="auto"/>
              </w:rPr>
            </w:pPr>
          </w:p>
        </w:tc>
        <w:tc>
          <w:tcPr>
            <w:tcW w:w="1680" w:type="dxa"/>
            <w:vAlign w:val="bottom"/>
            <w:shd w:val="clear" w:color="auto" w:fill="F2F2F2"/>
          </w:tcPr>
          <w:p>
            <w:pPr>
              <w:ind w:left="20"/>
              <w:spacing w:after="0"/>
              <w:rPr>
                <w:sz w:val="20"/>
                <w:szCs w:val="20"/>
                <w:color w:val="auto"/>
              </w:rPr>
            </w:pPr>
            <w:r>
              <w:rPr>
                <w:rFonts w:ascii="Arial" w:cs="Arial" w:eastAsia="Arial" w:hAnsi="Arial"/>
                <w:sz w:val="15"/>
                <w:szCs w:val="15"/>
                <w:color w:val="auto"/>
              </w:rPr>
              <w:t>evaluates:</w:t>
            </w:r>
          </w:p>
        </w:tc>
        <w:tc>
          <w:tcPr>
            <w:tcW w:w="220" w:type="dxa"/>
            <w:vAlign w:val="bottom"/>
          </w:tcPr>
          <w:p>
            <w:pPr>
              <w:spacing w:after="0"/>
              <w:rPr>
                <w:sz w:val="17"/>
                <w:szCs w:val="17"/>
                <w:color w:val="auto"/>
              </w:rPr>
            </w:pPr>
          </w:p>
        </w:tc>
        <w:tc>
          <w:tcPr>
            <w:tcW w:w="1820" w:type="dxa"/>
            <w:vAlign w:val="bottom"/>
            <w:shd w:val="clear" w:color="auto" w:fill="F2F2F2"/>
          </w:tcPr>
          <w:p>
            <w:pPr>
              <w:ind w:left="120"/>
              <w:spacing w:after="0"/>
              <w:rPr>
                <w:sz w:val="20"/>
                <w:szCs w:val="20"/>
                <w:color w:val="auto"/>
              </w:rPr>
            </w:pPr>
            <w:r>
              <w:rPr>
                <w:rFonts w:ascii="Arial" w:cs="Arial" w:eastAsia="Arial" w:hAnsi="Arial"/>
                <w:sz w:val="15"/>
                <w:szCs w:val="15"/>
                <w:color w:val="auto"/>
              </w:rPr>
              <w:t>evaluates:</w:t>
            </w:r>
          </w:p>
        </w:tc>
        <w:tc>
          <w:tcPr>
            <w:tcW w:w="220" w:type="dxa"/>
            <w:vAlign w:val="bottom"/>
          </w:tcPr>
          <w:p>
            <w:pPr>
              <w:spacing w:after="0"/>
              <w:rPr>
                <w:sz w:val="17"/>
                <w:szCs w:val="17"/>
                <w:color w:val="auto"/>
              </w:rPr>
            </w:pPr>
          </w:p>
        </w:tc>
        <w:tc>
          <w:tcPr>
            <w:tcW w:w="2360" w:type="dxa"/>
            <w:vAlign w:val="bottom"/>
            <w:vMerge w:val="restart"/>
            <w:shd w:val="clear" w:color="auto" w:fill="F2F2F2"/>
          </w:tcPr>
          <w:p>
            <w:pPr>
              <w:ind w:left="120"/>
              <w:spacing w:after="0"/>
              <w:rPr>
                <w:sz w:val="20"/>
                <w:szCs w:val="20"/>
                <w:color w:val="auto"/>
              </w:rPr>
            </w:pPr>
            <w:r>
              <w:rPr>
                <w:rFonts w:ascii="Arial" w:cs="Arial" w:eastAsia="Arial" w:hAnsi="Arial"/>
                <w:sz w:val="15"/>
                <w:szCs w:val="15"/>
                <w:color w:val="62259D"/>
              </w:rPr>
              <w:t xml:space="preserve">■ </w:t>
            </w:r>
            <w:r>
              <w:rPr>
                <w:rFonts w:ascii="Arial" w:cs="Arial" w:eastAsia="Arial" w:hAnsi="Arial"/>
                <w:sz w:val="15"/>
                <w:szCs w:val="15"/>
                <w:color w:val="000000"/>
              </w:rPr>
              <w:t>risks related to</w:t>
            </w:r>
          </w:p>
        </w:tc>
        <w:tc>
          <w:tcPr>
            <w:tcW w:w="220" w:type="dxa"/>
            <w:vAlign w:val="bottom"/>
          </w:tcPr>
          <w:p>
            <w:pPr>
              <w:spacing w:after="0"/>
              <w:rPr>
                <w:sz w:val="17"/>
                <w:szCs w:val="17"/>
                <w:color w:val="auto"/>
              </w:rPr>
            </w:pPr>
          </w:p>
        </w:tc>
        <w:tc>
          <w:tcPr>
            <w:tcW w:w="1820" w:type="dxa"/>
            <w:vAlign w:val="bottom"/>
            <w:shd w:val="clear" w:color="auto" w:fill="F2F2F2"/>
          </w:tcPr>
          <w:p>
            <w:pPr>
              <w:ind w:left="100"/>
              <w:spacing w:after="0"/>
              <w:rPr>
                <w:sz w:val="20"/>
                <w:szCs w:val="20"/>
                <w:color w:val="auto"/>
              </w:rPr>
            </w:pPr>
            <w:r>
              <w:rPr>
                <w:rFonts w:ascii="Arial" w:cs="Arial" w:eastAsia="Arial" w:hAnsi="Arial"/>
                <w:sz w:val="15"/>
                <w:szCs w:val="15"/>
                <w:color w:val="auto"/>
              </w:rPr>
              <w:t>evaluates: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80" w:type="dxa"/>
            <w:vAlign w:val="bottom"/>
            <w:shd w:val="clear" w:color="auto" w:fill="F2F2F2"/>
          </w:tcPr>
          <w:p>
            <w:pPr>
              <w:spacing w:after="0"/>
              <w:rPr>
                <w:sz w:val="4"/>
                <w:szCs w:val="4"/>
                <w:color w:val="auto"/>
              </w:rPr>
            </w:pPr>
          </w:p>
        </w:tc>
        <w:tc>
          <w:tcPr>
            <w:tcW w:w="1680" w:type="dxa"/>
            <w:vAlign w:val="bottom"/>
            <w:shd w:val="clear" w:color="auto" w:fill="F2F2F2"/>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shd w:val="clear" w:color="auto" w:fill="F2F2F2"/>
          </w:tcPr>
          <w:p>
            <w:pPr>
              <w:spacing w:after="0"/>
              <w:rPr>
                <w:sz w:val="4"/>
                <w:szCs w:val="4"/>
                <w:color w:val="auto"/>
              </w:rPr>
            </w:pPr>
          </w:p>
        </w:tc>
        <w:tc>
          <w:tcPr>
            <w:tcW w:w="220" w:type="dxa"/>
            <w:vAlign w:val="bottom"/>
          </w:tcPr>
          <w:p>
            <w:pPr>
              <w:spacing w:after="0"/>
              <w:rPr>
                <w:sz w:val="4"/>
                <w:szCs w:val="4"/>
                <w:color w:val="auto"/>
              </w:rPr>
            </w:pPr>
          </w:p>
        </w:tc>
        <w:tc>
          <w:tcPr>
            <w:tcW w:w="2360" w:type="dxa"/>
            <w:vAlign w:val="bottom"/>
            <w:vMerge w:val="continue"/>
            <w:shd w:val="clear" w:color="auto" w:fill="F2F2F2"/>
          </w:tcPr>
          <w:p>
            <w:pPr>
              <w:spacing w:after="0"/>
              <w:rPr>
                <w:sz w:val="4"/>
                <w:szCs w:val="4"/>
                <w:color w:val="auto"/>
              </w:rPr>
            </w:pPr>
          </w:p>
        </w:tc>
        <w:tc>
          <w:tcPr>
            <w:tcW w:w="220" w:type="dxa"/>
            <w:vAlign w:val="bottom"/>
          </w:tcPr>
          <w:p>
            <w:pPr>
              <w:spacing w:after="0"/>
              <w:rPr>
                <w:sz w:val="4"/>
                <w:szCs w:val="4"/>
                <w:color w:val="auto"/>
              </w:rPr>
            </w:pPr>
          </w:p>
        </w:tc>
        <w:tc>
          <w:tcPr>
            <w:tcW w:w="1820" w:type="dxa"/>
            <w:vAlign w:val="bottom"/>
            <w:shd w:val="clear" w:color="auto" w:fill="F2F2F2"/>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F2F2F2"/>
          </w:tcPr>
          <w:p>
            <w:pPr>
              <w:spacing w:after="0"/>
              <w:rPr>
                <w:sz w:val="15"/>
                <w:szCs w:val="15"/>
                <w:color w:val="auto"/>
              </w:rPr>
            </w:pPr>
          </w:p>
        </w:tc>
        <w:tc>
          <w:tcPr>
            <w:tcW w:w="1680" w:type="dxa"/>
            <w:vAlign w:val="bottom"/>
            <w:shd w:val="clear" w:color="auto" w:fill="F2F2F2"/>
          </w:tcPr>
          <w:p>
            <w:pPr>
              <w:ind w:left="20"/>
              <w:spacing w:after="0"/>
              <w:rPr>
                <w:sz w:val="20"/>
                <w:szCs w:val="20"/>
                <w:color w:val="auto"/>
              </w:rPr>
            </w:pPr>
            <w:r>
              <w:rPr>
                <w:rFonts w:ascii="Arial" w:cs="Arial" w:eastAsia="Arial" w:hAnsi="Arial"/>
                <w:sz w:val="15"/>
                <w:szCs w:val="15"/>
                <w:color w:val="62259D"/>
              </w:rPr>
              <w:t xml:space="preserve">■ </w:t>
            </w:r>
            <w:r>
              <w:rPr>
                <w:rFonts w:ascii="Arial" w:cs="Arial" w:eastAsia="Arial" w:hAnsi="Arial"/>
                <w:sz w:val="15"/>
                <w:szCs w:val="15"/>
                <w:color w:val="000000"/>
              </w:rPr>
              <w:t>financial, internal</w:t>
            </w:r>
          </w:p>
        </w:tc>
        <w:tc>
          <w:tcPr>
            <w:tcW w:w="220" w:type="dxa"/>
            <w:vAlign w:val="bottom"/>
          </w:tcPr>
          <w:p>
            <w:pPr>
              <w:spacing w:after="0"/>
              <w:rPr>
                <w:sz w:val="15"/>
                <w:szCs w:val="15"/>
                <w:color w:val="auto"/>
              </w:rPr>
            </w:pPr>
          </w:p>
        </w:tc>
        <w:tc>
          <w:tcPr>
            <w:tcW w:w="1820" w:type="dxa"/>
            <w:vAlign w:val="bottom"/>
            <w:shd w:val="clear" w:color="auto" w:fill="F2F2F2"/>
          </w:tcPr>
          <w:p>
            <w:pPr>
              <w:ind w:left="120"/>
              <w:spacing w:after="0"/>
              <w:rPr>
                <w:sz w:val="20"/>
                <w:szCs w:val="20"/>
                <w:color w:val="auto"/>
              </w:rPr>
            </w:pPr>
            <w:r>
              <w:rPr>
                <w:rFonts w:ascii="Arial" w:cs="Arial" w:eastAsia="Arial" w:hAnsi="Arial"/>
                <w:sz w:val="15"/>
                <w:szCs w:val="15"/>
                <w:color w:val="62259D"/>
              </w:rPr>
              <w:t xml:space="preserve">■ </w:t>
            </w:r>
            <w:r>
              <w:rPr>
                <w:rFonts w:ascii="Arial" w:cs="Arial" w:eastAsia="Arial" w:hAnsi="Arial"/>
                <w:sz w:val="15"/>
                <w:szCs w:val="15"/>
                <w:color w:val="000000"/>
              </w:rPr>
              <w:t>risks related to our</w:t>
            </w:r>
          </w:p>
        </w:tc>
        <w:tc>
          <w:tcPr>
            <w:tcW w:w="220" w:type="dxa"/>
            <w:vAlign w:val="bottom"/>
          </w:tcPr>
          <w:p>
            <w:pPr>
              <w:spacing w:after="0"/>
              <w:rPr>
                <w:sz w:val="15"/>
                <w:szCs w:val="15"/>
                <w:color w:val="auto"/>
              </w:rPr>
            </w:pPr>
          </w:p>
        </w:tc>
        <w:tc>
          <w:tcPr>
            <w:tcW w:w="2360" w:type="dxa"/>
            <w:vAlign w:val="bottom"/>
            <w:shd w:val="clear" w:color="auto" w:fill="F2F2F2"/>
          </w:tcPr>
          <w:p>
            <w:pPr>
              <w:ind w:left="260"/>
              <w:spacing w:after="0"/>
              <w:rPr>
                <w:sz w:val="20"/>
                <w:szCs w:val="20"/>
                <w:color w:val="auto"/>
              </w:rPr>
            </w:pPr>
            <w:r>
              <w:rPr>
                <w:rFonts w:ascii="Arial" w:cs="Arial" w:eastAsia="Arial" w:hAnsi="Arial"/>
                <w:sz w:val="15"/>
                <w:szCs w:val="15"/>
                <w:color w:val="auto"/>
              </w:rPr>
              <w:t>sustainability and</w:t>
            </w:r>
          </w:p>
        </w:tc>
        <w:tc>
          <w:tcPr>
            <w:tcW w:w="220" w:type="dxa"/>
            <w:vAlign w:val="bottom"/>
          </w:tcPr>
          <w:p>
            <w:pPr>
              <w:spacing w:after="0"/>
              <w:rPr>
                <w:sz w:val="15"/>
                <w:szCs w:val="15"/>
                <w:color w:val="auto"/>
              </w:rPr>
            </w:pPr>
          </w:p>
        </w:tc>
        <w:tc>
          <w:tcPr>
            <w:tcW w:w="1820" w:type="dxa"/>
            <w:vAlign w:val="bottom"/>
            <w:shd w:val="clear" w:color="auto" w:fill="F2F2F2"/>
          </w:tcPr>
          <w:p>
            <w:pPr>
              <w:ind w:left="100"/>
              <w:spacing w:after="0"/>
              <w:rPr>
                <w:sz w:val="20"/>
                <w:szCs w:val="20"/>
                <w:color w:val="auto"/>
              </w:rPr>
            </w:pPr>
            <w:r>
              <w:rPr>
                <w:rFonts w:ascii="Arial" w:cs="Arial" w:eastAsia="Arial" w:hAnsi="Arial"/>
                <w:sz w:val="15"/>
                <w:szCs w:val="15"/>
                <w:color w:val="62259D"/>
              </w:rPr>
              <w:t xml:space="preserve">■ </w:t>
            </w:r>
            <w:r>
              <w:rPr>
                <w:rFonts w:ascii="Arial" w:cs="Arial" w:eastAsia="Arial" w:hAnsi="Arial"/>
                <w:sz w:val="15"/>
                <w:szCs w:val="15"/>
                <w:color w:val="000000"/>
              </w:rPr>
              <w:t>risks related to</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 w:type="dxa"/>
            <w:vAlign w:val="bottom"/>
            <w:shd w:val="clear" w:color="auto" w:fill="F2F2F2"/>
          </w:tcPr>
          <w:p>
            <w:pPr>
              <w:spacing w:after="0"/>
              <w:rPr>
                <w:sz w:val="17"/>
                <w:szCs w:val="17"/>
                <w:color w:val="auto"/>
              </w:rPr>
            </w:pPr>
          </w:p>
        </w:tc>
        <w:tc>
          <w:tcPr>
            <w:tcW w:w="1680" w:type="dxa"/>
            <w:vAlign w:val="bottom"/>
            <w:shd w:val="clear" w:color="auto" w:fill="F2F2F2"/>
          </w:tcPr>
          <w:p>
            <w:pPr>
              <w:ind w:left="180"/>
              <w:spacing w:after="0"/>
              <w:rPr>
                <w:sz w:val="20"/>
                <w:szCs w:val="20"/>
                <w:color w:val="auto"/>
              </w:rPr>
            </w:pPr>
            <w:r>
              <w:rPr>
                <w:rFonts w:ascii="Arial" w:cs="Arial" w:eastAsia="Arial" w:hAnsi="Arial"/>
                <w:sz w:val="15"/>
                <w:szCs w:val="15"/>
                <w:color w:val="auto"/>
              </w:rPr>
              <w:t>control, enterprise,</w:t>
            </w:r>
          </w:p>
        </w:tc>
        <w:tc>
          <w:tcPr>
            <w:tcW w:w="220" w:type="dxa"/>
            <w:vAlign w:val="bottom"/>
          </w:tcPr>
          <w:p>
            <w:pPr>
              <w:spacing w:after="0"/>
              <w:rPr>
                <w:sz w:val="17"/>
                <w:szCs w:val="17"/>
                <w:color w:val="auto"/>
              </w:rPr>
            </w:pPr>
          </w:p>
        </w:tc>
        <w:tc>
          <w:tcPr>
            <w:tcW w:w="1820" w:type="dxa"/>
            <w:vAlign w:val="bottom"/>
            <w:shd w:val="clear" w:color="auto" w:fill="F2F2F2"/>
          </w:tcPr>
          <w:p>
            <w:pPr>
              <w:ind w:left="260"/>
              <w:spacing w:after="0"/>
              <w:rPr>
                <w:sz w:val="20"/>
                <w:szCs w:val="20"/>
                <w:color w:val="auto"/>
              </w:rPr>
            </w:pPr>
            <w:r>
              <w:rPr>
                <w:rFonts w:ascii="Arial" w:cs="Arial" w:eastAsia="Arial" w:hAnsi="Arial"/>
                <w:sz w:val="15"/>
                <w:szCs w:val="15"/>
                <w:color w:val="auto"/>
              </w:rPr>
              <w:t>compensation</w:t>
            </w:r>
          </w:p>
        </w:tc>
        <w:tc>
          <w:tcPr>
            <w:tcW w:w="220" w:type="dxa"/>
            <w:vAlign w:val="bottom"/>
          </w:tcPr>
          <w:p>
            <w:pPr>
              <w:spacing w:after="0"/>
              <w:rPr>
                <w:sz w:val="17"/>
                <w:szCs w:val="17"/>
                <w:color w:val="auto"/>
              </w:rPr>
            </w:pPr>
          </w:p>
        </w:tc>
        <w:tc>
          <w:tcPr>
            <w:tcW w:w="2360" w:type="dxa"/>
            <w:vAlign w:val="bottom"/>
            <w:shd w:val="clear" w:color="auto" w:fill="F2F2F2"/>
          </w:tcPr>
          <w:p>
            <w:pPr>
              <w:ind w:left="260"/>
              <w:spacing w:after="0"/>
              <w:rPr>
                <w:sz w:val="20"/>
                <w:szCs w:val="20"/>
                <w:color w:val="auto"/>
              </w:rPr>
            </w:pPr>
            <w:r>
              <w:rPr>
                <w:rFonts w:ascii="Arial" w:cs="Arial" w:eastAsia="Arial" w:hAnsi="Arial"/>
                <w:sz w:val="15"/>
                <w:szCs w:val="15"/>
                <w:color w:val="auto"/>
              </w:rPr>
              <w:t>governance</w:t>
            </w:r>
          </w:p>
        </w:tc>
        <w:tc>
          <w:tcPr>
            <w:tcW w:w="220" w:type="dxa"/>
            <w:vAlign w:val="bottom"/>
          </w:tcPr>
          <w:p>
            <w:pPr>
              <w:spacing w:after="0"/>
              <w:rPr>
                <w:sz w:val="17"/>
                <w:szCs w:val="17"/>
                <w:color w:val="auto"/>
              </w:rPr>
            </w:pPr>
          </w:p>
        </w:tc>
        <w:tc>
          <w:tcPr>
            <w:tcW w:w="1820" w:type="dxa"/>
            <w:vAlign w:val="bottom"/>
            <w:shd w:val="clear" w:color="auto" w:fill="F2F2F2"/>
          </w:tcPr>
          <w:p>
            <w:pPr>
              <w:ind w:left="260"/>
              <w:spacing w:after="0"/>
              <w:rPr>
                <w:sz w:val="20"/>
                <w:szCs w:val="20"/>
                <w:color w:val="auto"/>
              </w:rPr>
            </w:pPr>
            <w:r>
              <w:rPr>
                <w:rFonts w:ascii="Arial" w:cs="Arial" w:eastAsia="Arial" w:hAnsi="Arial"/>
                <w:sz w:val="15"/>
                <w:szCs w:val="15"/>
                <w:color w:val="auto"/>
              </w:rPr>
              <w:t>significant R&amp;D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F2F2F2"/>
          </w:tcPr>
          <w:p>
            <w:pPr>
              <w:spacing w:after="0"/>
              <w:rPr>
                <w:sz w:val="15"/>
                <w:szCs w:val="15"/>
                <w:color w:val="auto"/>
              </w:rPr>
            </w:pPr>
          </w:p>
        </w:tc>
        <w:tc>
          <w:tcPr>
            <w:tcW w:w="1680" w:type="dxa"/>
            <w:vAlign w:val="bottom"/>
            <w:shd w:val="clear" w:color="auto" w:fill="F2F2F2"/>
          </w:tcPr>
          <w:p>
            <w:pPr>
              <w:ind w:left="180"/>
              <w:spacing w:after="0"/>
              <w:rPr>
                <w:sz w:val="20"/>
                <w:szCs w:val="20"/>
                <w:color w:val="auto"/>
              </w:rPr>
            </w:pPr>
            <w:r>
              <w:rPr>
                <w:rFonts w:ascii="Arial" w:cs="Arial" w:eastAsia="Arial" w:hAnsi="Arial"/>
                <w:sz w:val="15"/>
                <w:szCs w:val="15"/>
                <w:color w:val="auto"/>
              </w:rPr>
              <w:t>AI and</w:t>
            </w:r>
          </w:p>
        </w:tc>
        <w:tc>
          <w:tcPr>
            <w:tcW w:w="220" w:type="dxa"/>
            <w:vAlign w:val="bottom"/>
          </w:tcPr>
          <w:p>
            <w:pPr>
              <w:spacing w:after="0"/>
              <w:rPr>
                <w:sz w:val="15"/>
                <w:szCs w:val="15"/>
                <w:color w:val="auto"/>
              </w:rPr>
            </w:pPr>
          </w:p>
        </w:tc>
        <w:tc>
          <w:tcPr>
            <w:tcW w:w="1820" w:type="dxa"/>
            <w:vAlign w:val="bottom"/>
            <w:shd w:val="clear" w:color="auto" w:fill="F2F2F2"/>
          </w:tcPr>
          <w:p>
            <w:pPr>
              <w:ind w:left="260"/>
              <w:spacing w:after="0"/>
              <w:rPr>
                <w:sz w:val="20"/>
                <w:szCs w:val="20"/>
                <w:color w:val="auto"/>
              </w:rPr>
            </w:pPr>
            <w:r>
              <w:rPr>
                <w:rFonts w:ascii="Arial" w:cs="Arial" w:eastAsia="Arial" w:hAnsi="Arial"/>
                <w:sz w:val="15"/>
                <w:szCs w:val="15"/>
                <w:color w:val="auto"/>
              </w:rPr>
              <w:t>policies</w:t>
            </w:r>
          </w:p>
        </w:tc>
        <w:tc>
          <w:tcPr>
            <w:tcW w:w="220" w:type="dxa"/>
            <w:vAlign w:val="bottom"/>
          </w:tcPr>
          <w:p>
            <w:pPr>
              <w:spacing w:after="0"/>
              <w:rPr>
                <w:sz w:val="15"/>
                <w:szCs w:val="15"/>
                <w:color w:val="auto"/>
              </w:rPr>
            </w:pPr>
          </w:p>
        </w:tc>
        <w:tc>
          <w:tcPr>
            <w:tcW w:w="2360" w:type="dxa"/>
            <w:vAlign w:val="bottom"/>
            <w:shd w:val="clear" w:color="auto" w:fill="F2F2F2"/>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shd w:val="clear" w:color="auto" w:fill="F2F2F2"/>
          </w:tcPr>
          <w:p>
            <w:pPr>
              <w:ind w:left="260"/>
              <w:spacing w:after="0"/>
              <w:rPr>
                <w:sz w:val="20"/>
                <w:szCs w:val="20"/>
                <w:color w:val="auto"/>
              </w:rPr>
            </w:pPr>
            <w:r>
              <w:rPr>
                <w:rFonts w:ascii="Arial" w:cs="Arial" w:eastAsia="Arial" w:hAnsi="Arial"/>
                <w:sz w:val="15"/>
                <w:szCs w:val="15"/>
                <w:color w:val="auto"/>
              </w:rPr>
              <w:t>decisions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0" w:type="dxa"/>
            <w:vAlign w:val="bottom"/>
            <w:shd w:val="clear" w:color="auto" w:fill="F2F2F2"/>
          </w:tcPr>
          <w:p>
            <w:pPr>
              <w:spacing w:after="0"/>
              <w:rPr>
                <w:sz w:val="19"/>
                <w:szCs w:val="19"/>
                <w:color w:val="auto"/>
              </w:rPr>
            </w:pPr>
          </w:p>
        </w:tc>
        <w:tc>
          <w:tcPr>
            <w:tcW w:w="1680" w:type="dxa"/>
            <w:vAlign w:val="bottom"/>
            <w:shd w:val="clear" w:color="auto" w:fill="F2F2F2"/>
          </w:tcPr>
          <w:p>
            <w:pPr>
              <w:ind w:left="180"/>
              <w:spacing w:after="0"/>
              <w:rPr>
                <w:sz w:val="20"/>
                <w:szCs w:val="20"/>
                <w:color w:val="auto"/>
              </w:rPr>
            </w:pPr>
            <w:r>
              <w:rPr>
                <w:rFonts w:ascii="Arial" w:cs="Arial" w:eastAsia="Arial" w:hAnsi="Arial"/>
                <w:sz w:val="15"/>
                <w:szCs w:val="15"/>
                <w:color w:val="auto"/>
              </w:rPr>
              <w:t>cybersecurity risks</w:t>
            </w:r>
          </w:p>
        </w:tc>
        <w:tc>
          <w:tcPr>
            <w:tcW w:w="220" w:type="dxa"/>
            <w:vAlign w:val="bottom"/>
          </w:tcPr>
          <w:p>
            <w:pPr>
              <w:spacing w:after="0"/>
              <w:rPr>
                <w:sz w:val="19"/>
                <w:szCs w:val="19"/>
                <w:color w:val="auto"/>
              </w:rPr>
            </w:pPr>
          </w:p>
        </w:tc>
        <w:tc>
          <w:tcPr>
            <w:tcW w:w="1820" w:type="dxa"/>
            <w:vAlign w:val="bottom"/>
            <w:shd w:val="clear" w:color="auto" w:fill="F2F2F2"/>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shd w:val="clear" w:color="auto" w:fill="F2F2F2"/>
          </w:tcPr>
          <w:p>
            <w:pPr>
              <w:spacing w:after="0"/>
              <w:rPr>
                <w:sz w:val="19"/>
                <w:szCs w:val="19"/>
                <w:color w:val="auto"/>
              </w:rPr>
            </w:pPr>
          </w:p>
        </w:tc>
        <w:tc>
          <w:tcPr>
            <w:tcW w:w="220" w:type="dxa"/>
            <w:vAlign w:val="bottom"/>
          </w:tcPr>
          <w:p>
            <w:pPr>
              <w:spacing w:after="0"/>
              <w:rPr>
                <w:sz w:val="19"/>
                <w:szCs w:val="19"/>
                <w:color w:val="auto"/>
              </w:rPr>
            </w:pPr>
          </w:p>
        </w:tc>
        <w:tc>
          <w:tcPr>
            <w:tcW w:w="1820" w:type="dxa"/>
            <w:vAlign w:val="bottom"/>
            <w:shd w:val="clear" w:color="auto" w:fill="F2F2F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99"/>
        <w:spacing w:after="0" w:line="245" w:lineRule="auto"/>
        <w:rPr>
          <w:sz w:val="20"/>
          <w:szCs w:val="20"/>
          <w:color w:val="auto"/>
        </w:rPr>
      </w:pPr>
      <w:r>
        <w:rPr>
          <w:rFonts w:ascii="Arial" w:cs="Arial" w:eastAsia="Arial" w:hAnsi="Arial"/>
          <w:sz w:val="18"/>
          <w:szCs w:val="18"/>
          <w:color w:val="auto"/>
        </w:rPr>
        <w:t>Each committee assesses identified risks and informs the Board about the risks as needed. Management also regularly reports on each such risk to the relevant committee or the Board. Moreover, an overall review of risk is inherent in the Board’s consideration of our long-term strategies and in the transactions and other matters presented to the Board, including capital expenditures, acquisitions and divestitures, and financial matters. Additional review or reporting on risks is conducted as needed or as requested by the Board or one of its committees. The Board believes that its role in the oversight of the Company’s risks complements our current Board structure, as our structure allows our independent directors, through our four fully independent Board committees, to exercise effective oversight of the actions of management in identifying risks and implementing effective risk management policies and controls.</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Oversight of Cybersecurity Risks</w:t>
      </w:r>
    </w:p>
    <w:p>
      <w:pPr>
        <w:spacing w:after="0" w:line="152" w:lineRule="exact"/>
        <w:rPr>
          <w:sz w:val="20"/>
          <w:szCs w:val="20"/>
          <w:color w:val="auto"/>
        </w:rPr>
      </w:pPr>
    </w:p>
    <w:p>
      <w:pPr>
        <w:jc w:val="both"/>
        <w:ind w:left="920" w:right="179"/>
        <w:spacing w:after="0" w:line="245" w:lineRule="auto"/>
        <w:rPr>
          <w:sz w:val="20"/>
          <w:szCs w:val="20"/>
          <w:color w:val="auto"/>
        </w:rPr>
      </w:pPr>
      <w:r>
        <w:rPr>
          <w:rFonts w:ascii="Arial" w:cs="Arial" w:eastAsia="Arial" w:hAnsi="Arial"/>
          <w:sz w:val="18"/>
          <w:szCs w:val="18"/>
          <w:color w:val="auto"/>
        </w:rPr>
        <w:t>Our Board has delegated oversight of cybersecurity risk to the Audit Committee and the Audit Committee reports on its activities and findings to the full Board. Key cybersecurity topics are presented regularly to the Audit Committee. In addition, if any cybersecurity incident is determined under our incident response policy to pose a risk in excess of an identified threshold (as set forth in the policy), our Chief Legal Officer will promptly notify the Audit Committee regarding the incident. The notification to the Audit Committee will include management’s determination regarding whether or not the incident is material to us.</w:t>
      </w:r>
    </w:p>
    <w:p>
      <w:pPr>
        <w:spacing w:after="0" w:line="158" w:lineRule="exact"/>
        <w:rPr>
          <w:sz w:val="20"/>
          <w:szCs w:val="20"/>
          <w:color w:val="auto"/>
        </w:rPr>
      </w:pPr>
    </w:p>
    <w:p>
      <w:pPr>
        <w:ind w:left="920" w:right="1899"/>
        <w:spacing w:after="0" w:line="274" w:lineRule="auto"/>
        <w:rPr>
          <w:sz w:val="20"/>
          <w:szCs w:val="20"/>
          <w:color w:val="auto"/>
        </w:rPr>
      </w:pPr>
      <w:r>
        <w:rPr>
          <w:rFonts w:ascii="Arial" w:cs="Arial" w:eastAsia="Arial" w:hAnsi="Arial"/>
          <w:sz w:val="36"/>
          <w:szCs w:val="36"/>
          <w:b w:val="1"/>
          <w:bCs w:val="1"/>
          <w:color w:val="E7417A"/>
        </w:rPr>
        <w:t>Board Composition and Stockholders Agreement</w:t>
      </w:r>
    </w:p>
    <w:p>
      <w:pPr>
        <w:spacing w:after="0" w:line="19" w:lineRule="exact"/>
        <w:rPr>
          <w:sz w:val="20"/>
          <w:szCs w:val="20"/>
          <w:color w:val="auto"/>
        </w:rPr>
      </w:pPr>
    </w:p>
    <w:p>
      <w:pPr>
        <w:jc w:val="both"/>
        <w:ind w:left="920" w:right="119"/>
        <w:spacing w:after="0" w:line="261" w:lineRule="auto"/>
        <w:rPr>
          <w:sz w:val="20"/>
          <w:szCs w:val="20"/>
          <w:color w:val="auto"/>
        </w:rPr>
      </w:pPr>
      <w:r>
        <w:rPr>
          <w:rFonts w:ascii="Arial" w:cs="Arial" w:eastAsia="Arial" w:hAnsi="Arial"/>
          <w:sz w:val="18"/>
          <w:szCs w:val="18"/>
          <w:color w:val="auto"/>
        </w:rPr>
        <w:t>Our Board currently consists of nine directors, one of whom is employed by the Company (Mr. McClelland). As previously noted in this Proxy Statement, the Company is party to the Stockholders Agreement with the JPM Stockholders and Swarth. The Stockholders Agreement provides, among other things, that:</w:t>
      </w:r>
    </w:p>
    <w:p>
      <w:pPr>
        <w:spacing w:after="0" w:line="94" w:lineRule="exact"/>
        <w:rPr>
          <w:sz w:val="20"/>
          <w:szCs w:val="20"/>
          <w:color w:val="auto"/>
        </w:rPr>
      </w:pPr>
    </w:p>
    <w:p>
      <w:pPr>
        <w:ind w:left="1640" w:right="779" w:hanging="356"/>
        <w:spacing w:after="0" w:line="271" w:lineRule="auto"/>
        <w:tabs>
          <w:tab w:leader="none" w:pos="1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Board, including a majority of the independent directors as defined in the Stockholders Agreement, may approve a different number of directors that comprise the Board;</w:t>
      </w:r>
    </w:p>
    <w:p>
      <w:pPr>
        <w:spacing w:after="0" w:line="86" w:lineRule="exact"/>
        <w:rPr>
          <w:rFonts w:ascii="Arial" w:cs="Arial" w:eastAsia="Arial" w:hAnsi="Arial"/>
          <w:sz w:val="18"/>
          <w:szCs w:val="18"/>
          <w:color w:val="auto"/>
        </w:rPr>
      </w:pPr>
    </w:p>
    <w:p>
      <w:pPr>
        <w:ind w:left="1640" w:hanging="356"/>
        <w:spacing w:after="0"/>
        <w:tabs>
          <w:tab w:leader="none" w:pos="1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 respect to the JPM Stockholders:</w:t>
      </w:r>
    </w:p>
    <w:p>
      <w:pPr>
        <w:spacing w:after="0" w:line="144" w:lineRule="exact"/>
        <w:rPr>
          <w:rFonts w:ascii="Arial" w:cs="Arial" w:eastAsia="Arial" w:hAnsi="Arial"/>
          <w:sz w:val="18"/>
          <w:szCs w:val="18"/>
          <w:color w:val="auto"/>
        </w:rPr>
      </w:pPr>
    </w:p>
    <w:p>
      <w:pPr>
        <w:ind w:left="2000" w:right="159" w:hanging="356"/>
        <w:spacing w:after="0" w:line="252" w:lineRule="auto"/>
        <w:tabs>
          <w:tab w:leader="none" w:pos="2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for so long as the JPM Stockholders beneficially own at least 43% of the Company’s common stock beneficially owned by the JPM Stockholders in the aggregate on March 3, 2020, the JPM Stockholders have the right to designate three directors to serve on the Board, at least two of whom must be independent directors as defined in the Stockholders Agreement;</w:t>
      </w:r>
    </w:p>
    <w:p>
      <w:pPr>
        <w:spacing w:after="0" w:line="102" w:lineRule="exact"/>
        <w:rPr>
          <w:rFonts w:ascii="Arial" w:cs="Arial" w:eastAsia="Arial" w:hAnsi="Arial"/>
          <w:sz w:val="18"/>
          <w:szCs w:val="18"/>
          <w:color w:val="auto"/>
        </w:rPr>
      </w:pPr>
    </w:p>
    <w:p>
      <w:pPr>
        <w:ind w:left="2000" w:right="179" w:hanging="356"/>
        <w:spacing w:after="0" w:line="247" w:lineRule="auto"/>
        <w:tabs>
          <w:tab w:leader="none" w:pos="2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from and after the first time that the JPM Stockholders beneficially own less than 43% and at least 29% of the Company’s common stock beneficially owned by the JPM Stockholders in the aggregate on March 3, 2020, the number of directors that the JPM Stockholders have the right to designate will be reduced to two, at least one of whom must be an independent director as defined in the Stockholders Agreement;</w:t>
      </w:r>
    </w:p>
    <w:p>
      <w:pPr>
        <w:spacing w:after="0" w:line="109" w:lineRule="exact"/>
        <w:rPr>
          <w:rFonts w:ascii="Arial" w:cs="Arial" w:eastAsia="Arial" w:hAnsi="Arial"/>
          <w:sz w:val="18"/>
          <w:szCs w:val="18"/>
          <w:color w:val="auto"/>
        </w:rPr>
      </w:pPr>
    </w:p>
    <w:p>
      <w:pPr>
        <w:ind w:left="2000" w:right="179" w:hanging="356"/>
        <w:spacing w:after="0" w:line="247" w:lineRule="auto"/>
        <w:tabs>
          <w:tab w:leader="none" w:pos="2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from and after the first time that the JPM Stockholders beneficially own less than 29% and at least 14% of the Company’s common stock beneficially owned by the JPM Stockholders in the aggregate on March 3, 2020, the number of directors that the JPM Stockholders have the right to designate will be reduced to one, who need not qualify as an independent director as defined in the Stockholders Agreement; and</w:t>
      </w:r>
    </w:p>
    <w:p>
      <w:pPr>
        <w:spacing w:after="0" w:line="109" w:lineRule="exact"/>
        <w:rPr>
          <w:rFonts w:ascii="Arial" w:cs="Arial" w:eastAsia="Arial" w:hAnsi="Arial"/>
          <w:sz w:val="18"/>
          <w:szCs w:val="18"/>
          <w:color w:val="auto"/>
        </w:rPr>
      </w:pPr>
    </w:p>
    <w:p>
      <w:pPr>
        <w:ind w:left="2000" w:right="279" w:hanging="356"/>
        <w:spacing w:after="0" w:line="252" w:lineRule="auto"/>
        <w:tabs>
          <w:tab w:leader="none" w:pos="2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from and after the first time that the JPM Stockholders beneficially own less than 14% of the shares of the Company’s common stock beneficial owned by the JPM Stockholders in the aggregate on March 3, 2020, the JPM Stockholders will have no right to designate any members of the Board;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1640" w:hanging="356"/>
        <w:spacing w:after="0"/>
        <w:tabs>
          <w:tab w:leader="none" w:pos="1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 respect to Swarth:</w:t>
      </w:r>
    </w:p>
    <w:p>
      <w:pPr>
        <w:spacing w:after="0" w:line="144" w:lineRule="exact"/>
        <w:rPr>
          <w:rFonts w:ascii="Arial" w:cs="Arial" w:eastAsia="Arial" w:hAnsi="Arial"/>
          <w:sz w:val="18"/>
          <w:szCs w:val="18"/>
          <w:color w:val="auto"/>
        </w:rPr>
      </w:pPr>
    </w:p>
    <w:p>
      <w:pPr>
        <w:ind w:left="2000" w:right="159" w:hanging="356"/>
        <w:spacing w:after="0" w:line="252" w:lineRule="auto"/>
        <w:tabs>
          <w:tab w:leader="none" w:pos="2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for so long as Swarth beneficially owns at least 88% of the shares of the Company’s common stock beneficially owned by Swarth in the aggregate on March 3, 2020, Swarth has the right to designate three directors to serve on the Board, of which at least two must be independent directors as defined in the Stockholders Agreement;</w:t>
      </w:r>
    </w:p>
    <w:p>
      <w:pPr>
        <w:spacing w:after="0" w:line="102" w:lineRule="exact"/>
        <w:rPr>
          <w:rFonts w:ascii="Arial" w:cs="Arial" w:eastAsia="Arial" w:hAnsi="Arial"/>
          <w:sz w:val="18"/>
          <w:szCs w:val="18"/>
          <w:color w:val="auto"/>
        </w:rPr>
      </w:pPr>
    </w:p>
    <w:p>
      <w:pPr>
        <w:ind w:left="2000" w:right="119" w:hanging="356"/>
        <w:spacing w:after="0" w:line="247" w:lineRule="auto"/>
        <w:tabs>
          <w:tab w:leader="none" w:pos="2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from and after the first time that Swarth beneficially owns less than 88% and at least 58% of the shares of the Company’s common stock beneficially owned by Swarth in the aggregate on March 3, 2020, the number of directors that Swarth has the right to nominate will be reduced to two Board members, of which at least one must be an independent director as defined in the Stockholders Agreement;</w:t>
      </w:r>
    </w:p>
    <w:p>
      <w:pPr>
        <w:spacing w:after="0" w:line="109" w:lineRule="exact"/>
        <w:rPr>
          <w:rFonts w:ascii="Arial" w:cs="Arial" w:eastAsia="Arial" w:hAnsi="Arial"/>
          <w:sz w:val="18"/>
          <w:szCs w:val="18"/>
          <w:color w:val="auto"/>
        </w:rPr>
      </w:pPr>
    </w:p>
    <w:p>
      <w:pPr>
        <w:ind w:left="2000" w:right="119" w:hanging="356"/>
        <w:spacing w:after="0" w:line="251" w:lineRule="auto"/>
        <w:tabs>
          <w:tab w:leader="none" w:pos="2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from and after the first time that Swarth beneficially owns less than 58% and at least 29% of the shares of the Company’s common stock beneficially owned by Swarth in the aggregate on March 3, 2020, the number of directors that Swarth has the right to nominate will be reduced to one Board member, who needs not qualify as an independent director as defined in the Stockholders Agreement; and</w:t>
      </w:r>
    </w:p>
    <w:p>
      <w:pPr>
        <w:spacing w:after="0" w:line="105" w:lineRule="exact"/>
        <w:rPr>
          <w:rFonts w:ascii="Arial" w:cs="Arial" w:eastAsia="Arial" w:hAnsi="Arial"/>
          <w:sz w:val="18"/>
          <w:szCs w:val="18"/>
          <w:color w:val="auto"/>
        </w:rPr>
      </w:pPr>
    </w:p>
    <w:p>
      <w:pPr>
        <w:ind w:left="2000" w:right="279" w:hanging="356"/>
        <w:spacing w:after="0" w:line="253" w:lineRule="auto"/>
        <w:tabs>
          <w:tab w:leader="none" w:pos="2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from and after the first time that Swarth beneficially owns less than 29% of the shares of Company’s common stock beneficially owned by Swarth in the aggregate on March 3, 2020, Swarth will have no right to nominate any members of the Board.</w:t>
      </w:r>
    </w:p>
    <w:p>
      <w:pPr>
        <w:spacing w:after="0" w:line="101" w:lineRule="exact"/>
        <w:rPr>
          <w:sz w:val="20"/>
          <w:szCs w:val="20"/>
          <w:color w:val="auto"/>
        </w:rPr>
      </w:pPr>
    </w:p>
    <w:p>
      <w:pPr>
        <w:ind w:left="920" w:right="259"/>
        <w:spacing w:after="0" w:line="261" w:lineRule="auto"/>
        <w:rPr>
          <w:sz w:val="20"/>
          <w:szCs w:val="20"/>
          <w:color w:val="auto"/>
        </w:rPr>
      </w:pPr>
      <w:r>
        <w:rPr>
          <w:rFonts w:ascii="Arial" w:cs="Arial" w:eastAsia="Arial" w:hAnsi="Arial"/>
          <w:sz w:val="18"/>
          <w:szCs w:val="18"/>
          <w:color w:val="auto"/>
        </w:rPr>
        <w:t>The Stockholders Agreement further provides that the Nominating and Corporate Governance Committee will designate the Company’s then-serving CEO as a director, as well as such additional number of directors as constitutes the full Board so that the Board has no vacancies.</w:t>
      </w:r>
    </w:p>
    <w:p>
      <w:pPr>
        <w:spacing w:after="0" w:line="94" w:lineRule="exact"/>
        <w:rPr>
          <w:sz w:val="20"/>
          <w:szCs w:val="20"/>
          <w:color w:val="auto"/>
        </w:rPr>
      </w:pPr>
    </w:p>
    <w:p>
      <w:pPr>
        <w:ind w:left="920" w:right="359"/>
        <w:spacing w:after="0" w:line="253" w:lineRule="auto"/>
        <w:rPr>
          <w:sz w:val="20"/>
          <w:szCs w:val="20"/>
          <w:color w:val="auto"/>
        </w:rPr>
      </w:pPr>
      <w:r>
        <w:rPr>
          <w:rFonts w:ascii="Arial" w:cs="Arial" w:eastAsia="Arial" w:hAnsi="Arial"/>
          <w:sz w:val="18"/>
          <w:szCs w:val="18"/>
          <w:color w:val="auto"/>
        </w:rPr>
        <w:t>In the event any director designated by the JPM Stockholders or Swarth is unable to serve, the JPM Stockholders are and/or Swarth is, as applicable, entitled to designate a replacement director, subject to the conditions set forth in the Stockholders Agreement.</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Director Experience and Tenure</w:t>
      </w:r>
    </w:p>
    <w:p>
      <w:pPr>
        <w:spacing w:after="0" w:line="158" w:lineRule="exact"/>
        <w:rPr>
          <w:sz w:val="20"/>
          <w:szCs w:val="20"/>
          <w:color w:val="auto"/>
        </w:rPr>
      </w:pPr>
    </w:p>
    <w:p>
      <w:pPr>
        <w:ind w:left="920" w:right="179"/>
        <w:spacing w:after="0" w:line="252" w:lineRule="auto"/>
        <w:rPr>
          <w:sz w:val="20"/>
          <w:szCs w:val="20"/>
          <w:color w:val="auto"/>
        </w:rPr>
      </w:pPr>
      <w:r>
        <w:rPr>
          <w:rFonts w:ascii="Arial" w:cs="Arial" w:eastAsia="Arial" w:hAnsi="Arial"/>
          <w:sz w:val="18"/>
          <w:szCs w:val="18"/>
          <w:color w:val="auto"/>
        </w:rPr>
        <w:t>Our directors collectively possess a broad mix of skills, qualifications and proven leadership abilities. The Nominating, Sustainability and Corporate Governance Committee practices a long-term approach to board refreshment. The Nominating, Sustainability and Corporate Governance Committee regularly identifies individuals who would complement and enhance the current directors’ skills and experience.</w:t>
      </w:r>
    </w:p>
    <w:p>
      <w:pPr>
        <w:spacing w:after="0" w:line="103" w:lineRule="exact"/>
        <w:rPr>
          <w:sz w:val="20"/>
          <w:szCs w:val="20"/>
          <w:color w:val="auto"/>
        </w:rPr>
      </w:pPr>
    </w:p>
    <w:p>
      <w:pPr>
        <w:ind w:left="920" w:right="119"/>
        <w:spacing w:after="0" w:line="243" w:lineRule="auto"/>
        <w:rPr>
          <w:sz w:val="20"/>
          <w:szCs w:val="20"/>
          <w:color w:val="auto"/>
        </w:rPr>
      </w:pPr>
      <w:r>
        <w:rPr>
          <w:rFonts w:ascii="Arial" w:cs="Arial" w:eastAsia="Arial" w:hAnsi="Arial"/>
          <w:sz w:val="18"/>
          <w:szCs w:val="18"/>
          <w:color w:val="auto"/>
        </w:rPr>
        <w:t>It is of great importance to the Company that the Nominating, Sustainability and Corporate Governance Committee recruit directors who help achieve the goal of an experienced, diverse Board that functions effectively as a group. The Nominating, Sustainability and Corporate Governance Committee expects each of the Company’s directors to have proven leadership skills, sound judgment, integrity, and a commitment to the success of the Company. In evaluating director candidates and considering incumbent directors for nomination to the Board, the Nominating, Sustainability and Corporate Governance Committee considers a variety of factors, including independence, financial literacy, personal and professional accomplishments, and experience in light of the needs of the Company. For incumbent directors, the factors also include attendance, past performance on the Board and contributions to the Board and its respective committees.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1" w:lineRule="exact"/>
        <w:rPr>
          <w:sz w:val="20"/>
          <w:szCs w:val="20"/>
          <w:color w:val="auto"/>
        </w:rPr>
      </w:pPr>
    </w:p>
    <w:p>
      <w:pPr>
        <w:ind w:left="4400"/>
        <w:spacing w:after="0"/>
        <w:rPr>
          <w:sz w:val="20"/>
          <w:szCs w:val="20"/>
          <w:color w:val="auto"/>
        </w:rPr>
      </w:pPr>
      <w:r>
        <w:rPr>
          <w:rFonts w:ascii="Arial" w:cs="Arial" w:eastAsia="Arial" w:hAnsi="Arial"/>
          <w:sz w:val="20"/>
          <w:szCs w:val="20"/>
          <w:color w:val="E7417A"/>
        </w:rPr>
        <w:t>BOARD EXPERTISE</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594"/>
        </w:trPr>
        <w:tc>
          <w:tcPr>
            <w:tcW w:w="80" w:type="dxa"/>
            <w:vAlign w:val="bottom"/>
          </w:tcPr>
          <w:p>
            <w:pPr>
              <w:spacing w:after="0"/>
              <w:rPr>
                <w:sz w:val="20"/>
                <w:szCs w:val="20"/>
                <w:color w:val="auto"/>
              </w:rPr>
            </w:pPr>
            <w:r>
              <w:rPr>
                <w:rFonts w:ascii="Arial" w:cs="Arial" w:eastAsia="Arial" w:hAnsi="Arial"/>
                <w:sz w:val="14"/>
                <w:szCs w:val="14"/>
                <w:b w:val="1"/>
                <w:bCs w:val="1"/>
                <w:color w:val="FEFEFE"/>
              </w:rPr>
              <w:t>​</w:t>
            </w:r>
          </w:p>
        </w:tc>
        <w:tc>
          <w:tcPr>
            <w:tcW w:w="1100" w:type="dxa"/>
            <w:vAlign w:val="bottom"/>
          </w:tcPr>
          <w:p>
            <w:pPr>
              <w:ind w:left="500"/>
              <w:spacing w:after="0"/>
              <w:rPr>
                <w:sz w:val="20"/>
                <w:szCs w:val="20"/>
                <w:color w:val="auto"/>
              </w:rPr>
            </w:pPr>
            <w:r>
              <w:rPr>
                <w:rFonts w:ascii="Arial" w:cs="Arial" w:eastAsia="Arial" w:hAnsi="Arial"/>
                <w:sz w:val="14"/>
                <w:szCs w:val="14"/>
                <w:b w:val="1"/>
                <w:bCs w:val="1"/>
                <w:color w:val="FEFEFE"/>
              </w:rPr>
              <w:t>​</w:t>
            </w:r>
          </w:p>
        </w:tc>
        <w:tc>
          <w:tcPr>
            <w:tcW w:w="560" w:type="dxa"/>
            <w:vAlign w:val="bottom"/>
          </w:tcPr>
          <w:p>
            <w:pPr>
              <w:spacing w:after="0"/>
              <w:rPr>
                <w:sz w:val="20"/>
                <w:szCs w:val="20"/>
                <w:color w:val="auto"/>
              </w:rPr>
            </w:pPr>
            <w:r>
              <w:rPr>
                <w:rFonts w:ascii="Arial" w:cs="Arial" w:eastAsia="Arial" w:hAnsi="Arial"/>
                <w:sz w:val="14"/>
                <w:szCs w:val="14"/>
                <w:b w:val="1"/>
                <w:bCs w:val="1"/>
                <w:color w:val="FEFEFE"/>
              </w:rPr>
              <w:t>​</w:t>
            </w:r>
          </w:p>
        </w:tc>
        <w:tc>
          <w:tcPr>
            <w:tcW w:w="100" w:type="dxa"/>
            <w:vAlign w:val="bottom"/>
            <w:gridSpan w:val="2"/>
          </w:tcPr>
          <w:p>
            <w:pPr>
              <w:ind w:left="40"/>
              <w:spacing w:after="0"/>
              <w:rPr>
                <w:sz w:val="20"/>
                <w:szCs w:val="20"/>
                <w:color w:val="auto"/>
              </w:rPr>
            </w:pPr>
            <w:r>
              <w:rPr>
                <w:rFonts w:ascii="Arial" w:cs="Arial" w:eastAsia="Arial" w:hAnsi="Arial"/>
                <w:sz w:val="14"/>
                <w:szCs w:val="14"/>
                <w:b w:val="1"/>
                <w:bCs w:val="1"/>
                <w:color w:val="FEFEFE"/>
              </w:rPr>
              <w:t>​</w:t>
            </w:r>
          </w:p>
        </w:tc>
        <w:tc>
          <w:tcPr>
            <w:tcW w:w="200" w:type="dxa"/>
            <w:vAlign w:val="bottom"/>
            <w:shd w:val="clear" w:color="auto" w:fill="F2F2F2"/>
          </w:tcPr>
          <w:p>
            <w:pPr>
              <w:ind w:left="40"/>
              <w:spacing w:after="0"/>
              <w:rPr>
                <w:sz w:val="20"/>
                <w:szCs w:val="20"/>
                <w:color w:val="auto"/>
              </w:rPr>
            </w:pPr>
            <w:r>
              <w:rPr>
                <w:rFonts w:ascii="Arial" w:cs="Arial" w:eastAsia="Arial" w:hAnsi="Arial"/>
                <w:sz w:val="14"/>
                <w:szCs w:val="14"/>
                <w:b w:val="1"/>
                <w:bCs w:val="1"/>
                <w:color w:val="FEFEFE"/>
              </w:rPr>
              <w:t>​</w:t>
            </w:r>
          </w:p>
        </w:tc>
        <w:tc>
          <w:tcPr>
            <w:tcW w:w="280" w:type="dxa"/>
            <w:vAlign w:val="bottom"/>
            <w:shd w:val="clear" w:color="auto" w:fill="F2F2F2"/>
          </w:tcPr>
          <w:p>
            <w:pPr>
              <w:spacing w:after="0"/>
              <w:rPr>
                <w:sz w:val="24"/>
                <w:szCs w:val="24"/>
                <w:color w:val="auto"/>
              </w:rPr>
            </w:pPr>
          </w:p>
        </w:tc>
        <w:tc>
          <w:tcPr>
            <w:tcW w:w="420" w:type="dxa"/>
            <w:vAlign w:val="bottom"/>
            <w:gridSpan w:val="3"/>
            <w:shd w:val="clear" w:color="auto" w:fill="F2F2F2"/>
          </w:tcPr>
          <w:p>
            <w:pPr>
              <w:ind w:left="120"/>
              <w:spacing w:after="0"/>
              <w:rPr>
                <w:sz w:val="20"/>
                <w:szCs w:val="20"/>
                <w:color w:val="auto"/>
              </w:rPr>
            </w:pPr>
            <w:r>
              <w:rPr>
                <w:rFonts w:ascii="Arial" w:cs="Arial" w:eastAsia="Arial" w:hAnsi="Arial"/>
                <w:sz w:val="14"/>
                <w:szCs w:val="14"/>
                <w:b w:val="1"/>
                <w:bCs w:val="1"/>
                <w:color w:val="FEFEFE"/>
              </w:rPr>
              <w:t>​ ​</w:t>
            </w:r>
          </w:p>
        </w:tc>
        <w:tc>
          <w:tcPr>
            <w:tcW w:w="340" w:type="dxa"/>
            <w:vAlign w:val="bottom"/>
            <w:shd w:val="clear" w:color="auto" w:fill="F2F2F2"/>
          </w:tcPr>
          <w:p>
            <w:pPr>
              <w:spacing w:after="0"/>
              <w:rPr>
                <w:sz w:val="24"/>
                <w:szCs w:val="24"/>
                <w:color w:val="auto"/>
              </w:rPr>
            </w:pPr>
          </w:p>
        </w:tc>
        <w:tc>
          <w:tcPr>
            <w:tcW w:w="580" w:type="dxa"/>
            <w:vAlign w:val="bottom"/>
            <w:gridSpan w:val="3"/>
            <w:shd w:val="clear" w:color="auto" w:fill="F2F2F2"/>
          </w:tcPr>
          <w:p>
            <w:pPr>
              <w:ind w:left="160"/>
              <w:spacing w:after="0"/>
              <w:rPr>
                <w:sz w:val="20"/>
                <w:szCs w:val="20"/>
                <w:color w:val="auto"/>
              </w:rPr>
            </w:pPr>
            <w:r>
              <w:rPr>
                <w:rFonts w:ascii="Arial" w:cs="Arial" w:eastAsia="Arial" w:hAnsi="Arial"/>
                <w:sz w:val="14"/>
                <w:szCs w:val="14"/>
                <w:b w:val="1"/>
                <w:bCs w:val="1"/>
                <w:color w:val="FEFEFE"/>
              </w:rPr>
              <w:t>​ ​</w:t>
            </w:r>
          </w:p>
        </w:tc>
        <w:tc>
          <w:tcPr>
            <w:tcW w:w="480" w:type="dxa"/>
            <w:vAlign w:val="bottom"/>
            <w:gridSpan w:val="3"/>
            <w:shd w:val="clear" w:color="auto" w:fill="F2F2F2"/>
          </w:tcPr>
          <w:p>
            <w:pPr>
              <w:jc w:val="right"/>
              <w:spacing w:after="0"/>
              <w:rPr>
                <w:sz w:val="20"/>
                <w:szCs w:val="20"/>
                <w:color w:val="auto"/>
              </w:rPr>
            </w:pPr>
            <w:r>
              <w:rPr>
                <w:rFonts w:ascii="Arial" w:cs="Arial" w:eastAsia="Arial" w:hAnsi="Arial"/>
                <w:sz w:val="14"/>
                <w:szCs w:val="14"/>
                <w:b w:val="1"/>
                <w:bCs w:val="1"/>
                <w:color w:val="FEFEFE"/>
              </w:rPr>
              <w:t>​ ​</w:t>
            </w:r>
          </w:p>
        </w:tc>
        <w:tc>
          <w:tcPr>
            <w:tcW w:w="420" w:type="dxa"/>
            <w:vAlign w:val="bottom"/>
            <w:shd w:val="clear" w:color="auto" w:fill="F2F2F2"/>
          </w:tcPr>
          <w:p>
            <w:pPr>
              <w:spacing w:after="0"/>
              <w:rPr>
                <w:sz w:val="24"/>
                <w:szCs w:val="24"/>
                <w:color w:val="auto"/>
              </w:rPr>
            </w:pPr>
          </w:p>
        </w:tc>
        <w:tc>
          <w:tcPr>
            <w:tcW w:w="400" w:type="dxa"/>
            <w:vAlign w:val="bottom"/>
            <w:gridSpan w:val="3"/>
            <w:shd w:val="clear" w:color="auto" w:fill="F2F2F2"/>
          </w:tcPr>
          <w:p>
            <w:pPr>
              <w:ind w:left="60"/>
              <w:spacing w:after="0"/>
              <w:rPr>
                <w:sz w:val="20"/>
                <w:szCs w:val="20"/>
                <w:color w:val="auto"/>
              </w:rPr>
            </w:pPr>
            <w:r>
              <w:rPr>
                <w:rFonts w:ascii="Arial" w:cs="Arial" w:eastAsia="Arial" w:hAnsi="Arial"/>
                <w:sz w:val="14"/>
                <w:szCs w:val="14"/>
                <w:b w:val="1"/>
                <w:bCs w:val="1"/>
                <w:color w:val="FEFEFE"/>
              </w:rPr>
              <w:t>​ ​</w:t>
            </w:r>
          </w:p>
        </w:tc>
        <w:tc>
          <w:tcPr>
            <w:tcW w:w="460" w:type="dxa"/>
            <w:vAlign w:val="bottom"/>
            <w:shd w:val="clear" w:color="auto" w:fill="F2F2F2"/>
          </w:tcPr>
          <w:p>
            <w:pPr>
              <w:spacing w:after="0"/>
              <w:rPr>
                <w:sz w:val="24"/>
                <w:szCs w:val="24"/>
                <w:color w:val="auto"/>
              </w:rPr>
            </w:pPr>
          </w:p>
        </w:tc>
        <w:tc>
          <w:tcPr>
            <w:tcW w:w="460" w:type="dxa"/>
            <w:vAlign w:val="bottom"/>
            <w:gridSpan w:val="3"/>
            <w:shd w:val="clear" w:color="auto" w:fill="F2F2F2"/>
          </w:tcPr>
          <w:p>
            <w:pPr>
              <w:ind w:left="200"/>
              <w:spacing w:after="0"/>
              <w:rPr>
                <w:sz w:val="20"/>
                <w:szCs w:val="20"/>
                <w:color w:val="auto"/>
              </w:rPr>
            </w:pPr>
            <w:r>
              <w:rPr>
                <w:rFonts w:ascii="Arial" w:cs="Arial" w:eastAsia="Arial" w:hAnsi="Arial"/>
                <w:sz w:val="14"/>
                <w:szCs w:val="14"/>
                <w:b w:val="1"/>
                <w:bCs w:val="1"/>
                <w:color w:val="FEFEFE"/>
              </w:rPr>
              <w:t>​ ​</w:t>
            </w:r>
          </w:p>
        </w:tc>
        <w:tc>
          <w:tcPr>
            <w:tcW w:w="380" w:type="dxa"/>
            <w:vAlign w:val="bottom"/>
            <w:shd w:val="clear" w:color="auto" w:fill="F2F2F2"/>
          </w:tcPr>
          <w:p>
            <w:pPr>
              <w:spacing w:after="0"/>
              <w:rPr>
                <w:sz w:val="24"/>
                <w:szCs w:val="24"/>
                <w:color w:val="auto"/>
              </w:rPr>
            </w:pPr>
          </w:p>
        </w:tc>
        <w:tc>
          <w:tcPr>
            <w:tcW w:w="320" w:type="dxa"/>
            <w:vAlign w:val="bottom"/>
            <w:gridSpan w:val="3"/>
            <w:shd w:val="clear" w:color="auto" w:fill="F2F2F2"/>
          </w:tcPr>
          <w:p>
            <w:pPr>
              <w:ind w:left="40"/>
              <w:spacing w:after="0"/>
              <w:rPr>
                <w:sz w:val="20"/>
                <w:szCs w:val="20"/>
                <w:color w:val="auto"/>
              </w:rPr>
            </w:pPr>
            <w:r>
              <w:rPr>
                <w:rFonts w:ascii="Arial" w:cs="Arial" w:eastAsia="Arial" w:hAnsi="Arial"/>
                <w:sz w:val="14"/>
                <w:szCs w:val="14"/>
                <w:b w:val="1"/>
                <w:bCs w:val="1"/>
                <w:color w:val="FEFEFE"/>
              </w:rPr>
              <w:t>​ ​</w:t>
            </w:r>
          </w:p>
        </w:tc>
        <w:tc>
          <w:tcPr>
            <w:tcW w:w="380" w:type="dxa"/>
            <w:vAlign w:val="bottom"/>
            <w:shd w:val="clear" w:color="auto" w:fill="F2F2F2"/>
          </w:tcPr>
          <w:p>
            <w:pPr>
              <w:spacing w:after="0"/>
              <w:rPr>
                <w:sz w:val="24"/>
                <w:szCs w:val="24"/>
                <w:color w:val="auto"/>
              </w:rPr>
            </w:pPr>
          </w:p>
        </w:tc>
        <w:tc>
          <w:tcPr>
            <w:tcW w:w="320" w:type="dxa"/>
            <w:vAlign w:val="bottom"/>
            <w:gridSpan w:val="3"/>
            <w:shd w:val="clear" w:color="auto" w:fill="F2F2F2"/>
          </w:tcPr>
          <w:p>
            <w:pPr>
              <w:ind w:left="40"/>
              <w:spacing w:after="0"/>
              <w:rPr>
                <w:sz w:val="20"/>
                <w:szCs w:val="20"/>
                <w:color w:val="auto"/>
              </w:rPr>
            </w:pPr>
            <w:r>
              <w:rPr>
                <w:rFonts w:ascii="Arial" w:cs="Arial" w:eastAsia="Arial" w:hAnsi="Arial"/>
                <w:sz w:val="14"/>
                <w:szCs w:val="14"/>
                <w:b w:val="1"/>
                <w:bCs w:val="1"/>
                <w:color w:val="FEFEFE"/>
              </w:rPr>
              <w:t>​ ​</w:t>
            </w:r>
          </w:p>
        </w:tc>
        <w:tc>
          <w:tcPr>
            <w:tcW w:w="380" w:type="dxa"/>
            <w:vAlign w:val="bottom"/>
            <w:shd w:val="clear" w:color="auto" w:fill="F2F2F2"/>
          </w:tcPr>
          <w:p>
            <w:pPr>
              <w:spacing w:after="0"/>
              <w:rPr>
                <w:sz w:val="24"/>
                <w:szCs w:val="24"/>
                <w:color w:val="auto"/>
              </w:rPr>
            </w:pPr>
          </w:p>
        </w:tc>
        <w:tc>
          <w:tcPr>
            <w:tcW w:w="340" w:type="dxa"/>
            <w:vAlign w:val="bottom"/>
            <w:gridSpan w:val="3"/>
            <w:shd w:val="clear" w:color="auto" w:fill="F2F2F2"/>
          </w:tcPr>
          <w:p>
            <w:pPr>
              <w:ind w:left="40"/>
              <w:spacing w:after="0"/>
              <w:rPr>
                <w:sz w:val="20"/>
                <w:szCs w:val="20"/>
                <w:color w:val="auto"/>
              </w:rPr>
            </w:pPr>
            <w:r>
              <w:rPr>
                <w:rFonts w:ascii="Arial" w:cs="Arial" w:eastAsia="Arial" w:hAnsi="Arial"/>
                <w:sz w:val="14"/>
                <w:szCs w:val="14"/>
                <w:b w:val="1"/>
                <w:bCs w:val="1"/>
                <w:color w:val="FEFEFE"/>
              </w:rPr>
              <w:t>​ ​</w:t>
            </w:r>
          </w:p>
        </w:tc>
        <w:tc>
          <w:tcPr>
            <w:tcW w:w="340" w:type="dxa"/>
            <w:vAlign w:val="bottom"/>
            <w:shd w:val="clear" w:color="auto" w:fill="F2F2F2"/>
          </w:tcPr>
          <w:p>
            <w:pPr>
              <w:spacing w:after="0"/>
              <w:rPr>
                <w:sz w:val="24"/>
                <w:szCs w:val="24"/>
                <w:color w:val="auto"/>
              </w:rPr>
            </w:pPr>
          </w:p>
        </w:tc>
        <w:tc>
          <w:tcPr>
            <w:tcW w:w="200" w:type="dxa"/>
            <w:vAlign w:val="bottom"/>
            <w:tcBorders>
              <w:right w:val="single" w:sz="8" w:color="F2F2F2"/>
            </w:tcBorders>
            <w:shd w:val="clear" w:color="auto" w:fill="F2F2F2"/>
          </w:tcPr>
          <w:p>
            <w:pPr>
              <w:ind w:left="140"/>
              <w:spacing w:after="0"/>
              <w:rPr>
                <w:sz w:val="20"/>
                <w:szCs w:val="20"/>
                <w:color w:val="auto"/>
              </w:rPr>
            </w:pPr>
            <w:r>
              <w:rPr>
                <w:rFonts w:ascii="Arial" w:cs="Arial" w:eastAsia="Arial" w:hAnsi="Arial"/>
                <w:sz w:val="14"/>
                <w:szCs w:val="14"/>
                <w:b w:val="1"/>
                <w:bCs w:val="1"/>
                <w:color w:val="FEFEFE"/>
              </w:rPr>
              <w:t>​</w:t>
            </w:r>
          </w:p>
        </w:tc>
        <w:tc>
          <w:tcPr>
            <w:tcW w:w="320" w:type="dxa"/>
            <w:vAlign w:val="bottom"/>
            <w:gridSpan w:val="3"/>
          </w:tcPr>
          <w:p>
            <w:pPr>
              <w:jc w:val="right"/>
              <w:spacing w:after="0"/>
              <w:rPr>
                <w:sz w:val="20"/>
                <w:szCs w:val="20"/>
                <w:color w:val="auto"/>
              </w:rPr>
            </w:pPr>
            <w:r>
              <w:rPr>
                <w:rFonts w:ascii="Arial" w:cs="Arial" w:eastAsia="Arial" w:hAnsi="Arial"/>
                <w:sz w:val="14"/>
                <w:szCs w:val="14"/>
                <w:b w:val="1"/>
                <w:bCs w:val="1"/>
                <w:color w:val="FEFEFE"/>
              </w:rPr>
              <w:t>​ ​ ​</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1100" w:type="dxa"/>
            <w:vAlign w:val="bottom"/>
          </w:tcPr>
          <w:p>
            <w:pPr>
              <w:ind w:left="40"/>
              <w:spacing w:after="0"/>
              <w:rPr>
                <w:sz w:val="20"/>
                <w:szCs w:val="20"/>
                <w:color w:val="auto"/>
              </w:rPr>
            </w:pPr>
            <w:r>
              <w:rPr>
                <w:rFonts w:ascii="Arial" w:cs="Arial" w:eastAsia="Arial" w:hAnsi="Arial"/>
                <w:sz w:val="14"/>
                <w:szCs w:val="14"/>
                <w:b w:val="1"/>
                <w:bCs w:val="1"/>
                <w:color w:val="FEFEFE"/>
              </w:rPr>
              <w:t>Director Skills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shd w:val="clear" w:color="auto" w:fill="62259D"/>
          </w:tcPr>
          <w:p>
            <w:pPr>
              <w:spacing w:after="0"/>
              <w:rPr>
                <w:sz w:val="20"/>
                <w:szCs w:val="20"/>
                <w:color w:val="auto"/>
              </w:rPr>
            </w:pPr>
          </w:p>
        </w:tc>
        <w:tc>
          <w:tcPr>
            <w:tcW w:w="280" w:type="dxa"/>
            <w:vAlign w:val="bottom"/>
            <w:shd w:val="clear" w:color="auto" w:fill="62259D"/>
          </w:tcPr>
          <w:p>
            <w:pPr>
              <w:spacing w:after="0"/>
              <w:rPr>
                <w:sz w:val="20"/>
                <w:szCs w:val="20"/>
                <w:color w:val="auto"/>
              </w:rPr>
            </w:pPr>
          </w:p>
        </w:tc>
        <w:tc>
          <w:tcPr>
            <w:tcW w:w="160" w:type="dxa"/>
            <w:vAlign w:val="bottom"/>
            <w:shd w:val="clear" w:color="auto" w:fill="62259D"/>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40" w:type="dxa"/>
            <w:vAlign w:val="bottom"/>
            <w:shd w:val="clear" w:color="auto" w:fill="62259D"/>
          </w:tcPr>
          <w:p>
            <w:pPr>
              <w:spacing w:after="0"/>
              <w:rPr>
                <w:sz w:val="20"/>
                <w:szCs w:val="20"/>
                <w:color w:val="auto"/>
              </w:rPr>
            </w:pPr>
          </w:p>
        </w:tc>
        <w:tc>
          <w:tcPr>
            <w:tcW w:w="340" w:type="dxa"/>
            <w:vAlign w:val="bottom"/>
            <w:shd w:val="clear" w:color="auto" w:fill="62259D"/>
          </w:tcPr>
          <w:p>
            <w:pPr>
              <w:spacing w:after="0"/>
              <w:rPr>
                <w:sz w:val="20"/>
                <w:szCs w:val="20"/>
                <w:color w:val="auto"/>
              </w:rPr>
            </w:pPr>
          </w:p>
        </w:tc>
        <w:tc>
          <w:tcPr>
            <w:tcW w:w="180" w:type="dxa"/>
            <w:vAlign w:val="bottom"/>
            <w:shd w:val="clear" w:color="auto" w:fill="62259D"/>
          </w:tcPr>
          <w:p>
            <w:pPr>
              <w:spacing w:after="0"/>
              <w:rPr>
                <w:sz w:val="20"/>
                <w:szCs w:val="20"/>
                <w:color w:val="auto"/>
              </w:rPr>
            </w:pPr>
          </w:p>
        </w:tc>
        <w:tc>
          <w:tcPr>
            <w:tcW w:w="40" w:type="dxa"/>
            <w:vAlign w:val="bottom"/>
            <w:shd w:val="clear" w:color="auto" w:fill="FEFEFE"/>
          </w:tcPr>
          <w:p>
            <w:pPr>
              <w:spacing w:after="0"/>
              <w:rPr>
                <w:sz w:val="20"/>
                <w:szCs w:val="20"/>
                <w:color w:val="auto"/>
              </w:rPr>
            </w:pPr>
          </w:p>
        </w:tc>
        <w:tc>
          <w:tcPr>
            <w:tcW w:w="360" w:type="dxa"/>
            <w:vAlign w:val="bottom"/>
            <w:shd w:val="clear" w:color="auto" w:fill="62259D"/>
          </w:tcPr>
          <w:p>
            <w:pPr>
              <w:spacing w:after="0"/>
              <w:rPr>
                <w:sz w:val="20"/>
                <w:szCs w:val="20"/>
                <w:color w:val="auto"/>
              </w:rPr>
            </w:pPr>
          </w:p>
        </w:tc>
        <w:tc>
          <w:tcPr>
            <w:tcW w:w="320" w:type="dxa"/>
            <w:vAlign w:val="bottom"/>
            <w:shd w:val="clear" w:color="auto" w:fill="62259D"/>
          </w:tcPr>
          <w:p>
            <w:pPr>
              <w:spacing w:after="0"/>
              <w:rPr>
                <w:sz w:val="20"/>
                <w:szCs w:val="20"/>
                <w:color w:val="auto"/>
              </w:rPr>
            </w:pPr>
          </w:p>
        </w:tc>
        <w:tc>
          <w:tcPr>
            <w:tcW w:w="40" w:type="dxa"/>
            <w:vAlign w:val="bottom"/>
            <w:shd w:val="clear" w:color="auto" w:fill="FEFEFE"/>
          </w:tcPr>
          <w:p>
            <w:pPr>
              <w:spacing w:after="0"/>
              <w:rPr>
                <w:sz w:val="20"/>
                <w:szCs w:val="20"/>
                <w:color w:val="auto"/>
              </w:rPr>
            </w:pPr>
          </w:p>
        </w:tc>
        <w:tc>
          <w:tcPr>
            <w:tcW w:w="120" w:type="dxa"/>
            <w:vAlign w:val="bottom"/>
            <w:shd w:val="clear" w:color="auto" w:fill="62259D"/>
          </w:tcPr>
          <w:p>
            <w:pPr>
              <w:spacing w:after="0"/>
              <w:rPr>
                <w:sz w:val="20"/>
                <w:szCs w:val="20"/>
                <w:color w:val="auto"/>
              </w:rPr>
            </w:pPr>
          </w:p>
        </w:tc>
        <w:tc>
          <w:tcPr>
            <w:tcW w:w="420" w:type="dxa"/>
            <w:vAlign w:val="bottom"/>
            <w:shd w:val="clear" w:color="auto" w:fill="62259D"/>
          </w:tcPr>
          <w:p>
            <w:pPr>
              <w:spacing w:after="0"/>
              <w:rPr>
                <w:sz w:val="20"/>
                <w:szCs w:val="20"/>
                <w:color w:val="auto"/>
              </w:rPr>
            </w:pPr>
          </w:p>
        </w:tc>
        <w:tc>
          <w:tcPr>
            <w:tcW w:w="100" w:type="dxa"/>
            <w:vAlign w:val="bottom"/>
            <w:shd w:val="clear" w:color="auto" w:fill="62259D"/>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80" w:type="dxa"/>
            <w:vAlign w:val="bottom"/>
            <w:shd w:val="clear" w:color="auto" w:fill="62259D"/>
          </w:tcPr>
          <w:p>
            <w:pPr>
              <w:spacing w:after="0"/>
              <w:rPr>
                <w:sz w:val="20"/>
                <w:szCs w:val="20"/>
                <w:color w:val="auto"/>
              </w:rPr>
            </w:pPr>
          </w:p>
        </w:tc>
        <w:tc>
          <w:tcPr>
            <w:tcW w:w="460" w:type="dxa"/>
            <w:vAlign w:val="bottom"/>
            <w:shd w:val="clear" w:color="auto" w:fill="62259D"/>
          </w:tcPr>
          <w:p>
            <w:pPr>
              <w:spacing w:after="0"/>
              <w:rPr>
                <w:sz w:val="20"/>
                <w:szCs w:val="20"/>
                <w:color w:val="auto"/>
              </w:rPr>
            </w:pPr>
          </w:p>
        </w:tc>
        <w:tc>
          <w:tcPr>
            <w:tcW w:w="240" w:type="dxa"/>
            <w:vAlign w:val="bottom"/>
            <w:shd w:val="clear" w:color="auto" w:fill="62259D"/>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00" w:type="dxa"/>
            <w:vAlign w:val="bottom"/>
            <w:shd w:val="clear" w:color="auto" w:fill="62259D"/>
          </w:tcPr>
          <w:p>
            <w:pPr>
              <w:spacing w:after="0"/>
              <w:rPr>
                <w:sz w:val="20"/>
                <w:szCs w:val="20"/>
                <w:color w:val="auto"/>
              </w:rPr>
            </w:pPr>
          </w:p>
        </w:tc>
        <w:tc>
          <w:tcPr>
            <w:tcW w:w="380" w:type="dxa"/>
            <w:vAlign w:val="bottom"/>
            <w:shd w:val="clear" w:color="auto" w:fill="62259D"/>
          </w:tcPr>
          <w:p>
            <w:pPr>
              <w:spacing w:after="0"/>
              <w:rPr>
                <w:sz w:val="20"/>
                <w:szCs w:val="20"/>
                <w:color w:val="auto"/>
              </w:rPr>
            </w:pPr>
          </w:p>
        </w:tc>
        <w:tc>
          <w:tcPr>
            <w:tcW w:w="80" w:type="dxa"/>
            <w:vAlign w:val="bottom"/>
            <w:shd w:val="clear" w:color="auto" w:fill="62259D"/>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20" w:type="dxa"/>
            <w:vAlign w:val="bottom"/>
            <w:shd w:val="clear" w:color="auto" w:fill="62259D"/>
          </w:tcPr>
          <w:p>
            <w:pPr>
              <w:spacing w:after="0"/>
              <w:rPr>
                <w:sz w:val="20"/>
                <w:szCs w:val="20"/>
                <w:color w:val="auto"/>
              </w:rPr>
            </w:pPr>
          </w:p>
        </w:tc>
        <w:tc>
          <w:tcPr>
            <w:tcW w:w="380" w:type="dxa"/>
            <w:vAlign w:val="bottom"/>
            <w:shd w:val="clear" w:color="auto" w:fill="62259D"/>
          </w:tcPr>
          <w:p>
            <w:pPr>
              <w:spacing w:after="0"/>
              <w:rPr>
                <w:sz w:val="20"/>
                <w:szCs w:val="20"/>
                <w:color w:val="auto"/>
              </w:rPr>
            </w:pPr>
          </w:p>
        </w:tc>
        <w:tc>
          <w:tcPr>
            <w:tcW w:w="80" w:type="dxa"/>
            <w:vAlign w:val="bottom"/>
            <w:shd w:val="clear" w:color="auto" w:fill="62259D"/>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20" w:type="dxa"/>
            <w:vAlign w:val="bottom"/>
            <w:shd w:val="clear" w:color="auto" w:fill="62259D"/>
          </w:tcPr>
          <w:p>
            <w:pPr>
              <w:spacing w:after="0"/>
              <w:rPr>
                <w:sz w:val="20"/>
                <w:szCs w:val="20"/>
                <w:color w:val="auto"/>
              </w:rPr>
            </w:pPr>
          </w:p>
        </w:tc>
        <w:tc>
          <w:tcPr>
            <w:tcW w:w="380" w:type="dxa"/>
            <w:vAlign w:val="bottom"/>
            <w:shd w:val="clear" w:color="auto" w:fill="62259D"/>
          </w:tcPr>
          <w:p>
            <w:pPr>
              <w:spacing w:after="0"/>
              <w:rPr>
                <w:sz w:val="20"/>
                <w:szCs w:val="20"/>
                <w:color w:val="auto"/>
              </w:rPr>
            </w:pPr>
          </w:p>
        </w:tc>
        <w:tc>
          <w:tcPr>
            <w:tcW w:w="80" w:type="dxa"/>
            <w:vAlign w:val="bottom"/>
            <w:shd w:val="clear" w:color="auto" w:fill="62259D"/>
          </w:tcPr>
          <w:p>
            <w:pPr>
              <w:spacing w:after="0"/>
              <w:rPr>
                <w:sz w:val="20"/>
                <w:szCs w:val="20"/>
                <w:color w:val="auto"/>
              </w:rPr>
            </w:pPr>
          </w:p>
        </w:tc>
        <w:tc>
          <w:tcPr>
            <w:tcW w:w="20" w:type="dxa"/>
            <w:vAlign w:val="bottom"/>
            <w:shd w:val="clear" w:color="auto" w:fill="FEFEFE"/>
          </w:tcPr>
          <w:p>
            <w:pPr>
              <w:spacing w:after="0"/>
              <w:rPr>
                <w:sz w:val="20"/>
                <w:szCs w:val="20"/>
                <w:color w:val="auto"/>
              </w:rPr>
            </w:pPr>
          </w:p>
        </w:tc>
        <w:tc>
          <w:tcPr>
            <w:tcW w:w="240" w:type="dxa"/>
            <w:vAlign w:val="bottom"/>
            <w:shd w:val="clear" w:color="auto" w:fill="62259D"/>
          </w:tcPr>
          <w:p>
            <w:pPr>
              <w:spacing w:after="0"/>
              <w:rPr>
                <w:sz w:val="20"/>
                <w:szCs w:val="20"/>
                <w:color w:val="auto"/>
              </w:rPr>
            </w:pPr>
          </w:p>
        </w:tc>
        <w:tc>
          <w:tcPr>
            <w:tcW w:w="340" w:type="dxa"/>
            <w:vAlign w:val="bottom"/>
            <w:shd w:val="clear" w:color="auto" w:fill="62259D"/>
          </w:tcPr>
          <w:p>
            <w:pPr>
              <w:spacing w:after="0"/>
              <w:rPr>
                <w:sz w:val="20"/>
                <w:szCs w:val="20"/>
                <w:color w:val="auto"/>
              </w:rPr>
            </w:pPr>
          </w:p>
        </w:tc>
        <w:tc>
          <w:tcPr>
            <w:tcW w:w="200" w:type="dxa"/>
            <w:vAlign w:val="bottom"/>
            <w:tcBorders>
              <w:right w:val="single" w:sz="8" w:color="FEFEFE"/>
            </w:tcBorders>
            <w:shd w:val="clear" w:color="auto" w:fill="62259D"/>
          </w:tcPr>
          <w:p>
            <w:pPr>
              <w:spacing w:after="0"/>
              <w:rPr>
                <w:sz w:val="20"/>
                <w:szCs w:val="20"/>
                <w:color w:val="auto"/>
              </w:rPr>
            </w:pPr>
          </w:p>
        </w:tc>
        <w:tc>
          <w:tcPr>
            <w:tcW w:w="80" w:type="dxa"/>
            <w:vAlign w:val="bottom"/>
            <w:shd w:val="clear" w:color="auto" w:fill="62259D"/>
          </w:tcPr>
          <w:p>
            <w:pPr>
              <w:spacing w:after="0"/>
              <w:rPr>
                <w:sz w:val="20"/>
                <w:szCs w:val="20"/>
                <w:color w:val="auto"/>
              </w:rPr>
            </w:pPr>
          </w:p>
        </w:tc>
        <w:tc>
          <w:tcPr>
            <w:tcW w:w="140" w:type="dxa"/>
            <w:vAlign w:val="bottom"/>
            <w:shd w:val="clear" w:color="auto" w:fill="62259D"/>
          </w:tcPr>
          <w:p>
            <w:pPr>
              <w:spacing w:after="0"/>
              <w:rPr>
                <w:sz w:val="20"/>
                <w:szCs w:val="20"/>
                <w:color w:val="auto"/>
              </w:rPr>
            </w:pPr>
          </w:p>
        </w:tc>
        <w:tc>
          <w:tcPr>
            <w:tcW w:w="100" w:type="dxa"/>
            <w:vAlign w:val="bottom"/>
            <w:shd w:val="clear" w:color="auto" w:fill="62259D"/>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FEFEFE"/>
            </w:tcBorders>
          </w:tcPr>
          <w:p>
            <w:pPr>
              <w:spacing w:after="0"/>
              <w:rPr>
                <w:sz w:val="16"/>
                <w:szCs w:val="16"/>
                <w:color w:val="auto"/>
              </w:rPr>
            </w:pPr>
          </w:p>
        </w:tc>
        <w:tc>
          <w:tcPr>
            <w:tcW w:w="1660" w:type="dxa"/>
            <w:vAlign w:val="bottom"/>
            <w:tcBorders>
              <w:bottom w:val="single" w:sz="8" w:color="FEFEFE"/>
            </w:tcBorders>
            <w:gridSpan w:val="2"/>
          </w:tcPr>
          <w:p>
            <w:pPr>
              <w:ind w:left="40"/>
              <w:spacing w:after="0"/>
              <w:rPr>
                <w:sz w:val="20"/>
                <w:szCs w:val="20"/>
                <w:color w:val="auto"/>
              </w:rPr>
            </w:pPr>
            <w:r>
              <w:rPr>
                <w:rFonts w:ascii="Arial" w:cs="Arial" w:eastAsia="Arial" w:hAnsi="Arial"/>
                <w:sz w:val="14"/>
                <w:szCs w:val="14"/>
                <w:b w:val="1"/>
                <w:bCs w:val="1"/>
                <w:color w:val="FEFEFE"/>
              </w:rPr>
              <w:t>and Experience</w:t>
            </w:r>
          </w:p>
        </w:tc>
        <w:tc>
          <w:tcPr>
            <w:tcW w:w="100" w:type="dxa"/>
            <w:vAlign w:val="bottom"/>
            <w:tcBorders>
              <w:bottom w:val="single" w:sz="8" w:color="FEFEFE"/>
            </w:tcBorders>
            <w:gridSpan w:val="2"/>
          </w:tcPr>
          <w:p>
            <w:pPr>
              <w:ind w:left="40"/>
              <w:spacing w:after="0"/>
              <w:rPr>
                <w:sz w:val="20"/>
                <w:szCs w:val="20"/>
                <w:color w:val="auto"/>
              </w:rPr>
            </w:pPr>
            <w:r>
              <w:rPr>
                <w:rFonts w:ascii="Arial" w:cs="Arial" w:eastAsia="Arial" w:hAnsi="Arial"/>
                <w:sz w:val="14"/>
                <w:szCs w:val="14"/>
                <w:b w:val="1"/>
                <w:bCs w:val="1"/>
                <w:color w:val="FEFEFE"/>
              </w:rPr>
              <w:t>​</w:t>
            </w:r>
          </w:p>
        </w:tc>
        <w:tc>
          <w:tcPr>
            <w:tcW w:w="640" w:type="dxa"/>
            <w:vAlign w:val="bottom"/>
            <w:tcBorders>
              <w:bottom w:val="single" w:sz="8" w:color="FEFEFE"/>
            </w:tcBorders>
            <w:gridSpan w:val="3"/>
            <w:shd w:val="clear" w:color="auto" w:fill="62259D"/>
          </w:tcPr>
          <w:p>
            <w:pPr>
              <w:jc w:val="center"/>
              <w:spacing w:after="0"/>
              <w:rPr>
                <w:sz w:val="20"/>
                <w:szCs w:val="20"/>
                <w:color w:val="auto"/>
              </w:rPr>
            </w:pPr>
            <w:r>
              <w:rPr>
                <w:rFonts w:ascii="Arial" w:cs="Arial" w:eastAsia="Arial" w:hAnsi="Arial"/>
                <w:sz w:val="14"/>
                <w:szCs w:val="14"/>
                <w:b w:val="1"/>
                <w:bCs w:val="1"/>
                <w:color w:val="FEFEFE"/>
              </w:rPr>
              <w:t>​Ewing ​</w:t>
            </w:r>
          </w:p>
        </w:tc>
        <w:tc>
          <w:tcPr>
            <w:tcW w:w="20" w:type="dxa"/>
            <w:vAlign w:val="bottom"/>
            <w:tcBorders>
              <w:bottom w:val="single" w:sz="8" w:color="FEFEFE"/>
            </w:tcBorders>
            <w:shd w:val="clear" w:color="auto" w:fill="FEFEFE"/>
          </w:tcPr>
          <w:p>
            <w:pPr>
              <w:spacing w:after="0"/>
              <w:rPr>
                <w:sz w:val="16"/>
                <w:szCs w:val="16"/>
                <w:color w:val="auto"/>
              </w:rPr>
            </w:pPr>
          </w:p>
        </w:tc>
        <w:tc>
          <w:tcPr>
            <w:tcW w:w="760" w:type="dxa"/>
            <w:vAlign w:val="bottom"/>
            <w:tcBorders>
              <w:bottom w:val="single" w:sz="8" w:color="FEFEFE"/>
            </w:tcBorders>
            <w:gridSpan w:val="3"/>
            <w:shd w:val="clear" w:color="auto" w:fill="62259D"/>
          </w:tcPr>
          <w:p>
            <w:pPr>
              <w:jc w:val="center"/>
              <w:spacing w:after="0"/>
              <w:rPr>
                <w:sz w:val="20"/>
                <w:szCs w:val="20"/>
                <w:color w:val="auto"/>
              </w:rPr>
            </w:pPr>
            <w:r>
              <w:rPr>
                <w:rFonts w:ascii="Arial" w:cs="Arial" w:eastAsia="Arial" w:hAnsi="Arial"/>
                <w:sz w:val="14"/>
                <w:szCs w:val="14"/>
                <w:b w:val="1"/>
                <w:bCs w:val="1"/>
                <w:color w:val="FEFEFE"/>
              </w:rPr>
              <w:t>​Grayson ​</w:t>
            </w:r>
          </w:p>
        </w:tc>
        <w:tc>
          <w:tcPr>
            <w:tcW w:w="40" w:type="dxa"/>
            <w:vAlign w:val="bottom"/>
            <w:tcBorders>
              <w:bottom w:val="single" w:sz="8" w:color="FEFEFE"/>
            </w:tcBorders>
            <w:shd w:val="clear" w:color="auto" w:fill="FEFEFE"/>
          </w:tcPr>
          <w:p>
            <w:pPr>
              <w:spacing w:after="0"/>
              <w:rPr>
                <w:sz w:val="16"/>
                <w:szCs w:val="16"/>
                <w:color w:val="auto"/>
              </w:rPr>
            </w:pPr>
          </w:p>
        </w:tc>
        <w:tc>
          <w:tcPr>
            <w:tcW w:w="680" w:type="dxa"/>
            <w:vAlign w:val="bottom"/>
            <w:tcBorders>
              <w:bottom w:val="single" w:sz="8" w:color="FEFEFE"/>
            </w:tcBorders>
            <w:gridSpan w:val="2"/>
            <w:shd w:val="clear" w:color="auto" w:fill="62259D"/>
          </w:tcPr>
          <w:p>
            <w:pPr>
              <w:ind w:left="40"/>
              <w:spacing w:after="0"/>
              <w:rPr>
                <w:sz w:val="20"/>
                <w:szCs w:val="20"/>
                <w:color w:val="auto"/>
              </w:rPr>
            </w:pPr>
            <w:r>
              <w:rPr>
                <w:rFonts w:ascii="Arial" w:cs="Arial" w:eastAsia="Arial" w:hAnsi="Arial"/>
                <w:sz w:val="14"/>
                <w:szCs w:val="14"/>
                <w:b w:val="1"/>
                <w:bCs w:val="1"/>
                <w:color w:val="FEFEFE"/>
              </w:rPr>
              <w:t>​Infante ​</w:t>
            </w:r>
          </w:p>
        </w:tc>
        <w:tc>
          <w:tcPr>
            <w:tcW w:w="40" w:type="dxa"/>
            <w:vAlign w:val="bottom"/>
            <w:tcBorders>
              <w:bottom w:val="single" w:sz="8" w:color="FEFEFE"/>
            </w:tcBorders>
            <w:shd w:val="clear" w:color="auto" w:fill="FEFEFE"/>
          </w:tcPr>
          <w:p>
            <w:pPr>
              <w:spacing w:after="0"/>
              <w:rPr>
                <w:sz w:val="16"/>
                <w:szCs w:val="16"/>
                <w:color w:val="auto"/>
              </w:rPr>
            </w:pPr>
          </w:p>
        </w:tc>
        <w:tc>
          <w:tcPr>
            <w:tcW w:w="120" w:type="dxa"/>
            <w:vAlign w:val="bottom"/>
            <w:tcBorders>
              <w:bottom w:val="single" w:sz="8" w:color="FEFEFE"/>
            </w:tcBorders>
            <w:shd w:val="clear" w:color="auto" w:fill="62259D"/>
          </w:tcPr>
          <w:p>
            <w:pPr>
              <w:jc w:val="right"/>
              <w:spacing w:after="0"/>
              <w:rPr>
                <w:sz w:val="20"/>
                <w:szCs w:val="20"/>
                <w:color w:val="auto"/>
              </w:rPr>
            </w:pPr>
            <w:r>
              <w:rPr>
                <w:rFonts w:ascii="Arial" w:cs="Arial" w:eastAsia="Arial" w:hAnsi="Arial"/>
                <w:sz w:val="14"/>
                <w:szCs w:val="14"/>
                <w:b w:val="1"/>
                <w:bCs w:val="1"/>
                <w:color w:val="FEFEFE"/>
              </w:rPr>
              <w:t>​</w:t>
            </w:r>
          </w:p>
        </w:tc>
        <w:tc>
          <w:tcPr>
            <w:tcW w:w="420" w:type="dxa"/>
            <w:vAlign w:val="bottom"/>
            <w:tcBorders>
              <w:bottom w:val="single" w:sz="8" w:color="FEFEFE"/>
            </w:tcBorders>
            <w:shd w:val="clear" w:color="auto" w:fill="62259D"/>
          </w:tcPr>
          <w:p>
            <w:pPr>
              <w:ind w:left="40"/>
              <w:spacing w:after="0"/>
              <w:rPr>
                <w:sz w:val="20"/>
                <w:szCs w:val="20"/>
                <w:color w:val="auto"/>
              </w:rPr>
            </w:pPr>
            <w:r>
              <w:rPr>
                <w:rFonts w:ascii="Arial" w:cs="Arial" w:eastAsia="Arial" w:hAnsi="Arial"/>
                <w:sz w:val="14"/>
                <w:szCs w:val="14"/>
                <w:b w:val="1"/>
                <w:bCs w:val="1"/>
                <w:color w:val="FEFEFE"/>
              </w:rPr>
              <w:t>Mair</w:t>
            </w:r>
          </w:p>
        </w:tc>
        <w:tc>
          <w:tcPr>
            <w:tcW w:w="100" w:type="dxa"/>
            <w:vAlign w:val="bottom"/>
            <w:tcBorders>
              <w:bottom w:val="single" w:sz="8" w:color="FEFEFE"/>
            </w:tcBorders>
            <w:shd w:val="clear" w:color="auto" w:fill="62259D"/>
          </w:tcPr>
          <w:p>
            <w:pPr>
              <w:ind w:left="60"/>
              <w:spacing w:after="0"/>
              <w:rPr>
                <w:sz w:val="20"/>
                <w:szCs w:val="20"/>
                <w:color w:val="auto"/>
              </w:rPr>
            </w:pPr>
            <w:r>
              <w:rPr>
                <w:rFonts w:ascii="Arial" w:cs="Arial" w:eastAsia="Arial" w:hAnsi="Arial"/>
                <w:sz w:val="14"/>
                <w:szCs w:val="14"/>
                <w:b w:val="1"/>
                <w:bCs w:val="1"/>
                <w:color w:val="FEFEFE"/>
              </w:rPr>
              <w:t>​</w:t>
            </w:r>
          </w:p>
        </w:tc>
        <w:tc>
          <w:tcPr>
            <w:tcW w:w="20" w:type="dxa"/>
            <w:vAlign w:val="bottom"/>
            <w:tcBorders>
              <w:bottom w:val="single" w:sz="8" w:color="FEFEFE"/>
            </w:tcBorders>
            <w:shd w:val="clear" w:color="auto" w:fill="FEFEFE"/>
          </w:tcPr>
          <w:p>
            <w:pPr>
              <w:spacing w:after="0"/>
              <w:rPr>
                <w:sz w:val="16"/>
                <w:szCs w:val="16"/>
                <w:color w:val="auto"/>
              </w:rPr>
            </w:pPr>
          </w:p>
        </w:tc>
        <w:tc>
          <w:tcPr>
            <w:tcW w:w="980" w:type="dxa"/>
            <w:vAlign w:val="bottom"/>
            <w:tcBorders>
              <w:bottom w:val="single" w:sz="8" w:color="FEFEFE"/>
            </w:tcBorders>
            <w:gridSpan w:val="3"/>
            <w:shd w:val="clear" w:color="auto" w:fill="62259D"/>
          </w:tcPr>
          <w:p>
            <w:pPr>
              <w:jc w:val="center"/>
              <w:spacing w:after="0"/>
              <w:rPr>
                <w:sz w:val="20"/>
                <w:szCs w:val="20"/>
                <w:color w:val="auto"/>
              </w:rPr>
            </w:pPr>
            <w:r>
              <w:rPr>
                <w:rFonts w:ascii="Arial" w:cs="Arial" w:eastAsia="Arial" w:hAnsi="Arial"/>
                <w:sz w:val="14"/>
                <w:szCs w:val="14"/>
                <w:b w:val="1"/>
                <w:bCs w:val="1"/>
                <w:color w:val="FEFEFE"/>
              </w:rPr>
              <w:t>​McClelland ​</w:t>
            </w:r>
          </w:p>
        </w:tc>
        <w:tc>
          <w:tcPr>
            <w:tcW w:w="20" w:type="dxa"/>
            <w:vAlign w:val="bottom"/>
            <w:tcBorders>
              <w:bottom w:val="single" w:sz="8" w:color="FEFEFE"/>
            </w:tcBorders>
            <w:shd w:val="clear" w:color="auto" w:fill="FEFEFE"/>
          </w:tcPr>
          <w:p>
            <w:pPr>
              <w:spacing w:after="0"/>
              <w:rPr>
                <w:sz w:val="16"/>
                <w:szCs w:val="16"/>
                <w:color w:val="auto"/>
              </w:rPr>
            </w:pPr>
          </w:p>
        </w:tc>
        <w:tc>
          <w:tcPr>
            <w:tcW w:w="580" w:type="dxa"/>
            <w:vAlign w:val="bottom"/>
            <w:tcBorders>
              <w:bottom w:val="single" w:sz="8" w:color="FEFEFE"/>
            </w:tcBorders>
            <w:gridSpan w:val="2"/>
            <w:shd w:val="clear" w:color="auto" w:fill="62259D"/>
          </w:tcPr>
          <w:p>
            <w:pPr>
              <w:ind w:left="40"/>
              <w:spacing w:after="0"/>
              <w:rPr>
                <w:sz w:val="20"/>
                <w:szCs w:val="20"/>
                <w:color w:val="auto"/>
              </w:rPr>
            </w:pPr>
            <w:r>
              <w:rPr>
                <w:rFonts w:ascii="Arial" w:cs="Arial" w:eastAsia="Arial" w:hAnsi="Arial"/>
                <w:sz w:val="14"/>
                <w:szCs w:val="14"/>
                <w:b w:val="1"/>
                <w:bCs w:val="1"/>
                <w:color w:val="FEFEFE"/>
              </w:rPr>
              <w:t>​ Shani</w:t>
            </w:r>
          </w:p>
        </w:tc>
        <w:tc>
          <w:tcPr>
            <w:tcW w:w="80" w:type="dxa"/>
            <w:vAlign w:val="bottom"/>
            <w:tcBorders>
              <w:bottom w:val="single" w:sz="8" w:color="FEFEFE"/>
            </w:tcBorders>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20" w:type="dxa"/>
            <w:vAlign w:val="bottom"/>
            <w:tcBorders>
              <w:bottom w:val="single" w:sz="8" w:color="FEFEFE"/>
            </w:tcBorders>
            <w:shd w:val="clear" w:color="auto" w:fill="FEFEFE"/>
          </w:tcPr>
          <w:p>
            <w:pPr>
              <w:spacing w:after="0"/>
              <w:rPr>
                <w:sz w:val="16"/>
                <w:szCs w:val="16"/>
                <w:color w:val="auto"/>
              </w:rPr>
            </w:pPr>
          </w:p>
        </w:tc>
        <w:tc>
          <w:tcPr>
            <w:tcW w:w="600" w:type="dxa"/>
            <w:vAlign w:val="bottom"/>
            <w:tcBorders>
              <w:bottom w:val="single" w:sz="8" w:color="FEFEFE"/>
            </w:tcBorders>
            <w:gridSpan w:val="2"/>
            <w:shd w:val="clear" w:color="auto" w:fill="62259D"/>
          </w:tcPr>
          <w:p>
            <w:pPr>
              <w:ind w:left="40"/>
              <w:spacing w:after="0"/>
              <w:rPr>
                <w:sz w:val="20"/>
                <w:szCs w:val="20"/>
                <w:color w:val="auto"/>
              </w:rPr>
            </w:pPr>
            <w:r>
              <w:rPr>
                <w:rFonts w:ascii="Arial" w:cs="Arial" w:eastAsia="Arial" w:hAnsi="Arial"/>
                <w:sz w:val="14"/>
                <w:szCs w:val="14"/>
                <w:b w:val="1"/>
                <w:bCs w:val="1"/>
                <w:color w:val="FEFEFE"/>
              </w:rPr>
              <w:t>​ Silver</w:t>
            </w:r>
          </w:p>
        </w:tc>
        <w:tc>
          <w:tcPr>
            <w:tcW w:w="80" w:type="dxa"/>
            <w:vAlign w:val="bottom"/>
            <w:tcBorders>
              <w:bottom w:val="single" w:sz="8" w:color="FEFEFE"/>
            </w:tcBorders>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20" w:type="dxa"/>
            <w:vAlign w:val="bottom"/>
            <w:tcBorders>
              <w:bottom w:val="single" w:sz="8" w:color="FEFEFE"/>
            </w:tcBorders>
            <w:shd w:val="clear" w:color="auto" w:fill="FEFEFE"/>
          </w:tcPr>
          <w:p>
            <w:pPr>
              <w:spacing w:after="0"/>
              <w:rPr>
                <w:sz w:val="16"/>
                <w:szCs w:val="16"/>
                <w:color w:val="auto"/>
              </w:rPr>
            </w:pPr>
          </w:p>
        </w:tc>
        <w:tc>
          <w:tcPr>
            <w:tcW w:w="600" w:type="dxa"/>
            <w:vAlign w:val="bottom"/>
            <w:tcBorders>
              <w:bottom w:val="single" w:sz="8" w:color="FEFEFE"/>
            </w:tcBorders>
            <w:gridSpan w:val="2"/>
            <w:shd w:val="clear" w:color="auto" w:fill="62259D"/>
          </w:tcPr>
          <w:p>
            <w:pPr>
              <w:ind w:left="40"/>
              <w:spacing w:after="0"/>
              <w:rPr>
                <w:sz w:val="20"/>
                <w:szCs w:val="20"/>
                <w:color w:val="auto"/>
              </w:rPr>
            </w:pPr>
            <w:r>
              <w:rPr>
                <w:rFonts w:ascii="Arial" w:cs="Arial" w:eastAsia="Arial" w:hAnsi="Arial"/>
                <w:sz w:val="14"/>
                <w:szCs w:val="14"/>
                <w:b w:val="1"/>
                <w:bCs w:val="1"/>
                <w:color w:val="FEFEFE"/>
              </w:rPr>
              <w:t>​ Smith</w:t>
            </w:r>
          </w:p>
        </w:tc>
        <w:tc>
          <w:tcPr>
            <w:tcW w:w="80" w:type="dxa"/>
            <w:vAlign w:val="bottom"/>
            <w:tcBorders>
              <w:bottom w:val="single" w:sz="8" w:color="FEFEFE"/>
            </w:tcBorders>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20" w:type="dxa"/>
            <w:vAlign w:val="bottom"/>
            <w:tcBorders>
              <w:bottom w:val="single" w:sz="8" w:color="FEFEFE"/>
            </w:tcBorders>
            <w:shd w:val="clear" w:color="auto" w:fill="FEFEFE"/>
          </w:tcPr>
          <w:p>
            <w:pPr>
              <w:spacing w:after="0"/>
              <w:rPr>
                <w:sz w:val="16"/>
                <w:szCs w:val="16"/>
                <w:color w:val="auto"/>
              </w:rPr>
            </w:pPr>
          </w:p>
        </w:tc>
        <w:tc>
          <w:tcPr>
            <w:tcW w:w="780" w:type="dxa"/>
            <w:vAlign w:val="bottom"/>
            <w:tcBorders>
              <w:bottom w:val="single" w:sz="8" w:color="FEFEFE"/>
              <w:right w:val="single" w:sz="8" w:color="FEFEFE"/>
            </w:tcBorders>
            <w:gridSpan w:val="3"/>
            <w:shd w:val="clear" w:color="auto" w:fill="62259D"/>
          </w:tcPr>
          <w:p>
            <w:pPr>
              <w:ind w:left="40"/>
              <w:spacing w:after="0"/>
              <w:rPr>
                <w:sz w:val="20"/>
                <w:szCs w:val="20"/>
                <w:color w:val="auto"/>
              </w:rPr>
            </w:pPr>
            <w:r>
              <w:rPr>
                <w:rFonts w:ascii="Arial" w:cs="Arial" w:eastAsia="Arial" w:hAnsi="Arial"/>
                <w:sz w:val="14"/>
                <w:szCs w:val="14"/>
                <w:b w:val="1"/>
                <w:bCs w:val="1"/>
                <w:color w:val="FEFEFE"/>
              </w:rPr>
              <w:t>​Tamone ​</w:t>
            </w:r>
          </w:p>
        </w:tc>
        <w:tc>
          <w:tcPr>
            <w:tcW w:w="80" w:type="dxa"/>
            <w:vAlign w:val="bottom"/>
            <w:tcBorders>
              <w:bottom w:val="single" w:sz="8" w:color="FEFEFE"/>
            </w:tcBorders>
            <w:shd w:val="clear" w:color="auto" w:fill="62259D"/>
          </w:tcPr>
          <w:p>
            <w:pPr>
              <w:ind w:left="60"/>
              <w:spacing w:after="0"/>
              <w:rPr>
                <w:sz w:val="20"/>
                <w:szCs w:val="20"/>
                <w:color w:val="auto"/>
              </w:rPr>
            </w:pPr>
            <w:r>
              <w:rPr>
                <w:rFonts w:ascii="Arial" w:cs="Arial" w:eastAsia="Arial" w:hAnsi="Arial"/>
                <w:sz w:val="1"/>
                <w:szCs w:val="1"/>
                <w:b w:val="1"/>
                <w:bCs w:val="1"/>
                <w:color w:val="FEFEFE"/>
                <w:w w:val="4294942296"/>
              </w:rPr>
              <w:t>​</w:t>
            </w:r>
          </w:p>
        </w:tc>
        <w:tc>
          <w:tcPr>
            <w:tcW w:w="240" w:type="dxa"/>
            <w:vAlign w:val="bottom"/>
            <w:tcBorders>
              <w:bottom w:val="single" w:sz="8" w:color="FEFEFE"/>
            </w:tcBorders>
            <w:gridSpan w:val="2"/>
            <w:shd w:val="clear" w:color="auto" w:fill="62259D"/>
          </w:tcPr>
          <w:p>
            <w:pPr>
              <w:jc w:val="right"/>
              <w:spacing w:after="0"/>
              <w:rPr>
                <w:sz w:val="20"/>
                <w:szCs w:val="20"/>
                <w:color w:val="auto"/>
              </w:rPr>
            </w:pPr>
            <w:r>
              <w:rPr>
                <w:rFonts w:ascii="Arial" w:cs="Arial" w:eastAsia="Arial" w:hAnsi="Arial"/>
                <w:sz w:val="14"/>
                <w:szCs w:val="14"/>
                <w:b w:val="1"/>
                <w:bCs w:val="1"/>
                <w:color w:val="FEFEFE"/>
              </w:rPr>
              <w:t># ​</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Arial" w:cs="Arial" w:eastAsia="Arial" w:hAnsi="Arial"/>
                <w:sz w:val="13"/>
                <w:szCs w:val="13"/>
                <w:color w:val="auto"/>
                <w:w w:val="98"/>
              </w:rPr>
              <w:t>Audit and</w:t>
            </w:r>
          </w:p>
        </w:tc>
        <w:tc>
          <w:tcPr>
            <w:tcW w:w="560" w:type="dxa"/>
            <w:vAlign w:val="bottom"/>
          </w:tcPr>
          <w:p>
            <w:pPr>
              <w:spacing w:after="0"/>
              <w:rPr>
                <w:sz w:val="19"/>
                <w:szCs w:val="19"/>
                <w:color w:val="auto"/>
              </w:rPr>
            </w:pPr>
          </w:p>
        </w:tc>
        <w:tc>
          <w:tcPr>
            <w:tcW w:w="30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9"/>
                <w:szCs w:val="19"/>
                <w:color w:val="auto"/>
              </w:rPr>
            </w:pPr>
          </w:p>
        </w:tc>
        <w:tc>
          <w:tcPr>
            <w:tcW w:w="420" w:type="dxa"/>
            <w:vAlign w:val="bottom"/>
            <w:gridSpan w:val="3"/>
            <w:vMerge w:val="restart"/>
          </w:tcPr>
          <w:p>
            <w:pPr>
              <w:ind w:left="120"/>
              <w:spacing w:after="0"/>
              <w:rPr>
                <w:sz w:val="20"/>
                <w:szCs w:val="20"/>
                <w:color w:val="auto"/>
              </w:rPr>
            </w:pPr>
            <w:r>
              <w:rPr>
                <w:rFonts w:ascii="Arial" w:cs="Arial" w:eastAsia="Arial" w:hAnsi="Arial"/>
                <w:sz w:val="14"/>
                <w:szCs w:val="14"/>
                <w:color w:val="auto"/>
              </w:rPr>
              <w:t>​ ​</w:t>
            </w:r>
          </w:p>
        </w:tc>
        <w:tc>
          <w:tcPr>
            <w:tcW w:w="3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58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8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9"/>
                <w:szCs w:val="19"/>
                <w:color w:val="auto"/>
              </w:rPr>
            </w:pPr>
          </w:p>
        </w:tc>
        <w:tc>
          <w:tcPr>
            <w:tcW w:w="400" w:type="dxa"/>
            <w:vAlign w:val="bottom"/>
            <w:gridSpan w:val="3"/>
            <w:vMerge w:val="restart"/>
          </w:tcPr>
          <w:p>
            <w:pPr>
              <w:ind w:left="60"/>
              <w:spacing w:after="0"/>
              <w:rPr>
                <w:sz w:val="20"/>
                <w:szCs w:val="20"/>
                <w:color w:val="auto"/>
              </w:rPr>
            </w:pPr>
            <w:r>
              <w:rPr>
                <w:rFonts w:ascii="Arial" w:cs="Arial" w:eastAsia="Arial" w:hAnsi="Arial"/>
                <w:sz w:val="14"/>
                <w:szCs w:val="14"/>
                <w:color w:val="auto"/>
              </w:rPr>
              <w:t>​ ​</w:t>
            </w:r>
          </w:p>
        </w:tc>
        <w:tc>
          <w:tcPr>
            <w:tcW w:w="4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460" w:type="dxa"/>
            <w:vAlign w:val="bottom"/>
            <w:gridSpan w:val="3"/>
            <w:vMerge w:val="restart"/>
          </w:tcPr>
          <w:p>
            <w:pPr>
              <w:ind w:left="200"/>
              <w:spacing w:after="0"/>
              <w:rPr>
                <w:sz w:val="20"/>
                <w:szCs w:val="20"/>
                <w:color w:val="auto"/>
              </w:rPr>
            </w:pPr>
            <w:r>
              <w:rPr>
                <w:rFonts w:ascii="Arial" w:cs="Arial" w:eastAsia="Arial" w:hAnsi="Arial"/>
                <w:sz w:val="14"/>
                <w:szCs w:val="14"/>
                <w:color w:val="auto"/>
              </w:rPr>
              <w:t>​ ​</w:t>
            </w:r>
          </w:p>
        </w:tc>
        <w:tc>
          <w:tcPr>
            <w:tcW w:w="38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9"/>
                <w:szCs w:val="19"/>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60"/>
              <w:spacing w:after="0"/>
              <w:rPr>
                <w:sz w:val="20"/>
                <w:szCs w:val="20"/>
                <w:color w:val="auto"/>
              </w:rPr>
            </w:pPr>
            <w:r>
              <w:rPr>
                <w:rFonts w:ascii="Arial" w:cs="Arial" w:eastAsia="Arial" w:hAnsi="Arial"/>
                <w:sz w:val="1"/>
                <w:szCs w:val="1"/>
                <w:color w:val="auto"/>
                <w:w w:val="4294942296"/>
              </w:rPr>
              <w:t>​</w:t>
            </w:r>
          </w:p>
        </w:tc>
        <w:tc>
          <w:tcPr>
            <w:tcW w:w="140" w:type="dxa"/>
            <w:vAlign w:val="bottom"/>
            <w:vMerge w:val="restart"/>
            <w:shd w:val="clear" w:color="auto" w:fill="62259D"/>
          </w:tcPr>
          <w:p>
            <w:pPr>
              <w:jc w:val="right"/>
              <w:spacing w:after="0"/>
              <w:rPr>
                <w:sz w:val="20"/>
                <w:szCs w:val="20"/>
                <w:color w:val="auto"/>
              </w:rPr>
            </w:pPr>
            <w:r>
              <w:rPr>
                <w:rFonts w:ascii="Arial" w:cs="Arial" w:eastAsia="Arial" w:hAnsi="Arial"/>
                <w:sz w:val="14"/>
                <w:szCs w:val="14"/>
                <w:color w:val="FEFEFE"/>
              </w:rPr>
              <w:t>4</w:t>
            </w:r>
          </w:p>
        </w:tc>
        <w:tc>
          <w:tcPr>
            <w:tcW w:w="100" w:type="dxa"/>
            <w:vAlign w:val="bottom"/>
            <w:vMerge w:val="restart"/>
            <w:shd w:val="clear" w:color="auto" w:fill="62259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80" w:type="dxa"/>
            <w:vAlign w:val="bottom"/>
          </w:tcPr>
          <w:p>
            <w:pPr>
              <w:spacing w:after="0"/>
              <w:rPr>
                <w:sz w:val="24"/>
                <w:szCs w:val="24"/>
                <w:color w:val="auto"/>
              </w:rPr>
            </w:pPr>
          </w:p>
        </w:tc>
        <w:tc>
          <w:tcPr>
            <w:tcW w:w="1660" w:type="dxa"/>
            <w:vAlign w:val="bottom"/>
            <w:gridSpan w:val="2"/>
          </w:tcPr>
          <w:p>
            <w:pPr>
              <w:ind w:left="500"/>
              <w:spacing w:after="0" w:line="31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financial reporting</w:t>
            </w:r>
          </w:p>
        </w:tc>
        <w:tc>
          <w:tcPr>
            <w:tcW w:w="3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580" w:type="dxa"/>
            <w:vAlign w:val="bottom"/>
            <w:gridSpan w:val="3"/>
            <w:vMerge w:val="continue"/>
          </w:tcPr>
          <w:p>
            <w:pPr>
              <w:spacing w:after="0"/>
              <w:rPr>
                <w:sz w:val="24"/>
                <w:szCs w:val="24"/>
                <w:color w:val="auto"/>
              </w:rPr>
            </w:pPr>
          </w:p>
        </w:tc>
        <w:tc>
          <w:tcPr>
            <w:tcW w:w="4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gridSpan w:val="3"/>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460" w:type="dxa"/>
            <w:vAlign w:val="bottom"/>
            <w:gridSpan w:val="3"/>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80" w:type="dxa"/>
            <w:vAlign w:val="bottom"/>
            <w:vMerge w:val="continue"/>
            <w:shd w:val="clear" w:color="auto" w:fill="62259D"/>
          </w:tcPr>
          <w:p>
            <w:pPr>
              <w:spacing w:after="0"/>
              <w:rPr>
                <w:sz w:val="24"/>
                <w:szCs w:val="24"/>
                <w:color w:val="auto"/>
              </w:rPr>
            </w:pPr>
          </w:p>
        </w:tc>
        <w:tc>
          <w:tcPr>
            <w:tcW w:w="140" w:type="dxa"/>
            <w:vAlign w:val="bottom"/>
            <w:vMerge w:val="continue"/>
            <w:shd w:val="clear" w:color="auto" w:fill="62259D"/>
          </w:tcPr>
          <w:p>
            <w:pPr>
              <w:spacing w:after="0"/>
              <w:rPr>
                <w:sz w:val="24"/>
                <w:szCs w:val="24"/>
                <w:color w:val="auto"/>
              </w:rPr>
            </w:pPr>
          </w:p>
        </w:tc>
        <w:tc>
          <w:tcPr>
            <w:tcW w:w="100" w:type="dxa"/>
            <w:vAlign w:val="bottom"/>
            <w:vMerge w:val="continue"/>
            <w:shd w:val="clear" w:color="auto" w:fill="62259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660" w:type="dxa"/>
            <w:vAlign w:val="bottom"/>
            <w:gridSpan w:val="2"/>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32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0" w:type="dxa"/>
            <w:vAlign w:val="bottom"/>
          </w:tcPr>
          <w:p>
            <w:pPr>
              <w:spacing w:after="0"/>
              <w:rPr>
                <w:sz w:val="24"/>
                <w:szCs w:val="24"/>
                <w:color w:val="auto"/>
              </w:rPr>
            </w:pPr>
          </w:p>
        </w:tc>
        <w:tc>
          <w:tcPr>
            <w:tcW w:w="1660" w:type="dxa"/>
            <w:vAlign w:val="bottom"/>
            <w:gridSpan w:val="2"/>
          </w:tcPr>
          <w:p>
            <w:pPr>
              <w:ind w:left="500"/>
              <w:spacing w:after="0"/>
              <w:rPr>
                <w:sz w:val="20"/>
                <w:szCs w:val="20"/>
                <w:color w:val="auto"/>
              </w:rPr>
            </w:pPr>
            <w:r>
              <w:rPr>
                <w:rFonts w:ascii="Arial" w:cs="Arial" w:eastAsia="Arial" w:hAnsi="Arial"/>
                <w:sz w:val="14"/>
                <w:szCs w:val="14"/>
                <w:color w:val="auto"/>
                <w:w w:val="76"/>
              </w:rPr>
              <w:t>​</w:t>
            </w:r>
            <w:r>
              <w:rPr>
                <w:rFonts w:ascii="Arial" w:cs="Arial" w:eastAsia="Arial" w:hAnsi="Arial"/>
                <w:sz w:val="25"/>
                <w:szCs w:val="25"/>
                <w:color w:val="auto"/>
                <w:w w:val="76"/>
                <w:vertAlign w:val="subscript"/>
              </w:rPr>
              <w:t>leadership</w:t>
            </w:r>
            <w:r>
              <w:rPr>
                <w:rFonts w:ascii="Arial" w:cs="Arial" w:eastAsia="Arial" w:hAnsi="Arial"/>
                <w:sz w:val="25"/>
                <w:szCs w:val="25"/>
                <w:color w:val="auto"/>
                <w:w w:val="76"/>
                <w:vertAlign w:val="superscript"/>
              </w:rPr>
              <w:t>Executive</w:t>
            </w:r>
          </w:p>
        </w:tc>
        <w:tc>
          <w:tcPr>
            <w:tcW w:w="30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24"/>
                <w:szCs w:val="24"/>
                <w:color w:val="auto"/>
              </w:rPr>
            </w:pPr>
          </w:p>
        </w:tc>
        <w:tc>
          <w:tcPr>
            <w:tcW w:w="420" w:type="dxa"/>
            <w:vAlign w:val="bottom"/>
            <w:gridSpan w:val="3"/>
          </w:tcPr>
          <w:p>
            <w:pPr>
              <w:ind w:left="12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24"/>
                <w:szCs w:val="24"/>
                <w:color w:val="auto"/>
              </w:rPr>
            </w:pPr>
          </w:p>
        </w:tc>
        <w:tc>
          <w:tcPr>
            <w:tcW w:w="580" w:type="dxa"/>
            <w:vAlign w:val="bottom"/>
            <w:gridSpan w:val="3"/>
          </w:tcPr>
          <w:p>
            <w:pPr>
              <w:ind w:left="160"/>
              <w:spacing w:after="0"/>
              <w:rPr>
                <w:sz w:val="20"/>
                <w:szCs w:val="20"/>
                <w:color w:val="auto"/>
              </w:rPr>
            </w:pPr>
            <w:r>
              <w:rPr>
                <w:rFonts w:ascii="Arial" w:cs="Arial" w:eastAsia="Arial" w:hAnsi="Arial"/>
                <w:sz w:val="14"/>
                <w:szCs w:val="14"/>
                <w:color w:val="auto"/>
              </w:rPr>
              <w:t>​ ​</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24"/>
                <w:szCs w:val="24"/>
                <w:color w:val="auto"/>
              </w:rPr>
            </w:pPr>
          </w:p>
        </w:tc>
        <w:tc>
          <w:tcPr>
            <w:tcW w:w="400" w:type="dxa"/>
            <w:vAlign w:val="bottom"/>
            <w:gridSpan w:val="3"/>
          </w:tcPr>
          <w:p>
            <w:pPr>
              <w:ind w:left="60"/>
              <w:spacing w:after="0"/>
              <w:rPr>
                <w:sz w:val="20"/>
                <w:szCs w:val="20"/>
                <w:color w:val="auto"/>
              </w:rPr>
            </w:pPr>
            <w:r>
              <w:rPr>
                <w:rFonts w:ascii="Arial" w:cs="Arial" w:eastAsia="Arial" w:hAnsi="Arial"/>
                <w:sz w:val="14"/>
                <w:szCs w:val="14"/>
                <w:color w:val="auto"/>
              </w:rPr>
              <w:t>​ ​</w:t>
            </w:r>
          </w:p>
        </w:tc>
        <w:tc>
          <w:tcPr>
            <w:tcW w:w="460" w:type="dxa"/>
            <w:vAlign w:val="bottom"/>
          </w:tcPr>
          <w:p>
            <w:pPr>
              <w:spacing w:after="0"/>
              <w:rPr>
                <w:sz w:val="24"/>
                <w:szCs w:val="24"/>
                <w:color w:val="auto"/>
              </w:rPr>
            </w:pPr>
          </w:p>
        </w:tc>
        <w:tc>
          <w:tcPr>
            <w:tcW w:w="460" w:type="dxa"/>
            <w:vAlign w:val="bottom"/>
            <w:gridSpan w:val="3"/>
          </w:tcPr>
          <w:p>
            <w:pPr>
              <w:ind w:left="200"/>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00" w:type="dxa"/>
            <w:vAlign w:val="bottom"/>
          </w:tcPr>
          <w:p>
            <w:pPr>
              <w:ind w:lef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62259D"/>
            </w:tcBorders>
            <w:shd w:val="clear" w:color="auto" w:fill="62259D"/>
          </w:tcPr>
          <w:p>
            <w:pPr>
              <w:ind w:left="60"/>
              <w:spacing w:after="0"/>
              <w:rPr>
                <w:sz w:val="20"/>
                <w:szCs w:val="20"/>
                <w:color w:val="auto"/>
              </w:rPr>
            </w:pPr>
            <w:r>
              <w:rPr>
                <w:rFonts w:ascii="Arial" w:cs="Arial" w:eastAsia="Arial" w:hAnsi="Arial"/>
                <w:sz w:val="1"/>
                <w:szCs w:val="1"/>
                <w:color w:val="auto"/>
                <w:w w:val="4294942296"/>
              </w:rPr>
              <w:t>​</w:t>
            </w:r>
          </w:p>
        </w:tc>
        <w:tc>
          <w:tcPr>
            <w:tcW w:w="140" w:type="dxa"/>
            <w:vAlign w:val="bottom"/>
            <w:tcBorders>
              <w:bottom w:val="single" w:sz="8" w:color="62259D"/>
            </w:tcBorders>
            <w:shd w:val="clear" w:color="auto" w:fill="62259D"/>
          </w:tcPr>
          <w:p>
            <w:pPr>
              <w:jc w:val="right"/>
              <w:spacing w:after="0"/>
              <w:rPr>
                <w:sz w:val="20"/>
                <w:szCs w:val="20"/>
                <w:color w:val="auto"/>
              </w:rPr>
            </w:pPr>
            <w:r>
              <w:rPr>
                <w:rFonts w:ascii="Arial" w:cs="Arial" w:eastAsia="Arial" w:hAnsi="Arial"/>
                <w:sz w:val="14"/>
                <w:szCs w:val="14"/>
                <w:b w:val="1"/>
                <w:bCs w:val="1"/>
                <w:color w:val="FEFEFE"/>
              </w:rPr>
              <w:t>8</w:t>
            </w:r>
          </w:p>
        </w:tc>
        <w:tc>
          <w:tcPr>
            <w:tcW w:w="100" w:type="dxa"/>
            <w:vAlign w:val="bottom"/>
            <w:tcBorders>
              <w:bottom w:val="single" w:sz="8" w:color="62259D"/>
            </w:tcBorders>
            <w:shd w:val="clear" w:color="auto" w:fill="62259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660" w:type="dxa"/>
            <w:vAlign w:val="bottom"/>
            <w:gridSpan w:val="2"/>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32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0" w:type="dxa"/>
            <w:vAlign w:val="bottom"/>
          </w:tcPr>
          <w:p>
            <w:pPr>
              <w:spacing w:after="0"/>
              <w:rPr>
                <w:sz w:val="24"/>
                <w:szCs w:val="24"/>
                <w:color w:val="auto"/>
              </w:rPr>
            </w:pPr>
          </w:p>
        </w:tc>
        <w:tc>
          <w:tcPr>
            <w:tcW w:w="1660" w:type="dxa"/>
            <w:vAlign w:val="bottom"/>
            <w:gridSpan w:val="2"/>
          </w:tcPr>
          <w:p>
            <w:pPr>
              <w:ind w:left="500"/>
              <w:spacing w:after="0"/>
              <w:rPr>
                <w:sz w:val="20"/>
                <w:szCs w:val="20"/>
                <w:color w:val="auto"/>
              </w:rPr>
            </w:pPr>
            <w:r>
              <w:rPr>
                <w:rFonts w:ascii="Arial" w:cs="Arial" w:eastAsia="Arial" w:hAnsi="Arial"/>
                <w:sz w:val="12"/>
                <w:szCs w:val="12"/>
                <w:color w:val="auto"/>
                <w:w w:val="70"/>
              </w:rPr>
              <w:t>​</w:t>
            </w:r>
            <w:r>
              <w:rPr>
                <w:rFonts w:ascii="Arial" w:cs="Arial" w:eastAsia="Arial" w:hAnsi="Arial"/>
                <w:sz w:val="20"/>
                <w:szCs w:val="20"/>
                <w:color w:val="auto"/>
                <w:w w:val="70"/>
                <w:vertAlign w:val="subscript"/>
              </w:rPr>
              <w:t>governance</w:t>
            </w:r>
            <w:r>
              <w:rPr>
                <w:rFonts w:ascii="Arial" w:cs="Arial" w:eastAsia="Arial" w:hAnsi="Arial"/>
                <w:sz w:val="20"/>
                <w:szCs w:val="20"/>
                <w:color w:val="auto"/>
                <w:w w:val="70"/>
                <w:vertAlign w:val="superscript"/>
              </w:rPr>
              <w:t>Sustainability &amp;</w:t>
            </w:r>
          </w:p>
        </w:tc>
        <w:tc>
          <w:tcPr>
            <w:tcW w:w="30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24"/>
                <w:szCs w:val="24"/>
                <w:color w:val="auto"/>
              </w:rPr>
            </w:pPr>
          </w:p>
        </w:tc>
        <w:tc>
          <w:tcPr>
            <w:tcW w:w="420" w:type="dxa"/>
            <w:vAlign w:val="bottom"/>
            <w:gridSpan w:val="3"/>
          </w:tcPr>
          <w:p>
            <w:pPr>
              <w:ind w:left="12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24"/>
                <w:szCs w:val="24"/>
                <w:color w:val="auto"/>
              </w:rPr>
            </w:pPr>
          </w:p>
        </w:tc>
        <w:tc>
          <w:tcPr>
            <w:tcW w:w="580" w:type="dxa"/>
            <w:vAlign w:val="bottom"/>
            <w:gridSpan w:val="3"/>
          </w:tcPr>
          <w:p>
            <w:pPr>
              <w:ind w:left="160"/>
              <w:spacing w:after="0"/>
              <w:rPr>
                <w:sz w:val="20"/>
                <w:szCs w:val="20"/>
                <w:color w:val="auto"/>
              </w:rPr>
            </w:pPr>
            <w:r>
              <w:rPr>
                <w:rFonts w:ascii="Arial" w:cs="Arial" w:eastAsia="Arial" w:hAnsi="Arial"/>
                <w:sz w:val="14"/>
                <w:szCs w:val="14"/>
                <w:color w:val="auto"/>
              </w:rPr>
              <w:t>​ ​</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24"/>
                <w:szCs w:val="24"/>
                <w:color w:val="auto"/>
              </w:rPr>
            </w:pPr>
          </w:p>
        </w:tc>
        <w:tc>
          <w:tcPr>
            <w:tcW w:w="400" w:type="dxa"/>
            <w:vAlign w:val="bottom"/>
            <w:gridSpan w:val="3"/>
          </w:tcPr>
          <w:p>
            <w:pPr>
              <w:ind w:left="60"/>
              <w:spacing w:after="0"/>
              <w:rPr>
                <w:sz w:val="20"/>
                <w:szCs w:val="20"/>
                <w:color w:val="auto"/>
              </w:rPr>
            </w:pPr>
            <w:r>
              <w:rPr>
                <w:rFonts w:ascii="Arial" w:cs="Arial" w:eastAsia="Arial" w:hAnsi="Arial"/>
                <w:sz w:val="14"/>
                <w:szCs w:val="14"/>
                <w:color w:val="auto"/>
              </w:rPr>
              <w:t>​ ​</w:t>
            </w:r>
          </w:p>
        </w:tc>
        <w:tc>
          <w:tcPr>
            <w:tcW w:w="460" w:type="dxa"/>
            <w:vAlign w:val="bottom"/>
          </w:tcPr>
          <w:p>
            <w:pPr>
              <w:jc w:val="center"/>
              <w:spacing w:after="0"/>
              <w:rPr>
                <w:sz w:val="20"/>
                <w:szCs w:val="20"/>
                <w:color w:val="auto"/>
              </w:rPr>
            </w:pPr>
            <w:r>
              <w:rPr>
                <w:rFonts w:ascii="Arial" w:cs="Arial" w:eastAsia="Arial" w:hAnsi="Arial"/>
                <w:sz w:val="14"/>
                <w:szCs w:val="14"/>
                <w:color w:val="auto"/>
              </w:rPr>
              <w:t>​</w:t>
            </w:r>
          </w:p>
        </w:tc>
        <w:tc>
          <w:tcPr>
            <w:tcW w:w="460" w:type="dxa"/>
            <w:vAlign w:val="bottom"/>
            <w:gridSpan w:val="3"/>
          </w:tcPr>
          <w:p>
            <w:pPr>
              <w:ind w:left="200"/>
              <w:spacing w:after="0"/>
              <w:rPr>
                <w:sz w:val="20"/>
                <w:szCs w:val="20"/>
                <w:color w:val="auto"/>
              </w:rPr>
            </w:pPr>
            <w:r>
              <w:rPr>
                <w:rFonts w:ascii="Arial" w:cs="Arial" w:eastAsia="Arial" w:hAnsi="Arial"/>
                <w:sz w:val="14"/>
                <w:szCs w:val="14"/>
                <w:color w:val="auto"/>
              </w:rPr>
              <w:t>​ ​</w:t>
            </w: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00" w:type="dxa"/>
            <w:vAlign w:val="bottom"/>
          </w:tcPr>
          <w:p>
            <w:pPr>
              <w:ind w:lef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62259D"/>
          </w:tcPr>
          <w:p>
            <w:pPr>
              <w:ind w:left="60"/>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62259D"/>
          </w:tcPr>
          <w:p>
            <w:pPr>
              <w:jc w:val="right"/>
              <w:spacing w:after="0"/>
              <w:rPr>
                <w:sz w:val="20"/>
                <w:szCs w:val="20"/>
                <w:color w:val="auto"/>
              </w:rPr>
            </w:pPr>
            <w:r>
              <w:rPr>
                <w:rFonts w:ascii="Arial" w:cs="Arial" w:eastAsia="Arial" w:hAnsi="Arial"/>
                <w:sz w:val="14"/>
                <w:szCs w:val="14"/>
                <w:b w:val="1"/>
                <w:bCs w:val="1"/>
                <w:color w:val="FEFEFE"/>
              </w:rPr>
              <w:t>6</w:t>
            </w:r>
          </w:p>
        </w:tc>
        <w:tc>
          <w:tcPr>
            <w:tcW w:w="100" w:type="dxa"/>
            <w:vAlign w:val="bottom"/>
            <w:shd w:val="clear" w:color="auto" w:fill="62259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80" w:type="dxa"/>
            <w:vAlign w:val="bottom"/>
            <w:tcBorders>
              <w:bottom w:val="single" w:sz="8" w:color="E7417A"/>
            </w:tcBorders>
          </w:tcPr>
          <w:p>
            <w:pPr>
              <w:spacing w:after="0"/>
              <w:rPr>
                <w:sz w:val="8"/>
                <w:szCs w:val="8"/>
                <w:color w:val="auto"/>
              </w:rPr>
            </w:pPr>
          </w:p>
        </w:tc>
        <w:tc>
          <w:tcPr>
            <w:tcW w:w="1660" w:type="dxa"/>
            <w:vAlign w:val="bottom"/>
            <w:tcBorders>
              <w:bottom w:val="single" w:sz="8" w:color="E7417A"/>
            </w:tcBorders>
            <w:gridSpan w:val="2"/>
          </w:tcPr>
          <w:p>
            <w:pPr>
              <w:spacing w:after="0"/>
              <w:rPr>
                <w:sz w:val="8"/>
                <w:szCs w:val="8"/>
                <w:color w:val="auto"/>
              </w:rPr>
            </w:pPr>
          </w:p>
        </w:tc>
        <w:tc>
          <w:tcPr>
            <w:tcW w:w="8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280" w:type="dxa"/>
            <w:vAlign w:val="bottom"/>
            <w:tcBorders>
              <w:bottom w:val="single" w:sz="8" w:color="E7417A"/>
            </w:tcBorders>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340" w:type="dxa"/>
            <w:vAlign w:val="bottom"/>
            <w:tcBorders>
              <w:bottom w:val="single" w:sz="8" w:color="E7417A"/>
            </w:tcBorders>
          </w:tcPr>
          <w:p>
            <w:pPr>
              <w:spacing w:after="0"/>
              <w:rPr>
                <w:sz w:val="8"/>
                <w:szCs w:val="8"/>
                <w:color w:val="auto"/>
              </w:rPr>
            </w:pPr>
          </w:p>
        </w:tc>
        <w:tc>
          <w:tcPr>
            <w:tcW w:w="180" w:type="dxa"/>
            <w:vAlign w:val="bottom"/>
            <w:tcBorders>
              <w:bottom w:val="single" w:sz="8" w:color="E7417A"/>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E7417A"/>
            </w:tcBorders>
          </w:tcPr>
          <w:p>
            <w:pPr>
              <w:spacing w:after="0"/>
              <w:rPr>
                <w:sz w:val="8"/>
                <w:szCs w:val="8"/>
                <w:color w:val="auto"/>
              </w:rPr>
            </w:pPr>
          </w:p>
        </w:tc>
        <w:tc>
          <w:tcPr>
            <w:tcW w:w="320" w:type="dxa"/>
            <w:vAlign w:val="bottom"/>
            <w:tcBorders>
              <w:bottom w:val="single" w:sz="8" w:color="E7417A"/>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E7417A"/>
            </w:tcBorders>
          </w:tcPr>
          <w:p>
            <w:pPr>
              <w:spacing w:after="0"/>
              <w:rPr>
                <w:sz w:val="8"/>
                <w:szCs w:val="8"/>
                <w:color w:val="auto"/>
              </w:rPr>
            </w:pPr>
          </w:p>
        </w:tc>
        <w:tc>
          <w:tcPr>
            <w:tcW w:w="42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E7417A"/>
            </w:tcBorders>
          </w:tcPr>
          <w:p>
            <w:pPr>
              <w:spacing w:after="0"/>
              <w:rPr>
                <w:sz w:val="8"/>
                <w:szCs w:val="8"/>
                <w:color w:val="auto"/>
              </w:rPr>
            </w:pPr>
          </w:p>
        </w:tc>
        <w:tc>
          <w:tcPr>
            <w:tcW w:w="460" w:type="dxa"/>
            <w:vAlign w:val="bottom"/>
            <w:tcBorders>
              <w:bottom w:val="single" w:sz="8" w:color="E7417A"/>
            </w:tcBorders>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380" w:type="dxa"/>
            <w:vAlign w:val="bottom"/>
            <w:tcBorders>
              <w:bottom w:val="single" w:sz="8" w:color="E7417A"/>
            </w:tcBorders>
          </w:tcPr>
          <w:p>
            <w:pPr>
              <w:spacing w:after="0"/>
              <w:rPr>
                <w:sz w:val="8"/>
                <w:szCs w:val="8"/>
                <w:color w:val="auto"/>
              </w:rPr>
            </w:pPr>
          </w:p>
        </w:tc>
        <w:tc>
          <w:tcPr>
            <w:tcW w:w="8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E7417A"/>
            </w:tcBorders>
          </w:tcPr>
          <w:p>
            <w:pPr>
              <w:spacing w:after="0"/>
              <w:rPr>
                <w:sz w:val="8"/>
                <w:szCs w:val="8"/>
                <w:color w:val="auto"/>
              </w:rPr>
            </w:pPr>
          </w:p>
        </w:tc>
        <w:tc>
          <w:tcPr>
            <w:tcW w:w="380" w:type="dxa"/>
            <w:vAlign w:val="bottom"/>
            <w:tcBorders>
              <w:bottom w:val="single" w:sz="8" w:color="E7417A"/>
            </w:tcBorders>
          </w:tcPr>
          <w:p>
            <w:pPr>
              <w:spacing w:after="0"/>
              <w:rPr>
                <w:sz w:val="8"/>
                <w:szCs w:val="8"/>
                <w:color w:val="auto"/>
              </w:rPr>
            </w:pPr>
          </w:p>
        </w:tc>
        <w:tc>
          <w:tcPr>
            <w:tcW w:w="8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E7417A"/>
            </w:tcBorders>
          </w:tcPr>
          <w:p>
            <w:pPr>
              <w:spacing w:after="0"/>
              <w:rPr>
                <w:sz w:val="8"/>
                <w:szCs w:val="8"/>
                <w:color w:val="auto"/>
              </w:rPr>
            </w:pPr>
          </w:p>
        </w:tc>
        <w:tc>
          <w:tcPr>
            <w:tcW w:w="380" w:type="dxa"/>
            <w:vAlign w:val="bottom"/>
            <w:tcBorders>
              <w:bottom w:val="single" w:sz="8" w:color="E7417A"/>
            </w:tcBorders>
          </w:tcPr>
          <w:p>
            <w:pPr>
              <w:spacing w:after="0"/>
              <w:rPr>
                <w:sz w:val="8"/>
                <w:szCs w:val="8"/>
                <w:color w:val="auto"/>
              </w:rPr>
            </w:pPr>
          </w:p>
        </w:tc>
        <w:tc>
          <w:tcPr>
            <w:tcW w:w="8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340" w:type="dxa"/>
            <w:vAlign w:val="bottom"/>
            <w:tcBorders>
              <w:bottom w:val="single" w:sz="8" w:color="E7417A"/>
            </w:tcBorders>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80" w:type="dxa"/>
            <w:vAlign w:val="bottom"/>
            <w:tcBorders>
              <w:bottom w:val="single" w:sz="8" w:color="FEFEFE"/>
            </w:tcBorders>
            <w:shd w:val="clear" w:color="auto" w:fill="62259D"/>
          </w:tcPr>
          <w:p>
            <w:pPr>
              <w:spacing w:after="0"/>
              <w:rPr>
                <w:sz w:val="8"/>
                <w:szCs w:val="8"/>
                <w:color w:val="auto"/>
              </w:rPr>
            </w:pPr>
          </w:p>
        </w:tc>
        <w:tc>
          <w:tcPr>
            <w:tcW w:w="140" w:type="dxa"/>
            <w:vAlign w:val="bottom"/>
            <w:tcBorders>
              <w:bottom w:val="single" w:sz="8" w:color="FEFEFE"/>
            </w:tcBorders>
            <w:shd w:val="clear" w:color="auto" w:fill="62259D"/>
          </w:tcPr>
          <w:p>
            <w:pPr>
              <w:spacing w:after="0"/>
              <w:rPr>
                <w:sz w:val="8"/>
                <w:szCs w:val="8"/>
                <w:color w:val="auto"/>
              </w:rPr>
            </w:pPr>
          </w:p>
        </w:tc>
        <w:tc>
          <w:tcPr>
            <w:tcW w:w="100" w:type="dxa"/>
            <w:vAlign w:val="bottom"/>
            <w:tcBorders>
              <w:bottom w:val="single" w:sz="8" w:color="FEFEFE"/>
            </w:tcBorders>
            <w:shd w:val="clear" w:color="auto" w:fill="62259D"/>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60" w:type="dxa"/>
            <w:vAlign w:val="bottom"/>
            <w:gridSpan w:val="2"/>
          </w:tcPr>
          <w:p>
            <w:pPr>
              <w:ind w:left="540"/>
              <w:spacing w:after="0"/>
              <w:rPr>
                <w:sz w:val="20"/>
                <w:szCs w:val="20"/>
                <w:color w:val="auto"/>
              </w:rPr>
            </w:pPr>
            <w:r>
              <w:rPr>
                <w:rFonts w:ascii="Arial" w:cs="Arial" w:eastAsia="Arial" w:hAnsi="Arial"/>
                <w:sz w:val="13"/>
                <w:szCs w:val="13"/>
                <w:color w:val="auto"/>
              </w:rPr>
              <w:t>Financial industry,</w:t>
            </w:r>
          </w:p>
        </w:tc>
        <w:tc>
          <w:tcPr>
            <w:tcW w:w="30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420" w:type="dxa"/>
            <w:vAlign w:val="bottom"/>
            <w:gridSpan w:val="3"/>
            <w:vMerge w:val="restart"/>
          </w:tcPr>
          <w:p>
            <w:pPr>
              <w:ind w:left="12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7"/>
                <w:szCs w:val="17"/>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8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42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400" w:type="dxa"/>
            <w:vAlign w:val="bottom"/>
            <w:gridSpan w:val="3"/>
            <w:vMerge w:val="restart"/>
          </w:tcPr>
          <w:p>
            <w:pPr>
              <w:ind w:left="60"/>
              <w:spacing w:after="0"/>
              <w:rPr>
                <w:sz w:val="20"/>
                <w:szCs w:val="20"/>
                <w:color w:val="auto"/>
              </w:rPr>
            </w:pPr>
            <w:r>
              <w:rPr>
                <w:rFonts w:ascii="Arial" w:cs="Arial" w:eastAsia="Arial" w:hAnsi="Arial"/>
                <w:sz w:val="14"/>
                <w:szCs w:val="14"/>
                <w:color w:val="auto"/>
              </w:rPr>
              <w:t>​ ​</w:t>
            </w:r>
          </w:p>
        </w:tc>
        <w:tc>
          <w:tcPr>
            <w:tcW w:w="460" w:type="dxa"/>
            <w:vAlign w:val="bottom"/>
          </w:tcPr>
          <w:p>
            <w:pPr>
              <w:spacing w:after="0"/>
              <w:rPr>
                <w:sz w:val="17"/>
                <w:szCs w:val="17"/>
                <w:color w:val="auto"/>
              </w:rPr>
            </w:pPr>
          </w:p>
        </w:tc>
        <w:tc>
          <w:tcPr>
            <w:tcW w:w="460" w:type="dxa"/>
            <w:vAlign w:val="bottom"/>
            <w:gridSpan w:val="3"/>
            <w:vMerge w:val="restart"/>
          </w:tcPr>
          <w:p>
            <w:pPr>
              <w:ind w:left="200"/>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17"/>
                <w:szCs w:val="17"/>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60"/>
              <w:spacing w:after="0"/>
              <w:rPr>
                <w:sz w:val="20"/>
                <w:szCs w:val="20"/>
                <w:color w:val="auto"/>
              </w:rPr>
            </w:pPr>
            <w:r>
              <w:rPr>
                <w:rFonts w:ascii="Arial" w:cs="Arial" w:eastAsia="Arial" w:hAnsi="Arial"/>
                <w:sz w:val="1"/>
                <w:szCs w:val="1"/>
                <w:color w:val="auto"/>
                <w:w w:val="4294942296"/>
              </w:rPr>
              <w:t>​</w:t>
            </w:r>
          </w:p>
        </w:tc>
        <w:tc>
          <w:tcPr>
            <w:tcW w:w="140" w:type="dxa"/>
            <w:vAlign w:val="bottom"/>
            <w:vMerge w:val="restart"/>
            <w:shd w:val="clear" w:color="auto" w:fill="62259D"/>
          </w:tcPr>
          <w:p>
            <w:pPr>
              <w:jc w:val="right"/>
              <w:spacing w:after="0"/>
              <w:rPr>
                <w:sz w:val="20"/>
                <w:szCs w:val="20"/>
                <w:color w:val="auto"/>
              </w:rPr>
            </w:pPr>
            <w:r>
              <w:rPr>
                <w:rFonts w:ascii="Arial" w:cs="Arial" w:eastAsia="Arial" w:hAnsi="Arial"/>
                <w:sz w:val="14"/>
                <w:szCs w:val="14"/>
                <w:b w:val="1"/>
                <w:bCs w:val="1"/>
                <w:color w:val="FEFEFE"/>
              </w:rPr>
              <w:t>8</w:t>
            </w:r>
          </w:p>
        </w:tc>
        <w:tc>
          <w:tcPr>
            <w:tcW w:w="100" w:type="dxa"/>
            <w:vAlign w:val="bottom"/>
            <w:vMerge w:val="restart"/>
            <w:shd w:val="clear" w:color="auto" w:fill="62259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1660" w:type="dxa"/>
            <w:vAlign w:val="bottom"/>
            <w:gridSpan w:val="2"/>
          </w:tcPr>
          <w:p>
            <w:pPr>
              <w:ind w:left="50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investments, M&amp;A</w:t>
            </w:r>
          </w:p>
        </w:tc>
        <w:tc>
          <w:tcPr>
            <w:tcW w:w="3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gridSpan w:val="3"/>
            <w:vMerge w:val="continue"/>
          </w:tcPr>
          <w:p>
            <w:pPr>
              <w:spacing w:after="0"/>
              <w:rPr>
                <w:sz w:val="24"/>
                <w:szCs w:val="24"/>
                <w:color w:val="auto"/>
              </w:rPr>
            </w:pPr>
          </w:p>
        </w:tc>
        <w:tc>
          <w:tcPr>
            <w:tcW w:w="480" w:type="dxa"/>
            <w:vAlign w:val="bottom"/>
            <w:gridSpan w:val="3"/>
            <w:vMerge w:val="continue"/>
          </w:tcPr>
          <w:p>
            <w:pPr>
              <w:spacing w:after="0"/>
              <w:rPr>
                <w:sz w:val="24"/>
                <w:szCs w:val="24"/>
                <w:color w:val="auto"/>
              </w:rPr>
            </w:pPr>
          </w:p>
        </w:tc>
        <w:tc>
          <w:tcPr>
            <w:tcW w:w="420" w:type="dxa"/>
            <w:vAlign w:val="bottom"/>
            <w:vMerge w:val="continue"/>
          </w:tcPr>
          <w:p>
            <w:pPr>
              <w:spacing w:after="0"/>
              <w:rPr>
                <w:sz w:val="24"/>
                <w:szCs w:val="24"/>
                <w:color w:val="auto"/>
              </w:rPr>
            </w:pPr>
          </w:p>
        </w:tc>
        <w:tc>
          <w:tcPr>
            <w:tcW w:w="4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80" w:type="dxa"/>
            <w:vAlign w:val="bottom"/>
            <w:vMerge w:val="continue"/>
            <w:shd w:val="clear" w:color="auto" w:fill="62259D"/>
          </w:tcPr>
          <w:p>
            <w:pPr>
              <w:spacing w:after="0"/>
              <w:rPr>
                <w:sz w:val="24"/>
                <w:szCs w:val="24"/>
                <w:color w:val="auto"/>
              </w:rPr>
            </w:pPr>
          </w:p>
        </w:tc>
        <w:tc>
          <w:tcPr>
            <w:tcW w:w="140" w:type="dxa"/>
            <w:vAlign w:val="bottom"/>
            <w:vMerge w:val="continue"/>
            <w:shd w:val="clear" w:color="auto" w:fill="62259D"/>
          </w:tcPr>
          <w:p>
            <w:pPr>
              <w:spacing w:after="0"/>
              <w:rPr>
                <w:sz w:val="24"/>
                <w:szCs w:val="24"/>
                <w:color w:val="auto"/>
              </w:rPr>
            </w:pPr>
          </w:p>
        </w:tc>
        <w:tc>
          <w:tcPr>
            <w:tcW w:w="100" w:type="dxa"/>
            <w:vAlign w:val="bottom"/>
            <w:vMerge w:val="continue"/>
            <w:shd w:val="clear" w:color="auto" w:fill="62259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660" w:type="dxa"/>
            <w:vAlign w:val="bottom"/>
            <w:gridSpan w:val="2"/>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32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0" w:type="dxa"/>
            <w:vAlign w:val="bottom"/>
          </w:tcPr>
          <w:p>
            <w:pPr>
              <w:spacing w:after="0"/>
              <w:rPr>
                <w:sz w:val="24"/>
                <w:szCs w:val="24"/>
                <w:color w:val="auto"/>
              </w:rPr>
            </w:pPr>
          </w:p>
        </w:tc>
        <w:tc>
          <w:tcPr>
            <w:tcW w:w="1660" w:type="dxa"/>
            <w:vAlign w:val="bottom"/>
            <w:gridSpan w:val="2"/>
          </w:tcPr>
          <w:p>
            <w:pPr>
              <w:ind w:left="5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Global business</w:t>
            </w:r>
          </w:p>
        </w:tc>
        <w:tc>
          <w:tcPr>
            <w:tcW w:w="30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280" w:type="dxa"/>
            <w:vAlign w:val="bottom"/>
          </w:tcPr>
          <w:p>
            <w:pPr>
              <w:jc w:val="center"/>
              <w:spacing w:after="0"/>
              <w:rPr>
                <w:sz w:val="20"/>
                <w:szCs w:val="20"/>
                <w:color w:val="auto"/>
              </w:rPr>
            </w:pPr>
            <w:r>
              <w:rPr>
                <w:rFonts w:ascii="Arial" w:cs="Arial" w:eastAsia="Arial" w:hAnsi="Arial"/>
                <w:sz w:val="14"/>
                <w:szCs w:val="14"/>
                <w:color w:val="auto"/>
              </w:rPr>
              <w:t>​</w:t>
            </w:r>
          </w:p>
        </w:tc>
        <w:tc>
          <w:tcPr>
            <w:tcW w:w="420" w:type="dxa"/>
            <w:vAlign w:val="bottom"/>
            <w:gridSpan w:val="3"/>
          </w:tcPr>
          <w:p>
            <w:pPr>
              <w:ind w:left="120"/>
              <w:spacing w:after="0"/>
              <w:rPr>
                <w:sz w:val="20"/>
                <w:szCs w:val="20"/>
                <w:color w:val="auto"/>
              </w:rPr>
            </w:pPr>
            <w:r>
              <w:rPr>
                <w:rFonts w:ascii="Arial" w:cs="Arial" w:eastAsia="Arial" w:hAnsi="Arial"/>
                <w:sz w:val="14"/>
                <w:szCs w:val="14"/>
                <w:color w:val="auto"/>
              </w:rPr>
              <w:t>​ ​</w:t>
            </w:r>
          </w:p>
        </w:tc>
        <w:tc>
          <w:tcPr>
            <w:tcW w:w="34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gridSpan w:val="3"/>
          </w:tcPr>
          <w:p>
            <w:pPr>
              <w:ind w:left="160"/>
              <w:spacing w:after="0"/>
              <w:rPr>
                <w:sz w:val="20"/>
                <w:szCs w:val="20"/>
                <w:color w:val="auto"/>
              </w:rPr>
            </w:pPr>
            <w:r>
              <w:rPr>
                <w:rFonts w:ascii="Arial" w:cs="Arial" w:eastAsia="Arial" w:hAnsi="Arial"/>
                <w:sz w:val="14"/>
                <w:szCs w:val="14"/>
                <w:color w:val="auto"/>
              </w:rPr>
              <w:t>​ ​</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400" w:type="dxa"/>
            <w:vAlign w:val="bottom"/>
            <w:gridSpan w:val="3"/>
          </w:tcPr>
          <w:p>
            <w:pPr>
              <w:ind w:left="60"/>
              <w:spacing w:after="0"/>
              <w:rPr>
                <w:sz w:val="20"/>
                <w:szCs w:val="20"/>
                <w:color w:val="auto"/>
              </w:rPr>
            </w:pPr>
            <w:r>
              <w:rPr>
                <w:rFonts w:ascii="Arial" w:cs="Arial" w:eastAsia="Arial" w:hAnsi="Arial"/>
                <w:sz w:val="14"/>
                <w:szCs w:val="14"/>
                <w:color w:val="auto"/>
              </w:rPr>
              <w:t>​ ​</w:t>
            </w:r>
          </w:p>
        </w:tc>
        <w:tc>
          <w:tcPr>
            <w:tcW w:w="460" w:type="dxa"/>
            <w:vAlign w:val="bottom"/>
          </w:tcPr>
          <w:p>
            <w:pPr>
              <w:spacing w:after="0"/>
              <w:rPr>
                <w:sz w:val="24"/>
                <w:szCs w:val="24"/>
                <w:color w:val="auto"/>
              </w:rPr>
            </w:pPr>
          </w:p>
        </w:tc>
        <w:tc>
          <w:tcPr>
            <w:tcW w:w="460" w:type="dxa"/>
            <w:vAlign w:val="bottom"/>
            <w:gridSpan w:val="3"/>
          </w:tcPr>
          <w:p>
            <w:pPr>
              <w:ind w:left="200"/>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00" w:type="dxa"/>
            <w:vAlign w:val="bottom"/>
          </w:tcPr>
          <w:p>
            <w:pPr>
              <w:ind w:lef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62259D"/>
          </w:tcPr>
          <w:p>
            <w:pPr>
              <w:ind w:left="60"/>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62259D"/>
          </w:tcPr>
          <w:p>
            <w:pPr>
              <w:jc w:val="right"/>
              <w:spacing w:after="0"/>
              <w:rPr>
                <w:sz w:val="20"/>
                <w:szCs w:val="20"/>
                <w:color w:val="auto"/>
              </w:rPr>
            </w:pPr>
            <w:r>
              <w:rPr>
                <w:rFonts w:ascii="Arial" w:cs="Arial" w:eastAsia="Arial" w:hAnsi="Arial"/>
                <w:sz w:val="14"/>
                <w:szCs w:val="14"/>
                <w:b w:val="1"/>
                <w:bCs w:val="1"/>
                <w:color w:val="FEFEFE"/>
              </w:rPr>
              <w:t>6</w:t>
            </w:r>
          </w:p>
        </w:tc>
        <w:tc>
          <w:tcPr>
            <w:tcW w:w="100" w:type="dxa"/>
            <w:vAlign w:val="bottom"/>
            <w:shd w:val="clear" w:color="auto" w:fill="62259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80" w:type="dxa"/>
            <w:vAlign w:val="bottom"/>
            <w:tcBorders>
              <w:bottom w:val="single" w:sz="8" w:color="E7417A"/>
            </w:tcBorders>
          </w:tcPr>
          <w:p>
            <w:pPr>
              <w:spacing w:after="0"/>
              <w:rPr>
                <w:sz w:val="6"/>
                <w:szCs w:val="6"/>
                <w:color w:val="auto"/>
              </w:rPr>
            </w:pPr>
          </w:p>
        </w:tc>
        <w:tc>
          <w:tcPr>
            <w:tcW w:w="1660" w:type="dxa"/>
            <w:vAlign w:val="bottom"/>
            <w:tcBorders>
              <w:bottom w:val="single" w:sz="8" w:color="E7417A"/>
            </w:tcBorders>
            <w:gridSpan w:val="2"/>
          </w:tcPr>
          <w:p>
            <w:pPr>
              <w:spacing w:after="0"/>
              <w:rPr>
                <w:sz w:val="6"/>
                <w:szCs w:val="6"/>
                <w:color w:val="auto"/>
              </w:rPr>
            </w:pPr>
          </w:p>
        </w:tc>
        <w:tc>
          <w:tcPr>
            <w:tcW w:w="8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280" w:type="dxa"/>
            <w:vAlign w:val="bottom"/>
            <w:tcBorders>
              <w:bottom w:val="single" w:sz="8" w:color="E7417A"/>
            </w:tcBorders>
          </w:tcPr>
          <w:p>
            <w:pPr>
              <w:spacing w:after="0"/>
              <w:rPr>
                <w:sz w:val="6"/>
                <w:szCs w:val="6"/>
                <w:color w:val="auto"/>
              </w:rPr>
            </w:pPr>
          </w:p>
        </w:tc>
        <w:tc>
          <w:tcPr>
            <w:tcW w:w="16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E7417A"/>
            </w:tcBorders>
          </w:tcPr>
          <w:p>
            <w:pPr>
              <w:spacing w:after="0"/>
              <w:rPr>
                <w:sz w:val="6"/>
                <w:szCs w:val="6"/>
                <w:color w:val="auto"/>
              </w:rPr>
            </w:pPr>
          </w:p>
        </w:tc>
        <w:tc>
          <w:tcPr>
            <w:tcW w:w="340" w:type="dxa"/>
            <w:vAlign w:val="bottom"/>
            <w:tcBorders>
              <w:bottom w:val="single" w:sz="8" w:color="E7417A"/>
            </w:tcBorders>
          </w:tcPr>
          <w:p>
            <w:pPr>
              <w:spacing w:after="0"/>
              <w:rPr>
                <w:sz w:val="6"/>
                <w:szCs w:val="6"/>
                <w:color w:val="auto"/>
              </w:rPr>
            </w:pPr>
          </w:p>
        </w:tc>
        <w:tc>
          <w:tcPr>
            <w:tcW w:w="180" w:type="dxa"/>
            <w:vAlign w:val="bottom"/>
            <w:tcBorders>
              <w:bottom w:val="single" w:sz="8" w:color="E7417A"/>
            </w:tcBorders>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bottom w:val="single" w:sz="8" w:color="E7417A"/>
            </w:tcBorders>
          </w:tcPr>
          <w:p>
            <w:pPr>
              <w:spacing w:after="0"/>
              <w:rPr>
                <w:sz w:val="6"/>
                <w:szCs w:val="6"/>
                <w:color w:val="auto"/>
              </w:rPr>
            </w:pPr>
          </w:p>
        </w:tc>
        <w:tc>
          <w:tcPr>
            <w:tcW w:w="320" w:type="dxa"/>
            <w:vAlign w:val="bottom"/>
            <w:tcBorders>
              <w:bottom w:val="single" w:sz="8" w:color="E7417A"/>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E7417A"/>
            </w:tcBorders>
          </w:tcPr>
          <w:p>
            <w:pPr>
              <w:spacing w:after="0"/>
              <w:rPr>
                <w:sz w:val="6"/>
                <w:szCs w:val="6"/>
                <w:color w:val="auto"/>
              </w:rPr>
            </w:pPr>
          </w:p>
        </w:tc>
        <w:tc>
          <w:tcPr>
            <w:tcW w:w="420" w:type="dxa"/>
            <w:vAlign w:val="bottom"/>
            <w:tcBorders>
              <w:bottom w:val="single" w:sz="8" w:color="E7417A"/>
            </w:tcBorders>
          </w:tcPr>
          <w:p>
            <w:pPr>
              <w:spacing w:after="0"/>
              <w:rPr>
                <w:sz w:val="6"/>
                <w:szCs w:val="6"/>
                <w:color w:val="auto"/>
              </w:rPr>
            </w:pPr>
          </w:p>
        </w:tc>
        <w:tc>
          <w:tcPr>
            <w:tcW w:w="10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E7417A"/>
            </w:tcBorders>
          </w:tcPr>
          <w:p>
            <w:pPr>
              <w:spacing w:after="0"/>
              <w:rPr>
                <w:sz w:val="6"/>
                <w:szCs w:val="6"/>
                <w:color w:val="auto"/>
              </w:rPr>
            </w:pPr>
          </w:p>
        </w:tc>
        <w:tc>
          <w:tcPr>
            <w:tcW w:w="460" w:type="dxa"/>
            <w:vAlign w:val="bottom"/>
            <w:tcBorders>
              <w:bottom w:val="single" w:sz="8" w:color="E7417A"/>
            </w:tcBorders>
          </w:tcPr>
          <w:p>
            <w:pPr>
              <w:spacing w:after="0"/>
              <w:rPr>
                <w:sz w:val="6"/>
                <w:szCs w:val="6"/>
                <w:color w:val="auto"/>
              </w:rPr>
            </w:pPr>
          </w:p>
        </w:tc>
        <w:tc>
          <w:tcPr>
            <w:tcW w:w="24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380" w:type="dxa"/>
            <w:vAlign w:val="bottom"/>
            <w:tcBorders>
              <w:bottom w:val="single" w:sz="8" w:color="E7417A"/>
            </w:tcBorders>
          </w:tcPr>
          <w:p>
            <w:pPr>
              <w:spacing w:after="0"/>
              <w:rPr>
                <w:sz w:val="6"/>
                <w:szCs w:val="6"/>
                <w:color w:val="auto"/>
              </w:rPr>
            </w:pPr>
          </w:p>
        </w:tc>
        <w:tc>
          <w:tcPr>
            <w:tcW w:w="8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E7417A"/>
            </w:tcBorders>
          </w:tcPr>
          <w:p>
            <w:pPr>
              <w:spacing w:after="0"/>
              <w:rPr>
                <w:sz w:val="6"/>
                <w:szCs w:val="6"/>
                <w:color w:val="auto"/>
              </w:rPr>
            </w:pPr>
          </w:p>
        </w:tc>
        <w:tc>
          <w:tcPr>
            <w:tcW w:w="380" w:type="dxa"/>
            <w:vAlign w:val="bottom"/>
            <w:tcBorders>
              <w:bottom w:val="single" w:sz="8" w:color="E7417A"/>
            </w:tcBorders>
          </w:tcPr>
          <w:p>
            <w:pPr>
              <w:spacing w:after="0"/>
              <w:rPr>
                <w:sz w:val="6"/>
                <w:szCs w:val="6"/>
                <w:color w:val="auto"/>
              </w:rPr>
            </w:pPr>
          </w:p>
        </w:tc>
        <w:tc>
          <w:tcPr>
            <w:tcW w:w="8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E7417A"/>
            </w:tcBorders>
          </w:tcPr>
          <w:p>
            <w:pPr>
              <w:spacing w:after="0"/>
              <w:rPr>
                <w:sz w:val="6"/>
                <w:szCs w:val="6"/>
                <w:color w:val="auto"/>
              </w:rPr>
            </w:pPr>
          </w:p>
        </w:tc>
        <w:tc>
          <w:tcPr>
            <w:tcW w:w="380" w:type="dxa"/>
            <w:vAlign w:val="bottom"/>
            <w:tcBorders>
              <w:bottom w:val="single" w:sz="8" w:color="E7417A"/>
            </w:tcBorders>
          </w:tcPr>
          <w:p>
            <w:pPr>
              <w:spacing w:after="0"/>
              <w:rPr>
                <w:sz w:val="6"/>
                <w:szCs w:val="6"/>
                <w:color w:val="auto"/>
              </w:rPr>
            </w:pPr>
          </w:p>
        </w:tc>
        <w:tc>
          <w:tcPr>
            <w:tcW w:w="8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E7417A"/>
            </w:tcBorders>
          </w:tcPr>
          <w:p>
            <w:pPr>
              <w:spacing w:after="0"/>
              <w:rPr>
                <w:sz w:val="6"/>
                <w:szCs w:val="6"/>
                <w:color w:val="auto"/>
              </w:rPr>
            </w:pPr>
          </w:p>
        </w:tc>
        <w:tc>
          <w:tcPr>
            <w:tcW w:w="340" w:type="dxa"/>
            <w:vAlign w:val="bottom"/>
            <w:tcBorders>
              <w:bottom w:val="single" w:sz="8" w:color="E7417A"/>
            </w:tcBorders>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80" w:type="dxa"/>
            <w:vAlign w:val="bottom"/>
            <w:tcBorders>
              <w:bottom w:val="single" w:sz="8" w:color="FEFEFE"/>
            </w:tcBorders>
            <w:shd w:val="clear" w:color="auto" w:fill="62259D"/>
          </w:tcPr>
          <w:p>
            <w:pPr>
              <w:spacing w:after="0"/>
              <w:rPr>
                <w:sz w:val="6"/>
                <w:szCs w:val="6"/>
                <w:color w:val="auto"/>
              </w:rPr>
            </w:pPr>
          </w:p>
        </w:tc>
        <w:tc>
          <w:tcPr>
            <w:tcW w:w="140" w:type="dxa"/>
            <w:vAlign w:val="bottom"/>
            <w:tcBorders>
              <w:bottom w:val="single" w:sz="8" w:color="FEFEFE"/>
            </w:tcBorders>
            <w:shd w:val="clear" w:color="auto" w:fill="62259D"/>
          </w:tcPr>
          <w:p>
            <w:pPr>
              <w:spacing w:after="0"/>
              <w:rPr>
                <w:sz w:val="6"/>
                <w:szCs w:val="6"/>
                <w:color w:val="auto"/>
              </w:rPr>
            </w:pPr>
          </w:p>
        </w:tc>
        <w:tc>
          <w:tcPr>
            <w:tcW w:w="100" w:type="dxa"/>
            <w:vAlign w:val="bottom"/>
            <w:tcBorders>
              <w:bottom w:val="single" w:sz="8" w:color="FEFEFE"/>
            </w:tcBorders>
            <w:shd w:val="clear" w:color="auto" w:fill="62259D"/>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660" w:type="dxa"/>
            <w:vAlign w:val="bottom"/>
            <w:gridSpan w:val="2"/>
          </w:tcPr>
          <w:p>
            <w:pPr>
              <w:ind w:left="540"/>
              <w:spacing w:after="0"/>
              <w:rPr>
                <w:sz w:val="20"/>
                <w:szCs w:val="20"/>
                <w:color w:val="auto"/>
              </w:rPr>
            </w:pPr>
            <w:r>
              <w:rPr>
                <w:rFonts w:ascii="Arial" w:cs="Arial" w:eastAsia="Arial" w:hAnsi="Arial"/>
                <w:sz w:val="13"/>
                <w:szCs w:val="13"/>
                <w:color w:val="auto"/>
              </w:rPr>
              <w:t>Human capital</w:t>
            </w:r>
          </w:p>
        </w:tc>
        <w:tc>
          <w:tcPr>
            <w:tcW w:w="30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7"/>
                <w:szCs w:val="17"/>
                <w:color w:val="auto"/>
              </w:rPr>
            </w:pPr>
          </w:p>
        </w:tc>
        <w:tc>
          <w:tcPr>
            <w:tcW w:w="420" w:type="dxa"/>
            <w:vAlign w:val="bottom"/>
            <w:gridSpan w:val="3"/>
            <w:vMerge w:val="restart"/>
          </w:tcPr>
          <w:p>
            <w:pPr>
              <w:ind w:left="12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7"/>
                <w:szCs w:val="17"/>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8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7"/>
                <w:szCs w:val="17"/>
                <w:color w:val="auto"/>
              </w:rPr>
            </w:pPr>
          </w:p>
        </w:tc>
        <w:tc>
          <w:tcPr>
            <w:tcW w:w="400" w:type="dxa"/>
            <w:vAlign w:val="bottom"/>
            <w:gridSpan w:val="3"/>
            <w:vMerge w:val="restart"/>
          </w:tcPr>
          <w:p>
            <w:pPr>
              <w:ind w:left="60"/>
              <w:spacing w:after="0"/>
              <w:rPr>
                <w:sz w:val="20"/>
                <w:szCs w:val="20"/>
                <w:color w:val="auto"/>
              </w:rPr>
            </w:pPr>
            <w:r>
              <w:rPr>
                <w:rFonts w:ascii="Arial" w:cs="Arial" w:eastAsia="Arial" w:hAnsi="Arial"/>
                <w:sz w:val="14"/>
                <w:szCs w:val="14"/>
                <w:color w:val="auto"/>
              </w:rPr>
              <w:t>​ ​</w:t>
            </w:r>
          </w:p>
        </w:tc>
        <w:tc>
          <w:tcPr>
            <w:tcW w:w="460" w:type="dxa"/>
            <w:vAlign w:val="bottom"/>
          </w:tcPr>
          <w:p>
            <w:pPr>
              <w:spacing w:after="0"/>
              <w:rPr>
                <w:sz w:val="17"/>
                <w:szCs w:val="17"/>
                <w:color w:val="auto"/>
              </w:rPr>
            </w:pPr>
          </w:p>
        </w:tc>
        <w:tc>
          <w:tcPr>
            <w:tcW w:w="460" w:type="dxa"/>
            <w:vAlign w:val="bottom"/>
            <w:gridSpan w:val="3"/>
            <w:vMerge w:val="restart"/>
          </w:tcPr>
          <w:p>
            <w:pPr>
              <w:ind w:left="200"/>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17"/>
                <w:szCs w:val="17"/>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60"/>
              <w:spacing w:after="0"/>
              <w:rPr>
                <w:sz w:val="20"/>
                <w:szCs w:val="20"/>
                <w:color w:val="auto"/>
              </w:rPr>
            </w:pPr>
            <w:r>
              <w:rPr>
                <w:rFonts w:ascii="Arial" w:cs="Arial" w:eastAsia="Arial" w:hAnsi="Arial"/>
                <w:sz w:val="1"/>
                <w:szCs w:val="1"/>
                <w:color w:val="auto"/>
                <w:w w:val="4294942296"/>
              </w:rPr>
              <w:t>​</w:t>
            </w:r>
          </w:p>
        </w:tc>
        <w:tc>
          <w:tcPr>
            <w:tcW w:w="140" w:type="dxa"/>
            <w:vAlign w:val="bottom"/>
            <w:vMerge w:val="restart"/>
            <w:shd w:val="clear" w:color="auto" w:fill="62259D"/>
          </w:tcPr>
          <w:p>
            <w:pPr>
              <w:jc w:val="right"/>
              <w:spacing w:after="0"/>
              <w:rPr>
                <w:sz w:val="20"/>
                <w:szCs w:val="20"/>
                <w:color w:val="auto"/>
              </w:rPr>
            </w:pPr>
            <w:r>
              <w:rPr>
                <w:rFonts w:ascii="Arial" w:cs="Arial" w:eastAsia="Arial" w:hAnsi="Arial"/>
                <w:sz w:val="14"/>
                <w:szCs w:val="14"/>
                <w:b w:val="1"/>
                <w:bCs w:val="1"/>
                <w:color w:val="FEFEFE"/>
              </w:rPr>
              <w:t>8</w:t>
            </w:r>
          </w:p>
        </w:tc>
        <w:tc>
          <w:tcPr>
            <w:tcW w:w="100" w:type="dxa"/>
            <w:vAlign w:val="bottom"/>
            <w:vMerge w:val="restart"/>
            <w:shd w:val="clear" w:color="auto" w:fill="62259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660" w:type="dxa"/>
            <w:vAlign w:val="bottom"/>
            <w:gridSpan w:val="2"/>
          </w:tcPr>
          <w:p>
            <w:pPr>
              <w:ind w:left="50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management</w:t>
            </w:r>
          </w:p>
        </w:tc>
        <w:tc>
          <w:tcPr>
            <w:tcW w:w="3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gridSpan w:val="3"/>
            <w:vMerge w:val="continue"/>
          </w:tcPr>
          <w:p>
            <w:pPr>
              <w:spacing w:after="0"/>
              <w:rPr>
                <w:sz w:val="24"/>
                <w:szCs w:val="24"/>
                <w:color w:val="auto"/>
              </w:rPr>
            </w:pPr>
          </w:p>
        </w:tc>
        <w:tc>
          <w:tcPr>
            <w:tcW w:w="4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80" w:type="dxa"/>
            <w:vAlign w:val="bottom"/>
            <w:vMerge w:val="continue"/>
            <w:shd w:val="clear" w:color="auto" w:fill="62259D"/>
          </w:tcPr>
          <w:p>
            <w:pPr>
              <w:spacing w:after="0"/>
              <w:rPr>
                <w:sz w:val="24"/>
                <w:szCs w:val="24"/>
                <w:color w:val="auto"/>
              </w:rPr>
            </w:pPr>
          </w:p>
        </w:tc>
        <w:tc>
          <w:tcPr>
            <w:tcW w:w="140" w:type="dxa"/>
            <w:vAlign w:val="bottom"/>
            <w:vMerge w:val="continue"/>
            <w:shd w:val="clear" w:color="auto" w:fill="62259D"/>
          </w:tcPr>
          <w:p>
            <w:pPr>
              <w:spacing w:after="0"/>
              <w:rPr>
                <w:sz w:val="24"/>
                <w:szCs w:val="24"/>
                <w:color w:val="auto"/>
              </w:rPr>
            </w:pPr>
          </w:p>
        </w:tc>
        <w:tc>
          <w:tcPr>
            <w:tcW w:w="100" w:type="dxa"/>
            <w:vAlign w:val="bottom"/>
            <w:vMerge w:val="continue"/>
            <w:shd w:val="clear" w:color="auto" w:fill="62259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660" w:type="dxa"/>
            <w:vAlign w:val="bottom"/>
            <w:gridSpan w:val="2"/>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32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0" w:type="dxa"/>
            <w:vAlign w:val="bottom"/>
          </w:tcPr>
          <w:p>
            <w:pPr>
              <w:spacing w:after="0"/>
              <w:rPr>
                <w:sz w:val="24"/>
                <w:szCs w:val="24"/>
                <w:color w:val="auto"/>
              </w:rPr>
            </w:pPr>
          </w:p>
        </w:tc>
        <w:tc>
          <w:tcPr>
            <w:tcW w:w="1660" w:type="dxa"/>
            <w:vAlign w:val="bottom"/>
            <w:gridSpan w:val="2"/>
          </w:tcPr>
          <w:p>
            <w:pPr>
              <w:ind w:left="5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Legal, regulatory</w:t>
            </w:r>
          </w:p>
        </w:tc>
        <w:tc>
          <w:tcPr>
            <w:tcW w:w="30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280" w:type="dxa"/>
            <w:vAlign w:val="bottom"/>
          </w:tcPr>
          <w:p>
            <w:pPr>
              <w:jc w:val="center"/>
              <w:spacing w:after="0"/>
              <w:rPr>
                <w:sz w:val="20"/>
                <w:szCs w:val="20"/>
                <w:color w:val="auto"/>
              </w:rPr>
            </w:pPr>
            <w:r>
              <w:rPr>
                <w:rFonts w:ascii="Arial" w:cs="Arial" w:eastAsia="Arial" w:hAnsi="Arial"/>
                <w:sz w:val="14"/>
                <w:szCs w:val="14"/>
                <w:color w:val="auto"/>
              </w:rPr>
              <w:t>​</w:t>
            </w:r>
          </w:p>
        </w:tc>
        <w:tc>
          <w:tcPr>
            <w:tcW w:w="420" w:type="dxa"/>
            <w:vAlign w:val="bottom"/>
            <w:gridSpan w:val="3"/>
          </w:tcPr>
          <w:p>
            <w:pPr>
              <w:ind w:left="12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24"/>
                <w:szCs w:val="24"/>
                <w:color w:val="auto"/>
              </w:rPr>
            </w:pPr>
          </w:p>
        </w:tc>
        <w:tc>
          <w:tcPr>
            <w:tcW w:w="580" w:type="dxa"/>
            <w:vAlign w:val="bottom"/>
            <w:gridSpan w:val="3"/>
          </w:tcPr>
          <w:p>
            <w:pPr>
              <w:ind w:left="160"/>
              <w:spacing w:after="0"/>
              <w:rPr>
                <w:sz w:val="20"/>
                <w:szCs w:val="20"/>
                <w:color w:val="auto"/>
              </w:rPr>
            </w:pPr>
            <w:r>
              <w:rPr>
                <w:rFonts w:ascii="Arial" w:cs="Arial" w:eastAsia="Arial" w:hAnsi="Arial"/>
                <w:sz w:val="14"/>
                <w:szCs w:val="14"/>
                <w:color w:val="auto"/>
              </w:rPr>
              <w:t>​ ​</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24"/>
                <w:szCs w:val="24"/>
                <w:color w:val="auto"/>
              </w:rPr>
            </w:pPr>
          </w:p>
        </w:tc>
        <w:tc>
          <w:tcPr>
            <w:tcW w:w="400" w:type="dxa"/>
            <w:vAlign w:val="bottom"/>
            <w:gridSpan w:val="3"/>
          </w:tcPr>
          <w:p>
            <w:pPr>
              <w:ind w:left="60"/>
              <w:spacing w:after="0"/>
              <w:rPr>
                <w:sz w:val="20"/>
                <w:szCs w:val="20"/>
                <w:color w:val="auto"/>
              </w:rPr>
            </w:pPr>
            <w:r>
              <w:rPr>
                <w:rFonts w:ascii="Arial" w:cs="Arial" w:eastAsia="Arial" w:hAnsi="Arial"/>
                <w:sz w:val="14"/>
                <w:szCs w:val="14"/>
                <w:color w:val="auto"/>
              </w:rPr>
              <w:t>​ ​</w:t>
            </w:r>
          </w:p>
        </w:tc>
        <w:tc>
          <w:tcPr>
            <w:tcW w:w="460" w:type="dxa"/>
            <w:vAlign w:val="bottom"/>
          </w:tcPr>
          <w:p>
            <w:pPr>
              <w:jc w:val="center"/>
              <w:spacing w:after="0"/>
              <w:rPr>
                <w:sz w:val="20"/>
                <w:szCs w:val="20"/>
                <w:color w:val="auto"/>
              </w:rPr>
            </w:pPr>
            <w:r>
              <w:rPr>
                <w:rFonts w:ascii="Arial" w:cs="Arial" w:eastAsia="Arial" w:hAnsi="Arial"/>
                <w:sz w:val="14"/>
                <w:szCs w:val="14"/>
                <w:color w:val="auto"/>
              </w:rPr>
              <w:t>​</w:t>
            </w:r>
          </w:p>
        </w:tc>
        <w:tc>
          <w:tcPr>
            <w:tcW w:w="460" w:type="dxa"/>
            <w:vAlign w:val="bottom"/>
            <w:gridSpan w:val="3"/>
          </w:tcPr>
          <w:p>
            <w:pPr>
              <w:ind w:left="200"/>
              <w:spacing w:after="0"/>
              <w:rPr>
                <w:sz w:val="20"/>
                <w:szCs w:val="20"/>
                <w:color w:val="auto"/>
              </w:rPr>
            </w:pPr>
            <w:r>
              <w:rPr>
                <w:rFonts w:ascii="Arial" w:cs="Arial" w:eastAsia="Arial" w:hAnsi="Arial"/>
                <w:sz w:val="14"/>
                <w:szCs w:val="14"/>
                <w:color w:val="auto"/>
              </w:rPr>
              <w:t>​ ​</w:t>
            </w:r>
          </w:p>
        </w:tc>
        <w:tc>
          <w:tcPr>
            <w:tcW w:w="380" w:type="dxa"/>
            <w:vAlign w:val="bottom"/>
          </w:tcPr>
          <w:p>
            <w:pPr>
              <w:ind w:left="140"/>
              <w:spacing w:after="0"/>
              <w:rPr>
                <w:sz w:val="20"/>
                <w:szCs w:val="20"/>
                <w:color w:val="auto"/>
              </w:rPr>
            </w:pPr>
            <w:r>
              <w:rPr>
                <w:rFonts w:ascii="Arial" w:cs="Arial" w:eastAsia="Arial" w:hAnsi="Arial"/>
                <w:sz w:val="14"/>
                <w:szCs w:val="14"/>
                <w:color w:val="auto"/>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200" w:type="dxa"/>
            <w:vAlign w:val="bottom"/>
          </w:tcPr>
          <w:p>
            <w:pPr>
              <w:ind w:lef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62259D"/>
          </w:tcPr>
          <w:p>
            <w:pPr>
              <w:ind w:left="60"/>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62259D"/>
          </w:tcPr>
          <w:p>
            <w:pPr>
              <w:jc w:val="right"/>
              <w:spacing w:after="0"/>
              <w:rPr>
                <w:sz w:val="20"/>
                <w:szCs w:val="20"/>
                <w:color w:val="auto"/>
              </w:rPr>
            </w:pPr>
            <w:r>
              <w:rPr>
                <w:rFonts w:ascii="Arial" w:cs="Arial" w:eastAsia="Arial" w:hAnsi="Arial"/>
                <w:sz w:val="14"/>
                <w:szCs w:val="14"/>
                <w:b w:val="1"/>
                <w:bCs w:val="1"/>
                <w:color w:val="FEFEFE"/>
              </w:rPr>
              <w:t>4</w:t>
            </w:r>
          </w:p>
        </w:tc>
        <w:tc>
          <w:tcPr>
            <w:tcW w:w="100" w:type="dxa"/>
            <w:vAlign w:val="bottom"/>
            <w:shd w:val="clear" w:color="auto" w:fill="62259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80" w:type="dxa"/>
            <w:vAlign w:val="bottom"/>
            <w:tcBorders>
              <w:bottom w:val="single" w:sz="8" w:color="E7417A"/>
            </w:tcBorders>
          </w:tcPr>
          <w:p>
            <w:pPr>
              <w:spacing w:after="0"/>
              <w:rPr>
                <w:sz w:val="6"/>
                <w:szCs w:val="6"/>
                <w:color w:val="auto"/>
              </w:rPr>
            </w:pPr>
          </w:p>
        </w:tc>
        <w:tc>
          <w:tcPr>
            <w:tcW w:w="1660" w:type="dxa"/>
            <w:vAlign w:val="bottom"/>
            <w:tcBorders>
              <w:bottom w:val="single" w:sz="8" w:color="E7417A"/>
            </w:tcBorders>
            <w:gridSpan w:val="2"/>
          </w:tcPr>
          <w:p>
            <w:pPr>
              <w:spacing w:after="0"/>
              <w:rPr>
                <w:sz w:val="6"/>
                <w:szCs w:val="6"/>
                <w:color w:val="auto"/>
              </w:rPr>
            </w:pPr>
          </w:p>
        </w:tc>
        <w:tc>
          <w:tcPr>
            <w:tcW w:w="8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280" w:type="dxa"/>
            <w:vAlign w:val="bottom"/>
            <w:tcBorders>
              <w:bottom w:val="single" w:sz="8" w:color="E7417A"/>
            </w:tcBorders>
          </w:tcPr>
          <w:p>
            <w:pPr>
              <w:spacing w:after="0"/>
              <w:rPr>
                <w:sz w:val="6"/>
                <w:szCs w:val="6"/>
                <w:color w:val="auto"/>
              </w:rPr>
            </w:pPr>
          </w:p>
        </w:tc>
        <w:tc>
          <w:tcPr>
            <w:tcW w:w="16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E7417A"/>
            </w:tcBorders>
          </w:tcPr>
          <w:p>
            <w:pPr>
              <w:spacing w:after="0"/>
              <w:rPr>
                <w:sz w:val="6"/>
                <w:szCs w:val="6"/>
                <w:color w:val="auto"/>
              </w:rPr>
            </w:pPr>
          </w:p>
        </w:tc>
        <w:tc>
          <w:tcPr>
            <w:tcW w:w="340" w:type="dxa"/>
            <w:vAlign w:val="bottom"/>
            <w:tcBorders>
              <w:bottom w:val="single" w:sz="8" w:color="E7417A"/>
            </w:tcBorders>
          </w:tcPr>
          <w:p>
            <w:pPr>
              <w:spacing w:after="0"/>
              <w:rPr>
                <w:sz w:val="6"/>
                <w:szCs w:val="6"/>
                <w:color w:val="auto"/>
              </w:rPr>
            </w:pPr>
          </w:p>
        </w:tc>
        <w:tc>
          <w:tcPr>
            <w:tcW w:w="180" w:type="dxa"/>
            <w:vAlign w:val="bottom"/>
            <w:tcBorders>
              <w:bottom w:val="single" w:sz="8" w:color="E7417A"/>
            </w:tcBorders>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Borders>
              <w:bottom w:val="single" w:sz="8" w:color="E7417A"/>
            </w:tcBorders>
          </w:tcPr>
          <w:p>
            <w:pPr>
              <w:spacing w:after="0"/>
              <w:rPr>
                <w:sz w:val="6"/>
                <w:szCs w:val="6"/>
                <w:color w:val="auto"/>
              </w:rPr>
            </w:pPr>
          </w:p>
        </w:tc>
        <w:tc>
          <w:tcPr>
            <w:tcW w:w="320" w:type="dxa"/>
            <w:vAlign w:val="bottom"/>
            <w:tcBorders>
              <w:bottom w:val="single" w:sz="8" w:color="E7417A"/>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E7417A"/>
            </w:tcBorders>
          </w:tcPr>
          <w:p>
            <w:pPr>
              <w:spacing w:after="0"/>
              <w:rPr>
                <w:sz w:val="6"/>
                <w:szCs w:val="6"/>
                <w:color w:val="auto"/>
              </w:rPr>
            </w:pPr>
          </w:p>
        </w:tc>
        <w:tc>
          <w:tcPr>
            <w:tcW w:w="420" w:type="dxa"/>
            <w:vAlign w:val="bottom"/>
            <w:tcBorders>
              <w:bottom w:val="single" w:sz="8" w:color="E7417A"/>
            </w:tcBorders>
          </w:tcPr>
          <w:p>
            <w:pPr>
              <w:spacing w:after="0"/>
              <w:rPr>
                <w:sz w:val="6"/>
                <w:szCs w:val="6"/>
                <w:color w:val="auto"/>
              </w:rPr>
            </w:pPr>
          </w:p>
        </w:tc>
        <w:tc>
          <w:tcPr>
            <w:tcW w:w="10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bottom w:val="single" w:sz="8" w:color="E7417A"/>
            </w:tcBorders>
          </w:tcPr>
          <w:p>
            <w:pPr>
              <w:spacing w:after="0"/>
              <w:rPr>
                <w:sz w:val="6"/>
                <w:szCs w:val="6"/>
                <w:color w:val="auto"/>
              </w:rPr>
            </w:pPr>
          </w:p>
        </w:tc>
        <w:tc>
          <w:tcPr>
            <w:tcW w:w="460" w:type="dxa"/>
            <w:vAlign w:val="bottom"/>
            <w:tcBorders>
              <w:bottom w:val="single" w:sz="8" w:color="E7417A"/>
            </w:tcBorders>
          </w:tcPr>
          <w:p>
            <w:pPr>
              <w:spacing w:after="0"/>
              <w:rPr>
                <w:sz w:val="6"/>
                <w:szCs w:val="6"/>
                <w:color w:val="auto"/>
              </w:rPr>
            </w:pPr>
          </w:p>
        </w:tc>
        <w:tc>
          <w:tcPr>
            <w:tcW w:w="24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380" w:type="dxa"/>
            <w:vAlign w:val="bottom"/>
            <w:tcBorders>
              <w:bottom w:val="single" w:sz="8" w:color="E7417A"/>
            </w:tcBorders>
          </w:tcPr>
          <w:p>
            <w:pPr>
              <w:spacing w:after="0"/>
              <w:rPr>
                <w:sz w:val="6"/>
                <w:szCs w:val="6"/>
                <w:color w:val="auto"/>
              </w:rPr>
            </w:pPr>
          </w:p>
        </w:tc>
        <w:tc>
          <w:tcPr>
            <w:tcW w:w="8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E7417A"/>
            </w:tcBorders>
          </w:tcPr>
          <w:p>
            <w:pPr>
              <w:spacing w:after="0"/>
              <w:rPr>
                <w:sz w:val="6"/>
                <w:szCs w:val="6"/>
                <w:color w:val="auto"/>
              </w:rPr>
            </w:pPr>
          </w:p>
        </w:tc>
        <w:tc>
          <w:tcPr>
            <w:tcW w:w="380" w:type="dxa"/>
            <w:vAlign w:val="bottom"/>
            <w:tcBorders>
              <w:bottom w:val="single" w:sz="8" w:color="E7417A"/>
            </w:tcBorders>
          </w:tcPr>
          <w:p>
            <w:pPr>
              <w:spacing w:after="0"/>
              <w:rPr>
                <w:sz w:val="6"/>
                <w:szCs w:val="6"/>
                <w:color w:val="auto"/>
              </w:rPr>
            </w:pPr>
          </w:p>
        </w:tc>
        <w:tc>
          <w:tcPr>
            <w:tcW w:w="8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Borders>
              <w:bottom w:val="single" w:sz="8" w:color="E7417A"/>
            </w:tcBorders>
          </w:tcPr>
          <w:p>
            <w:pPr>
              <w:spacing w:after="0"/>
              <w:rPr>
                <w:sz w:val="6"/>
                <w:szCs w:val="6"/>
                <w:color w:val="auto"/>
              </w:rPr>
            </w:pPr>
          </w:p>
        </w:tc>
        <w:tc>
          <w:tcPr>
            <w:tcW w:w="380" w:type="dxa"/>
            <w:vAlign w:val="bottom"/>
            <w:tcBorders>
              <w:bottom w:val="single" w:sz="8" w:color="E7417A"/>
            </w:tcBorders>
          </w:tcPr>
          <w:p>
            <w:pPr>
              <w:spacing w:after="0"/>
              <w:rPr>
                <w:sz w:val="6"/>
                <w:szCs w:val="6"/>
                <w:color w:val="auto"/>
              </w:rPr>
            </w:pPr>
          </w:p>
        </w:tc>
        <w:tc>
          <w:tcPr>
            <w:tcW w:w="80" w:type="dxa"/>
            <w:vAlign w:val="bottom"/>
            <w:tcBorders>
              <w:bottom w:val="single" w:sz="8" w:color="E7417A"/>
            </w:tcBorders>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bottom w:val="single" w:sz="8" w:color="E7417A"/>
            </w:tcBorders>
          </w:tcPr>
          <w:p>
            <w:pPr>
              <w:spacing w:after="0"/>
              <w:rPr>
                <w:sz w:val="6"/>
                <w:szCs w:val="6"/>
                <w:color w:val="auto"/>
              </w:rPr>
            </w:pPr>
          </w:p>
        </w:tc>
        <w:tc>
          <w:tcPr>
            <w:tcW w:w="340" w:type="dxa"/>
            <w:vAlign w:val="bottom"/>
            <w:tcBorders>
              <w:bottom w:val="single" w:sz="8" w:color="E7417A"/>
            </w:tcBorders>
          </w:tcPr>
          <w:p>
            <w:pPr>
              <w:spacing w:after="0"/>
              <w:rPr>
                <w:sz w:val="6"/>
                <w:szCs w:val="6"/>
                <w:color w:val="auto"/>
              </w:rPr>
            </w:pPr>
          </w:p>
        </w:tc>
        <w:tc>
          <w:tcPr>
            <w:tcW w:w="200" w:type="dxa"/>
            <w:vAlign w:val="bottom"/>
            <w:tcBorders>
              <w:bottom w:val="single" w:sz="8" w:color="E7417A"/>
            </w:tcBorders>
          </w:tcPr>
          <w:p>
            <w:pPr>
              <w:spacing w:after="0"/>
              <w:rPr>
                <w:sz w:val="6"/>
                <w:szCs w:val="6"/>
                <w:color w:val="auto"/>
              </w:rPr>
            </w:pPr>
          </w:p>
        </w:tc>
        <w:tc>
          <w:tcPr>
            <w:tcW w:w="80" w:type="dxa"/>
            <w:vAlign w:val="bottom"/>
            <w:tcBorders>
              <w:bottom w:val="single" w:sz="8" w:color="FEFEFE"/>
            </w:tcBorders>
            <w:shd w:val="clear" w:color="auto" w:fill="62259D"/>
          </w:tcPr>
          <w:p>
            <w:pPr>
              <w:spacing w:after="0"/>
              <w:rPr>
                <w:sz w:val="6"/>
                <w:szCs w:val="6"/>
                <w:color w:val="auto"/>
              </w:rPr>
            </w:pPr>
          </w:p>
        </w:tc>
        <w:tc>
          <w:tcPr>
            <w:tcW w:w="140" w:type="dxa"/>
            <w:vAlign w:val="bottom"/>
            <w:tcBorders>
              <w:bottom w:val="single" w:sz="8" w:color="FEFEFE"/>
            </w:tcBorders>
            <w:shd w:val="clear" w:color="auto" w:fill="62259D"/>
          </w:tcPr>
          <w:p>
            <w:pPr>
              <w:spacing w:after="0"/>
              <w:rPr>
                <w:sz w:val="6"/>
                <w:szCs w:val="6"/>
                <w:color w:val="auto"/>
              </w:rPr>
            </w:pPr>
          </w:p>
        </w:tc>
        <w:tc>
          <w:tcPr>
            <w:tcW w:w="100" w:type="dxa"/>
            <w:vAlign w:val="bottom"/>
            <w:tcBorders>
              <w:bottom w:val="single" w:sz="8" w:color="FEFEFE"/>
            </w:tcBorders>
            <w:shd w:val="clear" w:color="auto" w:fill="62259D"/>
          </w:tcPr>
          <w:p>
            <w:pPr>
              <w:spacing w:after="0"/>
              <w:rPr>
                <w:sz w:val="6"/>
                <w:szCs w:val="6"/>
                <w:color w:val="auto"/>
              </w:rPr>
            </w:pPr>
          </w:p>
        </w:tc>
        <w:tc>
          <w:tcPr>
            <w:tcW w:w="0" w:type="dxa"/>
            <w:vAlign w:val="bottom"/>
          </w:tcPr>
          <w:p>
            <w:pPr>
              <w:spacing w:after="0"/>
              <w:rPr>
                <w:sz w:val="1"/>
                <w:szCs w:val="1"/>
                <w:color w:val="auto"/>
              </w:rPr>
            </w:pPr>
          </w:p>
        </w:tc>
      </w:tr>
      <w:tr>
        <w:trPr>
          <w:trHeight w:val="389"/>
        </w:trPr>
        <w:tc>
          <w:tcPr>
            <w:tcW w:w="80" w:type="dxa"/>
            <w:vAlign w:val="bottom"/>
          </w:tcPr>
          <w:p>
            <w:pPr>
              <w:spacing w:after="0"/>
              <w:rPr>
                <w:sz w:val="24"/>
                <w:szCs w:val="24"/>
                <w:color w:val="auto"/>
              </w:rPr>
            </w:pPr>
          </w:p>
        </w:tc>
        <w:tc>
          <w:tcPr>
            <w:tcW w:w="1660" w:type="dxa"/>
            <w:vAlign w:val="bottom"/>
            <w:gridSpan w:val="2"/>
          </w:tcPr>
          <w:p>
            <w:pPr>
              <w:ind w:left="5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Cybersecurity</w:t>
            </w:r>
          </w:p>
        </w:tc>
        <w:tc>
          <w:tcPr>
            <w:tcW w:w="30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24"/>
                <w:szCs w:val="24"/>
                <w:color w:val="auto"/>
              </w:rPr>
            </w:pPr>
          </w:p>
        </w:tc>
        <w:tc>
          <w:tcPr>
            <w:tcW w:w="420" w:type="dxa"/>
            <w:vAlign w:val="bottom"/>
            <w:gridSpan w:val="3"/>
          </w:tcPr>
          <w:p>
            <w:pPr>
              <w:ind w:left="120"/>
              <w:spacing w:after="0"/>
              <w:rPr>
                <w:sz w:val="20"/>
                <w:szCs w:val="20"/>
                <w:color w:val="auto"/>
              </w:rPr>
            </w:pPr>
            <w:r>
              <w:rPr>
                <w:rFonts w:ascii="Arial" w:cs="Arial" w:eastAsia="Arial" w:hAnsi="Arial"/>
                <w:sz w:val="14"/>
                <w:szCs w:val="14"/>
                <w:color w:val="auto"/>
              </w:rPr>
              <w:t>​ ​</w:t>
            </w:r>
          </w:p>
        </w:tc>
        <w:tc>
          <w:tcPr>
            <w:tcW w:w="34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gridSpan w:val="3"/>
          </w:tcPr>
          <w:p>
            <w:pPr>
              <w:ind w:left="160"/>
              <w:spacing w:after="0"/>
              <w:rPr>
                <w:sz w:val="20"/>
                <w:szCs w:val="20"/>
                <w:color w:val="auto"/>
              </w:rPr>
            </w:pPr>
            <w:r>
              <w:rPr>
                <w:rFonts w:ascii="Arial" w:cs="Arial" w:eastAsia="Arial" w:hAnsi="Arial"/>
                <w:sz w:val="14"/>
                <w:szCs w:val="14"/>
                <w:color w:val="auto"/>
              </w:rPr>
              <w:t>​ ​</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24"/>
                <w:szCs w:val="24"/>
                <w:color w:val="auto"/>
              </w:rPr>
            </w:pPr>
          </w:p>
        </w:tc>
        <w:tc>
          <w:tcPr>
            <w:tcW w:w="400" w:type="dxa"/>
            <w:vAlign w:val="bottom"/>
            <w:gridSpan w:val="3"/>
          </w:tcPr>
          <w:p>
            <w:pPr>
              <w:ind w:left="60"/>
              <w:spacing w:after="0"/>
              <w:rPr>
                <w:sz w:val="20"/>
                <w:szCs w:val="20"/>
                <w:color w:val="auto"/>
              </w:rPr>
            </w:pPr>
            <w:r>
              <w:rPr>
                <w:rFonts w:ascii="Arial" w:cs="Arial" w:eastAsia="Arial" w:hAnsi="Arial"/>
                <w:sz w:val="14"/>
                <w:szCs w:val="14"/>
                <w:color w:val="auto"/>
              </w:rPr>
              <w:t>​ ​</w:t>
            </w:r>
          </w:p>
        </w:tc>
        <w:tc>
          <w:tcPr>
            <w:tcW w:w="460" w:type="dxa"/>
            <w:vAlign w:val="bottom"/>
          </w:tcPr>
          <w:p>
            <w:pPr>
              <w:spacing w:after="0"/>
              <w:rPr>
                <w:sz w:val="24"/>
                <w:szCs w:val="24"/>
                <w:color w:val="auto"/>
              </w:rPr>
            </w:pPr>
          </w:p>
        </w:tc>
        <w:tc>
          <w:tcPr>
            <w:tcW w:w="460" w:type="dxa"/>
            <w:vAlign w:val="bottom"/>
            <w:gridSpan w:val="3"/>
          </w:tcPr>
          <w:p>
            <w:pPr>
              <w:ind w:left="200"/>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ind w:left="120"/>
              <w:spacing w:after="0"/>
              <w:rPr>
                <w:sz w:val="20"/>
                <w:szCs w:val="20"/>
                <w:color w:val="auto"/>
              </w:rPr>
            </w:pPr>
            <w:r>
              <w:rPr>
                <w:rFonts w:ascii="Arial" w:cs="Arial" w:eastAsia="Arial" w:hAnsi="Arial"/>
                <w:sz w:val="14"/>
                <w:szCs w:val="14"/>
                <w:color w:val="auto"/>
              </w:rPr>
              <w:t>​</w:t>
            </w: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40" w:type="dxa"/>
            <w:vAlign w:val="bottom"/>
          </w:tcPr>
          <w:p>
            <w:pPr>
              <w:ind w:left="140"/>
              <w:spacing w:after="0"/>
              <w:rPr>
                <w:sz w:val="20"/>
                <w:szCs w:val="20"/>
                <w:color w:val="auto"/>
              </w:rPr>
            </w:pPr>
            <w:r>
              <w:rPr>
                <w:rFonts w:ascii="Arial" w:cs="Arial" w:eastAsia="Arial" w:hAnsi="Arial"/>
                <w:sz w:val="14"/>
                <w:szCs w:val="14"/>
                <w:color w:val="auto"/>
              </w:rPr>
              <w:t>​</w:t>
            </w:r>
          </w:p>
        </w:tc>
        <w:tc>
          <w:tcPr>
            <w:tcW w:w="200" w:type="dxa"/>
            <w:vAlign w:val="bottom"/>
          </w:tcPr>
          <w:p>
            <w:pPr>
              <w:ind w:lef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62259D"/>
          </w:tcPr>
          <w:p>
            <w:pPr>
              <w:ind w:left="60"/>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62259D"/>
          </w:tcPr>
          <w:p>
            <w:pPr>
              <w:jc w:val="right"/>
              <w:spacing w:after="0"/>
              <w:rPr>
                <w:sz w:val="20"/>
                <w:szCs w:val="20"/>
                <w:color w:val="auto"/>
              </w:rPr>
            </w:pPr>
            <w:r>
              <w:rPr>
                <w:rFonts w:ascii="Arial" w:cs="Arial" w:eastAsia="Arial" w:hAnsi="Arial"/>
                <w:sz w:val="14"/>
                <w:szCs w:val="14"/>
                <w:b w:val="1"/>
                <w:bCs w:val="1"/>
                <w:color w:val="FEFEFE"/>
              </w:rPr>
              <w:t>5</w:t>
            </w:r>
          </w:p>
        </w:tc>
        <w:tc>
          <w:tcPr>
            <w:tcW w:w="100" w:type="dxa"/>
            <w:vAlign w:val="bottom"/>
            <w:shd w:val="clear" w:color="auto" w:fill="62259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
        </w:trPr>
        <w:tc>
          <w:tcPr>
            <w:tcW w:w="80" w:type="dxa"/>
            <w:vAlign w:val="bottom"/>
            <w:shd w:val="clear" w:color="auto" w:fill="E7417A"/>
          </w:tcPr>
          <w:p>
            <w:pPr>
              <w:spacing w:after="0"/>
              <w:rPr>
                <w:sz w:val="2"/>
                <w:szCs w:val="2"/>
                <w:color w:val="auto"/>
              </w:rPr>
            </w:pPr>
          </w:p>
        </w:tc>
        <w:tc>
          <w:tcPr>
            <w:tcW w:w="1660" w:type="dxa"/>
            <w:vAlign w:val="bottom"/>
            <w:gridSpan w:val="2"/>
            <w:shd w:val="clear" w:color="auto" w:fill="E7417A"/>
          </w:tcPr>
          <w:p>
            <w:pPr>
              <w:spacing w:after="0"/>
              <w:rPr>
                <w:sz w:val="2"/>
                <w:szCs w:val="2"/>
                <w:color w:val="auto"/>
              </w:rPr>
            </w:pPr>
          </w:p>
        </w:tc>
        <w:tc>
          <w:tcPr>
            <w:tcW w:w="80" w:type="dxa"/>
            <w:vAlign w:val="bottom"/>
            <w:shd w:val="clear" w:color="auto" w:fill="E7417A"/>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E7417A"/>
          </w:tcPr>
          <w:p>
            <w:pPr>
              <w:spacing w:after="0"/>
              <w:rPr>
                <w:sz w:val="2"/>
                <w:szCs w:val="2"/>
                <w:color w:val="auto"/>
              </w:rPr>
            </w:pPr>
          </w:p>
        </w:tc>
        <w:tc>
          <w:tcPr>
            <w:tcW w:w="280" w:type="dxa"/>
            <w:vAlign w:val="bottom"/>
            <w:shd w:val="clear" w:color="auto" w:fill="E7417A"/>
          </w:tcPr>
          <w:p>
            <w:pPr>
              <w:spacing w:after="0"/>
              <w:rPr>
                <w:sz w:val="2"/>
                <w:szCs w:val="2"/>
                <w:color w:val="auto"/>
              </w:rPr>
            </w:pPr>
          </w:p>
        </w:tc>
        <w:tc>
          <w:tcPr>
            <w:tcW w:w="160" w:type="dxa"/>
            <w:vAlign w:val="bottom"/>
            <w:shd w:val="clear" w:color="auto" w:fill="E7417A"/>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E7417A"/>
          </w:tcPr>
          <w:p>
            <w:pPr>
              <w:spacing w:after="0"/>
              <w:rPr>
                <w:sz w:val="2"/>
                <w:szCs w:val="2"/>
                <w:color w:val="auto"/>
              </w:rPr>
            </w:pPr>
          </w:p>
        </w:tc>
        <w:tc>
          <w:tcPr>
            <w:tcW w:w="340" w:type="dxa"/>
            <w:vAlign w:val="bottom"/>
            <w:shd w:val="clear" w:color="auto" w:fill="E7417A"/>
          </w:tcPr>
          <w:p>
            <w:pPr>
              <w:spacing w:after="0"/>
              <w:rPr>
                <w:sz w:val="2"/>
                <w:szCs w:val="2"/>
                <w:color w:val="auto"/>
              </w:rPr>
            </w:pPr>
          </w:p>
        </w:tc>
        <w:tc>
          <w:tcPr>
            <w:tcW w:w="180" w:type="dxa"/>
            <w:vAlign w:val="bottom"/>
            <w:shd w:val="clear" w:color="auto" w:fill="E7417A"/>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shd w:val="clear" w:color="auto" w:fill="E7417A"/>
          </w:tcPr>
          <w:p>
            <w:pPr>
              <w:spacing w:after="0"/>
              <w:rPr>
                <w:sz w:val="2"/>
                <w:szCs w:val="2"/>
                <w:color w:val="auto"/>
              </w:rPr>
            </w:pPr>
          </w:p>
        </w:tc>
        <w:tc>
          <w:tcPr>
            <w:tcW w:w="320" w:type="dxa"/>
            <w:vAlign w:val="bottom"/>
            <w:shd w:val="clear" w:color="auto" w:fill="E7417A"/>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E7417A"/>
          </w:tcPr>
          <w:p>
            <w:pPr>
              <w:spacing w:after="0"/>
              <w:rPr>
                <w:sz w:val="2"/>
                <w:szCs w:val="2"/>
                <w:color w:val="auto"/>
              </w:rPr>
            </w:pPr>
          </w:p>
        </w:tc>
        <w:tc>
          <w:tcPr>
            <w:tcW w:w="420" w:type="dxa"/>
            <w:vAlign w:val="bottom"/>
            <w:shd w:val="clear" w:color="auto" w:fill="E7417A"/>
          </w:tcPr>
          <w:p>
            <w:pPr>
              <w:spacing w:after="0"/>
              <w:rPr>
                <w:sz w:val="2"/>
                <w:szCs w:val="2"/>
                <w:color w:val="auto"/>
              </w:rPr>
            </w:pPr>
          </w:p>
        </w:tc>
        <w:tc>
          <w:tcPr>
            <w:tcW w:w="100" w:type="dxa"/>
            <w:vAlign w:val="bottom"/>
            <w:shd w:val="clear" w:color="auto" w:fill="E7417A"/>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E7417A"/>
          </w:tcPr>
          <w:p>
            <w:pPr>
              <w:spacing w:after="0"/>
              <w:rPr>
                <w:sz w:val="2"/>
                <w:szCs w:val="2"/>
                <w:color w:val="auto"/>
              </w:rPr>
            </w:pPr>
          </w:p>
        </w:tc>
        <w:tc>
          <w:tcPr>
            <w:tcW w:w="460" w:type="dxa"/>
            <w:vAlign w:val="bottom"/>
            <w:shd w:val="clear" w:color="auto" w:fill="E7417A"/>
          </w:tcPr>
          <w:p>
            <w:pPr>
              <w:spacing w:after="0"/>
              <w:rPr>
                <w:sz w:val="2"/>
                <w:szCs w:val="2"/>
                <w:color w:val="auto"/>
              </w:rPr>
            </w:pPr>
          </w:p>
        </w:tc>
        <w:tc>
          <w:tcPr>
            <w:tcW w:w="240" w:type="dxa"/>
            <w:vAlign w:val="bottom"/>
            <w:shd w:val="clear" w:color="auto" w:fill="E7417A"/>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E7417A"/>
          </w:tcPr>
          <w:p>
            <w:pPr>
              <w:spacing w:after="0"/>
              <w:rPr>
                <w:sz w:val="2"/>
                <w:szCs w:val="2"/>
                <w:color w:val="auto"/>
              </w:rPr>
            </w:pPr>
          </w:p>
        </w:tc>
        <w:tc>
          <w:tcPr>
            <w:tcW w:w="380" w:type="dxa"/>
            <w:vAlign w:val="bottom"/>
            <w:shd w:val="clear" w:color="auto" w:fill="E7417A"/>
          </w:tcPr>
          <w:p>
            <w:pPr>
              <w:spacing w:after="0"/>
              <w:rPr>
                <w:sz w:val="2"/>
                <w:szCs w:val="2"/>
                <w:color w:val="auto"/>
              </w:rPr>
            </w:pPr>
          </w:p>
        </w:tc>
        <w:tc>
          <w:tcPr>
            <w:tcW w:w="80" w:type="dxa"/>
            <w:vAlign w:val="bottom"/>
            <w:shd w:val="clear" w:color="auto" w:fill="E7417A"/>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E7417A"/>
          </w:tcPr>
          <w:p>
            <w:pPr>
              <w:spacing w:after="0"/>
              <w:rPr>
                <w:sz w:val="2"/>
                <w:szCs w:val="2"/>
                <w:color w:val="auto"/>
              </w:rPr>
            </w:pPr>
          </w:p>
        </w:tc>
        <w:tc>
          <w:tcPr>
            <w:tcW w:w="380" w:type="dxa"/>
            <w:vAlign w:val="bottom"/>
            <w:shd w:val="clear" w:color="auto" w:fill="E7417A"/>
          </w:tcPr>
          <w:p>
            <w:pPr>
              <w:spacing w:after="0"/>
              <w:rPr>
                <w:sz w:val="2"/>
                <w:szCs w:val="2"/>
                <w:color w:val="auto"/>
              </w:rPr>
            </w:pPr>
          </w:p>
        </w:tc>
        <w:tc>
          <w:tcPr>
            <w:tcW w:w="80" w:type="dxa"/>
            <w:vAlign w:val="bottom"/>
            <w:shd w:val="clear" w:color="auto" w:fill="E7417A"/>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E7417A"/>
          </w:tcPr>
          <w:p>
            <w:pPr>
              <w:spacing w:after="0"/>
              <w:rPr>
                <w:sz w:val="2"/>
                <w:szCs w:val="2"/>
                <w:color w:val="auto"/>
              </w:rPr>
            </w:pPr>
          </w:p>
        </w:tc>
        <w:tc>
          <w:tcPr>
            <w:tcW w:w="380" w:type="dxa"/>
            <w:vAlign w:val="bottom"/>
            <w:shd w:val="clear" w:color="auto" w:fill="E7417A"/>
          </w:tcPr>
          <w:p>
            <w:pPr>
              <w:spacing w:after="0"/>
              <w:rPr>
                <w:sz w:val="2"/>
                <w:szCs w:val="2"/>
                <w:color w:val="auto"/>
              </w:rPr>
            </w:pPr>
          </w:p>
        </w:tc>
        <w:tc>
          <w:tcPr>
            <w:tcW w:w="80" w:type="dxa"/>
            <w:vAlign w:val="bottom"/>
            <w:shd w:val="clear" w:color="auto" w:fill="E7417A"/>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E7417A"/>
          </w:tcPr>
          <w:p>
            <w:pPr>
              <w:spacing w:after="0"/>
              <w:rPr>
                <w:sz w:val="2"/>
                <w:szCs w:val="2"/>
                <w:color w:val="auto"/>
              </w:rPr>
            </w:pPr>
          </w:p>
        </w:tc>
        <w:tc>
          <w:tcPr>
            <w:tcW w:w="340" w:type="dxa"/>
            <w:vAlign w:val="bottom"/>
            <w:shd w:val="clear" w:color="auto" w:fill="E7417A"/>
          </w:tcPr>
          <w:p>
            <w:pPr>
              <w:spacing w:after="0"/>
              <w:rPr>
                <w:sz w:val="2"/>
                <w:szCs w:val="2"/>
                <w:color w:val="auto"/>
              </w:rPr>
            </w:pPr>
          </w:p>
        </w:tc>
        <w:tc>
          <w:tcPr>
            <w:tcW w:w="200" w:type="dxa"/>
            <w:vAlign w:val="bottom"/>
            <w:tcBorders>
              <w:right w:val="single" w:sz="8" w:color="FEFEFE"/>
            </w:tcBorders>
            <w:shd w:val="clear" w:color="auto" w:fill="E7417A"/>
          </w:tcPr>
          <w:p>
            <w:pPr>
              <w:spacing w:after="0"/>
              <w:rPr>
                <w:sz w:val="2"/>
                <w:szCs w:val="2"/>
                <w:color w:val="auto"/>
              </w:rPr>
            </w:pPr>
          </w:p>
        </w:tc>
        <w:tc>
          <w:tcPr>
            <w:tcW w:w="80" w:type="dxa"/>
            <w:vAlign w:val="bottom"/>
            <w:shd w:val="clear" w:color="auto" w:fill="FEFEFE"/>
          </w:tcPr>
          <w:p>
            <w:pPr>
              <w:spacing w:after="0"/>
              <w:rPr>
                <w:sz w:val="2"/>
                <w:szCs w:val="2"/>
                <w:color w:val="auto"/>
              </w:rPr>
            </w:pPr>
          </w:p>
        </w:tc>
        <w:tc>
          <w:tcPr>
            <w:tcW w:w="140" w:type="dxa"/>
            <w:vAlign w:val="bottom"/>
            <w:shd w:val="clear" w:color="auto" w:fill="FEFEFE"/>
          </w:tcPr>
          <w:p>
            <w:pPr>
              <w:spacing w:after="0"/>
              <w:rPr>
                <w:sz w:val="2"/>
                <w:szCs w:val="2"/>
                <w:color w:val="auto"/>
              </w:rPr>
            </w:pPr>
          </w:p>
        </w:tc>
        <w:tc>
          <w:tcPr>
            <w:tcW w:w="100" w:type="dxa"/>
            <w:vAlign w:val="bottom"/>
            <w:shd w:val="clear" w:color="auto" w:fill="FEFEF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0" w:type="dxa"/>
            <w:vAlign w:val="bottom"/>
          </w:tcPr>
          <w:p>
            <w:pPr>
              <w:spacing w:after="0"/>
              <w:rPr>
                <w:sz w:val="15"/>
                <w:szCs w:val="15"/>
                <w:color w:val="auto"/>
              </w:rPr>
            </w:pPr>
          </w:p>
        </w:tc>
        <w:tc>
          <w:tcPr>
            <w:tcW w:w="1660" w:type="dxa"/>
            <w:vAlign w:val="bottom"/>
            <w:gridSpan w:val="2"/>
          </w:tcPr>
          <w:p>
            <w:pPr>
              <w:ind w:left="520"/>
              <w:spacing w:after="0"/>
              <w:rPr>
                <w:sz w:val="20"/>
                <w:szCs w:val="20"/>
                <w:color w:val="auto"/>
              </w:rPr>
            </w:pPr>
            <w:r>
              <w:rPr>
                <w:rFonts w:ascii="Arial" w:cs="Arial" w:eastAsia="Arial" w:hAnsi="Arial"/>
                <w:sz w:val="13"/>
                <w:szCs w:val="13"/>
                <w:color w:val="auto"/>
              </w:rPr>
              <w:t>Other public</w:t>
            </w:r>
          </w:p>
        </w:tc>
        <w:tc>
          <w:tcPr>
            <w:tcW w:w="30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5"/>
                <w:szCs w:val="15"/>
                <w:color w:val="auto"/>
              </w:rPr>
            </w:pPr>
          </w:p>
        </w:tc>
        <w:tc>
          <w:tcPr>
            <w:tcW w:w="420" w:type="dxa"/>
            <w:vAlign w:val="bottom"/>
            <w:gridSpan w:val="3"/>
            <w:vMerge w:val="restart"/>
          </w:tcPr>
          <w:p>
            <w:pPr>
              <w:ind w:left="12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5"/>
                <w:szCs w:val="15"/>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8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420" w:type="dxa"/>
            <w:vAlign w:val="bottom"/>
            <w:vMerge w:val="restart"/>
          </w:tcPr>
          <w:p>
            <w:pPr>
              <w:ind w:left="200"/>
              <w:spacing w:after="0"/>
              <w:rPr>
                <w:sz w:val="20"/>
                <w:szCs w:val="20"/>
                <w:color w:val="auto"/>
              </w:rPr>
            </w:pPr>
            <w:r>
              <w:rPr>
                <w:rFonts w:ascii="Arial" w:cs="Arial" w:eastAsia="Arial" w:hAnsi="Arial"/>
                <w:sz w:val="14"/>
                <w:szCs w:val="14"/>
                <w:color w:val="auto"/>
              </w:rPr>
              <w:t>​</w:t>
            </w:r>
          </w:p>
        </w:tc>
        <w:tc>
          <w:tcPr>
            <w:tcW w:w="400" w:type="dxa"/>
            <w:vAlign w:val="bottom"/>
            <w:gridSpan w:val="3"/>
            <w:vMerge w:val="restart"/>
          </w:tcPr>
          <w:p>
            <w:pPr>
              <w:ind w:left="60"/>
              <w:spacing w:after="0"/>
              <w:rPr>
                <w:sz w:val="20"/>
                <w:szCs w:val="20"/>
                <w:color w:val="auto"/>
              </w:rPr>
            </w:pPr>
            <w:r>
              <w:rPr>
                <w:rFonts w:ascii="Arial" w:cs="Arial" w:eastAsia="Arial" w:hAnsi="Arial"/>
                <w:sz w:val="14"/>
                <w:szCs w:val="14"/>
                <w:color w:val="auto"/>
              </w:rPr>
              <w:t>​ ​</w:t>
            </w:r>
          </w:p>
        </w:tc>
        <w:tc>
          <w:tcPr>
            <w:tcW w:w="460" w:type="dxa"/>
            <w:vAlign w:val="bottom"/>
          </w:tcPr>
          <w:p>
            <w:pPr>
              <w:spacing w:after="0"/>
              <w:rPr>
                <w:sz w:val="15"/>
                <w:szCs w:val="15"/>
                <w:color w:val="auto"/>
              </w:rPr>
            </w:pPr>
          </w:p>
        </w:tc>
        <w:tc>
          <w:tcPr>
            <w:tcW w:w="460" w:type="dxa"/>
            <w:vAlign w:val="bottom"/>
            <w:gridSpan w:val="3"/>
            <w:vMerge w:val="restart"/>
          </w:tcPr>
          <w:p>
            <w:pPr>
              <w:ind w:left="200"/>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15"/>
                <w:szCs w:val="15"/>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60"/>
              <w:spacing w:after="0"/>
              <w:rPr>
                <w:sz w:val="20"/>
                <w:szCs w:val="20"/>
                <w:color w:val="auto"/>
              </w:rPr>
            </w:pPr>
            <w:r>
              <w:rPr>
                <w:rFonts w:ascii="Arial" w:cs="Arial" w:eastAsia="Arial" w:hAnsi="Arial"/>
                <w:sz w:val="1"/>
                <w:szCs w:val="1"/>
                <w:color w:val="auto"/>
                <w:w w:val="4294942296"/>
              </w:rPr>
              <w:t>​</w:t>
            </w:r>
          </w:p>
        </w:tc>
        <w:tc>
          <w:tcPr>
            <w:tcW w:w="140" w:type="dxa"/>
            <w:vAlign w:val="bottom"/>
            <w:vMerge w:val="restart"/>
            <w:shd w:val="clear" w:color="auto" w:fill="62259D"/>
          </w:tcPr>
          <w:p>
            <w:pPr>
              <w:jc w:val="right"/>
              <w:spacing w:after="0"/>
              <w:rPr>
                <w:sz w:val="20"/>
                <w:szCs w:val="20"/>
                <w:color w:val="auto"/>
              </w:rPr>
            </w:pPr>
            <w:r>
              <w:rPr>
                <w:rFonts w:ascii="Arial" w:cs="Arial" w:eastAsia="Arial" w:hAnsi="Arial"/>
                <w:sz w:val="14"/>
                <w:szCs w:val="14"/>
                <w:b w:val="1"/>
                <w:bCs w:val="1"/>
                <w:color w:val="FEFEFE"/>
              </w:rPr>
              <w:t>7</w:t>
            </w:r>
          </w:p>
        </w:tc>
        <w:tc>
          <w:tcPr>
            <w:tcW w:w="100" w:type="dxa"/>
            <w:vAlign w:val="bottom"/>
            <w:vMerge w:val="restart"/>
            <w:shd w:val="clear" w:color="auto" w:fill="62259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660" w:type="dxa"/>
            <w:vAlign w:val="bottom"/>
            <w:gridSpan w:val="2"/>
          </w:tcPr>
          <w:p>
            <w:pPr>
              <w:ind w:left="500"/>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2"/>
                <w:szCs w:val="12"/>
                <w:color w:val="auto"/>
              </w:rPr>
              <w:t>company board</w:t>
            </w:r>
          </w:p>
        </w:tc>
        <w:tc>
          <w:tcPr>
            <w:tcW w:w="30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3"/>
            <w:vMerge w:val="continue"/>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3"/>
            <w:vMerge w:val="continue"/>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400" w:type="dxa"/>
            <w:vAlign w:val="bottom"/>
            <w:gridSpan w:val="3"/>
            <w:vMerge w:val="continue"/>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80" w:type="dxa"/>
            <w:vAlign w:val="bottom"/>
            <w:vMerge w:val="continue"/>
            <w:shd w:val="clear" w:color="auto" w:fill="62259D"/>
          </w:tcPr>
          <w:p>
            <w:pPr>
              <w:spacing w:after="0"/>
              <w:rPr>
                <w:sz w:val="19"/>
                <w:szCs w:val="19"/>
                <w:color w:val="auto"/>
              </w:rPr>
            </w:pPr>
          </w:p>
        </w:tc>
        <w:tc>
          <w:tcPr>
            <w:tcW w:w="140" w:type="dxa"/>
            <w:vAlign w:val="bottom"/>
            <w:vMerge w:val="continue"/>
            <w:shd w:val="clear" w:color="auto" w:fill="62259D"/>
          </w:tcPr>
          <w:p>
            <w:pPr>
              <w:spacing w:after="0"/>
              <w:rPr>
                <w:sz w:val="19"/>
                <w:szCs w:val="19"/>
                <w:color w:val="auto"/>
              </w:rPr>
            </w:pPr>
          </w:p>
        </w:tc>
        <w:tc>
          <w:tcPr>
            <w:tcW w:w="100" w:type="dxa"/>
            <w:vAlign w:val="bottom"/>
            <w:vMerge w:val="continue"/>
            <w:shd w:val="clear" w:color="auto" w:fill="62259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660" w:type="dxa"/>
            <w:vAlign w:val="bottom"/>
            <w:gridSpan w:val="2"/>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32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660" w:type="dxa"/>
            <w:vAlign w:val="bottom"/>
            <w:gridSpan w:val="2"/>
          </w:tcPr>
          <w:p>
            <w:pPr>
              <w:ind w:left="540"/>
              <w:spacing w:after="0"/>
              <w:rPr>
                <w:sz w:val="20"/>
                <w:szCs w:val="20"/>
                <w:color w:val="auto"/>
              </w:rPr>
            </w:pPr>
            <w:r>
              <w:rPr>
                <w:rFonts w:ascii="Arial" w:cs="Arial" w:eastAsia="Arial" w:hAnsi="Arial"/>
                <w:sz w:val="13"/>
                <w:szCs w:val="13"/>
                <w:color w:val="auto"/>
              </w:rPr>
              <w:t>Sales and</w:t>
            </w:r>
          </w:p>
        </w:tc>
        <w:tc>
          <w:tcPr>
            <w:tcW w:w="30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2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420" w:type="dxa"/>
            <w:vAlign w:val="bottom"/>
            <w:gridSpan w:val="3"/>
            <w:vMerge w:val="restart"/>
          </w:tcPr>
          <w:p>
            <w:pPr>
              <w:ind w:left="120"/>
              <w:spacing w:after="0"/>
              <w:rPr>
                <w:sz w:val="20"/>
                <w:szCs w:val="20"/>
                <w:color w:val="auto"/>
              </w:rPr>
            </w:pPr>
            <w:r>
              <w:rPr>
                <w:rFonts w:ascii="Arial" w:cs="Arial" w:eastAsia="Arial" w:hAnsi="Arial"/>
                <w:sz w:val="14"/>
                <w:szCs w:val="14"/>
                <w:color w:val="auto"/>
              </w:rPr>
              <w:t>​ ​</w:t>
            </w:r>
          </w:p>
        </w:tc>
        <w:tc>
          <w:tcPr>
            <w:tcW w:w="34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58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8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7"/>
                <w:szCs w:val="17"/>
                <w:color w:val="auto"/>
              </w:rPr>
            </w:pPr>
          </w:p>
        </w:tc>
        <w:tc>
          <w:tcPr>
            <w:tcW w:w="400" w:type="dxa"/>
            <w:vAlign w:val="bottom"/>
            <w:gridSpan w:val="3"/>
            <w:vMerge w:val="restart"/>
          </w:tcPr>
          <w:p>
            <w:pPr>
              <w:ind w:left="60"/>
              <w:spacing w:after="0"/>
              <w:rPr>
                <w:sz w:val="20"/>
                <w:szCs w:val="20"/>
                <w:color w:val="auto"/>
              </w:rPr>
            </w:pPr>
            <w:r>
              <w:rPr>
                <w:rFonts w:ascii="Arial" w:cs="Arial" w:eastAsia="Arial" w:hAnsi="Arial"/>
                <w:sz w:val="14"/>
                <w:szCs w:val="14"/>
                <w:color w:val="auto"/>
              </w:rPr>
              <w:t>​ ​</w:t>
            </w:r>
          </w:p>
        </w:tc>
        <w:tc>
          <w:tcPr>
            <w:tcW w:w="46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460" w:type="dxa"/>
            <w:vAlign w:val="bottom"/>
            <w:gridSpan w:val="3"/>
            <w:vMerge w:val="restart"/>
          </w:tcPr>
          <w:p>
            <w:pPr>
              <w:ind w:left="200"/>
              <w:spacing w:after="0"/>
              <w:rPr>
                <w:sz w:val="20"/>
                <w:szCs w:val="20"/>
                <w:color w:val="auto"/>
              </w:rPr>
            </w:pPr>
            <w:r>
              <w:rPr>
                <w:rFonts w:ascii="Arial" w:cs="Arial" w:eastAsia="Arial" w:hAnsi="Arial"/>
                <w:sz w:val="14"/>
                <w:szCs w:val="14"/>
                <w:color w:val="auto"/>
              </w:rPr>
              <w:t>​ ​</w:t>
            </w:r>
          </w:p>
        </w:tc>
        <w:tc>
          <w:tcPr>
            <w:tcW w:w="38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120"/>
              <w:spacing w:after="0"/>
              <w:rPr>
                <w:sz w:val="20"/>
                <w:szCs w:val="20"/>
                <w:color w:val="auto"/>
              </w:rPr>
            </w:pPr>
            <w:r>
              <w:rPr>
                <w:rFonts w:ascii="Arial" w:cs="Arial" w:eastAsia="Arial" w:hAnsi="Arial"/>
                <w:sz w:val="14"/>
                <w:szCs w:val="14"/>
                <w:color w:val="auto"/>
              </w:rPr>
              <w:t>​</w:t>
            </w: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60"/>
              <w:spacing w:after="0"/>
              <w:rPr>
                <w:sz w:val="20"/>
                <w:szCs w:val="20"/>
                <w:color w:val="auto"/>
              </w:rPr>
            </w:pPr>
            <w:r>
              <w:rPr>
                <w:rFonts w:ascii="Arial" w:cs="Arial" w:eastAsia="Arial" w:hAnsi="Arial"/>
                <w:sz w:val="1"/>
                <w:szCs w:val="1"/>
                <w:color w:val="auto"/>
                <w:w w:val="4294942296"/>
              </w:rPr>
              <w:t>​</w:t>
            </w:r>
          </w:p>
        </w:tc>
        <w:tc>
          <w:tcPr>
            <w:tcW w:w="140" w:type="dxa"/>
            <w:vAlign w:val="bottom"/>
            <w:vMerge w:val="restart"/>
            <w:shd w:val="clear" w:color="auto" w:fill="62259D"/>
          </w:tcPr>
          <w:p>
            <w:pPr>
              <w:jc w:val="right"/>
              <w:spacing w:after="0"/>
              <w:rPr>
                <w:sz w:val="20"/>
                <w:szCs w:val="20"/>
                <w:color w:val="auto"/>
              </w:rPr>
            </w:pPr>
            <w:r>
              <w:rPr>
                <w:rFonts w:ascii="Arial" w:cs="Arial" w:eastAsia="Arial" w:hAnsi="Arial"/>
                <w:sz w:val="14"/>
                <w:szCs w:val="14"/>
                <w:b w:val="1"/>
                <w:bCs w:val="1"/>
                <w:color w:val="FEFEFE"/>
              </w:rPr>
              <w:t>2</w:t>
            </w:r>
          </w:p>
        </w:tc>
        <w:tc>
          <w:tcPr>
            <w:tcW w:w="100" w:type="dxa"/>
            <w:vAlign w:val="bottom"/>
            <w:vMerge w:val="restart"/>
            <w:shd w:val="clear" w:color="auto" w:fill="62259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1660" w:type="dxa"/>
            <w:vAlign w:val="bottom"/>
            <w:gridSpan w:val="2"/>
          </w:tcPr>
          <w:p>
            <w:pPr>
              <w:ind w:left="50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marketing</w:t>
            </w:r>
          </w:p>
        </w:tc>
        <w:tc>
          <w:tcPr>
            <w:tcW w:w="300" w:type="dxa"/>
            <w:vAlign w:val="bottom"/>
            <w:gridSpan w:val="3"/>
            <w:vMerge w:val="continue"/>
          </w:tcPr>
          <w:p>
            <w:pPr>
              <w:spacing w:after="0"/>
              <w:rPr>
                <w:sz w:val="24"/>
                <w:szCs w:val="24"/>
                <w:color w:val="auto"/>
              </w:rPr>
            </w:pPr>
          </w:p>
        </w:tc>
        <w:tc>
          <w:tcPr>
            <w:tcW w:w="280" w:type="dxa"/>
            <w:vAlign w:val="bottom"/>
            <w:vMerge w:val="continue"/>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580" w:type="dxa"/>
            <w:vAlign w:val="bottom"/>
            <w:gridSpan w:val="3"/>
            <w:vMerge w:val="continue"/>
          </w:tcPr>
          <w:p>
            <w:pPr>
              <w:spacing w:after="0"/>
              <w:rPr>
                <w:sz w:val="24"/>
                <w:szCs w:val="24"/>
                <w:color w:val="auto"/>
              </w:rPr>
            </w:pPr>
          </w:p>
        </w:tc>
        <w:tc>
          <w:tcPr>
            <w:tcW w:w="4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gridSpan w:val="3"/>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460" w:type="dxa"/>
            <w:vAlign w:val="bottom"/>
            <w:gridSpan w:val="3"/>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80" w:type="dxa"/>
            <w:vAlign w:val="bottom"/>
            <w:vMerge w:val="continue"/>
            <w:shd w:val="clear" w:color="auto" w:fill="62259D"/>
          </w:tcPr>
          <w:p>
            <w:pPr>
              <w:spacing w:after="0"/>
              <w:rPr>
                <w:sz w:val="24"/>
                <w:szCs w:val="24"/>
                <w:color w:val="auto"/>
              </w:rPr>
            </w:pPr>
          </w:p>
        </w:tc>
        <w:tc>
          <w:tcPr>
            <w:tcW w:w="140" w:type="dxa"/>
            <w:vAlign w:val="bottom"/>
            <w:vMerge w:val="continue"/>
            <w:shd w:val="clear" w:color="auto" w:fill="62259D"/>
          </w:tcPr>
          <w:p>
            <w:pPr>
              <w:spacing w:after="0"/>
              <w:rPr>
                <w:sz w:val="24"/>
                <w:szCs w:val="24"/>
                <w:color w:val="auto"/>
              </w:rPr>
            </w:pPr>
          </w:p>
        </w:tc>
        <w:tc>
          <w:tcPr>
            <w:tcW w:w="100" w:type="dxa"/>
            <w:vAlign w:val="bottom"/>
            <w:vMerge w:val="continue"/>
            <w:shd w:val="clear" w:color="auto" w:fill="62259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660" w:type="dxa"/>
            <w:vAlign w:val="bottom"/>
            <w:gridSpan w:val="2"/>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32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Pr>
          <w:p>
            <w:pPr>
              <w:spacing w:after="0"/>
              <w:rPr>
                <w:sz w:val="18"/>
                <w:szCs w:val="18"/>
                <w:color w:val="auto"/>
              </w:rPr>
            </w:pPr>
          </w:p>
        </w:tc>
        <w:tc>
          <w:tcPr>
            <w:tcW w:w="1660" w:type="dxa"/>
            <w:vAlign w:val="bottom"/>
            <w:gridSpan w:val="2"/>
          </w:tcPr>
          <w:p>
            <w:pPr>
              <w:ind w:left="520"/>
              <w:spacing w:after="0"/>
              <w:rPr>
                <w:sz w:val="20"/>
                <w:szCs w:val="20"/>
                <w:color w:val="auto"/>
              </w:rPr>
            </w:pPr>
            <w:r>
              <w:rPr>
                <w:rFonts w:ascii="Arial" w:cs="Arial" w:eastAsia="Arial" w:hAnsi="Arial"/>
                <w:sz w:val="13"/>
                <w:szCs w:val="13"/>
                <w:color w:val="auto"/>
              </w:rPr>
              <w:t>Strategic planning,</w:t>
            </w:r>
          </w:p>
        </w:tc>
        <w:tc>
          <w:tcPr>
            <w:tcW w:w="30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8"/>
                <w:szCs w:val="18"/>
                <w:color w:val="auto"/>
              </w:rPr>
            </w:pPr>
          </w:p>
        </w:tc>
        <w:tc>
          <w:tcPr>
            <w:tcW w:w="420" w:type="dxa"/>
            <w:vAlign w:val="bottom"/>
            <w:gridSpan w:val="3"/>
            <w:vMerge w:val="restart"/>
          </w:tcPr>
          <w:p>
            <w:pPr>
              <w:ind w:left="12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8"/>
                <w:szCs w:val="18"/>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8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8"/>
                <w:szCs w:val="18"/>
                <w:color w:val="auto"/>
              </w:rPr>
            </w:pPr>
          </w:p>
        </w:tc>
        <w:tc>
          <w:tcPr>
            <w:tcW w:w="400" w:type="dxa"/>
            <w:vAlign w:val="bottom"/>
            <w:gridSpan w:val="3"/>
            <w:vMerge w:val="restart"/>
          </w:tcPr>
          <w:p>
            <w:pPr>
              <w:ind w:left="60"/>
              <w:spacing w:after="0"/>
              <w:rPr>
                <w:sz w:val="20"/>
                <w:szCs w:val="20"/>
                <w:color w:val="auto"/>
              </w:rPr>
            </w:pPr>
            <w:r>
              <w:rPr>
                <w:rFonts w:ascii="Arial" w:cs="Arial" w:eastAsia="Arial" w:hAnsi="Arial"/>
                <w:sz w:val="14"/>
                <w:szCs w:val="14"/>
                <w:color w:val="auto"/>
              </w:rPr>
              <w:t>​ ​</w:t>
            </w:r>
          </w:p>
        </w:tc>
        <w:tc>
          <w:tcPr>
            <w:tcW w:w="460" w:type="dxa"/>
            <w:vAlign w:val="bottom"/>
          </w:tcPr>
          <w:p>
            <w:pPr>
              <w:spacing w:after="0"/>
              <w:rPr>
                <w:sz w:val="18"/>
                <w:szCs w:val="18"/>
                <w:color w:val="auto"/>
              </w:rPr>
            </w:pPr>
          </w:p>
        </w:tc>
        <w:tc>
          <w:tcPr>
            <w:tcW w:w="460" w:type="dxa"/>
            <w:vAlign w:val="bottom"/>
            <w:gridSpan w:val="3"/>
            <w:vMerge w:val="restart"/>
          </w:tcPr>
          <w:p>
            <w:pPr>
              <w:ind w:left="200"/>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18"/>
                <w:szCs w:val="18"/>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60"/>
              <w:spacing w:after="0"/>
              <w:rPr>
                <w:sz w:val="20"/>
                <w:szCs w:val="20"/>
                <w:color w:val="auto"/>
              </w:rPr>
            </w:pPr>
            <w:r>
              <w:rPr>
                <w:rFonts w:ascii="Arial" w:cs="Arial" w:eastAsia="Arial" w:hAnsi="Arial"/>
                <w:sz w:val="1"/>
                <w:szCs w:val="1"/>
                <w:color w:val="auto"/>
                <w:w w:val="4294942296"/>
              </w:rPr>
              <w:t>​</w:t>
            </w:r>
          </w:p>
        </w:tc>
        <w:tc>
          <w:tcPr>
            <w:tcW w:w="140" w:type="dxa"/>
            <w:vAlign w:val="bottom"/>
            <w:vMerge w:val="restart"/>
            <w:shd w:val="clear" w:color="auto" w:fill="62259D"/>
          </w:tcPr>
          <w:p>
            <w:pPr>
              <w:jc w:val="right"/>
              <w:spacing w:after="0"/>
              <w:rPr>
                <w:sz w:val="20"/>
                <w:szCs w:val="20"/>
                <w:color w:val="auto"/>
              </w:rPr>
            </w:pPr>
            <w:r>
              <w:rPr>
                <w:rFonts w:ascii="Arial" w:cs="Arial" w:eastAsia="Arial" w:hAnsi="Arial"/>
                <w:sz w:val="14"/>
                <w:szCs w:val="14"/>
                <w:b w:val="1"/>
                <w:bCs w:val="1"/>
                <w:color w:val="FEFEFE"/>
              </w:rPr>
              <w:t>8</w:t>
            </w:r>
          </w:p>
        </w:tc>
        <w:tc>
          <w:tcPr>
            <w:tcW w:w="100" w:type="dxa"/>
            <w:vAlign w:val="bottom"/>
            <w:vMerge w:val="restart"/>
            <w:shd w:val="clear" w:color="auto" w:fill="62259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1660" w:type="dxa"/>
            <w:vAlign w:val="bottom"/>
            <w:gridSpan w:val="2"/>
          </w:tcPr>
          <w:p>
            <w:pPr>
              <w:ind w:left="500"/>
              <w:spacing w:after="0" w:line="27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operations</w:t>
            </w:r>
          </w:p>
        </w:tc>
        <w:tc>
          <w:tcPr>
            <w:tcW w:w="300" w:type="dxa"/>
            <w:vAlign w:val="bottom"/>
            <w:gridSpan w:val="3"/>
            <w:vMerge w:val="continue"/>
          </w:tcPr>
          <w:p>
            <w:pPr>
              <w:spacing w:after="0"/>
              <w:rPr>
                <w:sz w:val="23"/>
                <w:szCs w:val="23"/>
                <w:color w:val="auto"/>
              </w:rPr>
            </w:pPr>
          </w:p>
        </w:tc>
        <w:tc>
          <w:tcPr>
            <w:tcW w:w="280" w:type="dxa"/>
            <w:vAlign w:val="bottom"/>
          </w:tcPr>
          <w:p>
            <w:pPr>
              <w:spacing w:after="0"/>
              <w:rPr>
                <w:sz w:val="23"/>
                <w:szCs w:val="23"/>
                <w:color w:val="auto"/>
              </w:rPr>
            </w:pPr>
          </w:p>
        </w:tc>
        <w:tc>
          <w:tcPr>
            <w:tcW w:w="420" w:type="dxa"/>
            <w:vAlign w:val="bottom"/>
            <w:gridSpan w:val="3"/>
            <w:vMerge w:val="continue"/>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gridSpan w:val="3"/>
            <w:vMerge w:val="continue"/>
          </w:tcPr>
          <w:p>
            <w:pPr>
              <w:spacing w:after="0"/>
              <w:rPr>
                <w:sz w:val="23"/>
                <w:szCs w:val="23"/>
                <w:color w:val="auto"/>
              </w:rPr>
            </w:pPr>
          </w:p>
        </w:tc>
        <w:tc>
          <w:tcPr>
            <w:tcW w:w="480" w:type="dxa"/>
            <w:vAlign w:val="bottom"/>
            <w:gridSpan w:val="3"/>
            <w:vMerge w:val="continue"/>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gridSpan w:val="3"/>
            <w:vMerge w:val="continue"/>
          </w:tcPr>
          <w:p>
            <w:pPr>
              <w:spacing w:after="0"/>
              <w:rPr>
                <w:sz w:val="23"/>
                <w:szCs w:val="23"/>
                <w:color w:val="auto"/>
              </w:rPr>
            </w:pPr>
          </w:p>
        </w:tc>
        <w:tc>
          <w:tcPr>
            <w:tcW w:w="460" w:type="dxa"/>
            <w:vAlign w:val="bottom"/>
          </w:tcPr>
          <w:p>
            <w:pPr>
              <w:spacing w:after="0"/>
              <w:rPr>
                <w:sz w:val="23"/>
                <w:szCs w:val="23"/>
                <w:color w:val="auto"/>
              </w:rPr>
            </w:pPr>
          </w:p>
        </w:tc>
        <w:tc>
          <w:tcPr>
            <w:tcW w:w="460" w:type="dxa"/>
            <w:vAlign w:val="bottom"/>
            <w:gridSpan w:val="3"/>
            <w:vMerge w:val="continue"/>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gridSpan w:val="2"/>
            <w:vMerge w:val="continue"/>
          </w:tcPr>
          <w:p>
            <w:pPr>
              <w:spacing w:after="0"/>
              <w:rPr>
                <w:sz w:val="23"/>
                <w:szCs w:val="23"/>
                <w:color w:val="auto"/>
              </w:rPr>
            </w:pPr>
          </w:p>
        </w:tc>
        <w:tc>
          <w:tcPr>
            <w:tcW w:w="22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gridSpan w:val="2"/>
            <w:vMerge w:val="continue"/>
          </w:tcPr>
          <w:p>
            <w:pPr>
              <w:spacing w:after="0"/>
              <w:rPr>
                <w:sz w:val="23"/>
                <w:szCs w:val="23"/>
                <w:color w:val="auto"/>
              </w:rPr>
            </w:pPr>
          </w:p>
        </w:tc>
        <w:tc>
          <w:tcPr>
            <w:tcW w:w="22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gridSpan w:val="2"/>
            <w:vMerge w:val="continue"/>
          </w:tcPr>
          <w:p>
            <w:pPr>
              <w:spacing w:after="0"/>
              <w:rPr>
                <w:sz w:val="23"/>
                <w:szCs w:val="23"/>
                <w:color w:val="auto"/>
              </w:rPr>
            </w:pPr>
          </w:p>
        </w:tc>
        <w:tc>
          <w:tcPr>
            <w:tcW w:w="240" w:type="dxa"/>
            <w:vAlign w:val="bottom"/>
            <w:vMerge w:val="continue"/>
          </w:tcPr>
          <w:p>
            <w:pPr>
              <w:spacing w:after="0"/>
              <w:rPr>
                <w:sz w:val="23"/>
                <w:szCs w:val="23"/>
                <w:color w:val="auto"/>
              </w:rPr>
            </w:pPr>
          </w:p>
        </w:tc>
        <w:tc>
          <w:tcPr>
            <w:tcW w:w="340" w:type="dxa"/>
            <w:vAlign w:val="bottom"/>
            <w:vMerge w:val="continue"/>
          </w:tcPr>
          <w:p>
            <w:pPr>
              <w:spacing w:after="0"/>
              <w:rPr>
                <w:sz w:val="23"/>
                <w:szCs w:val="23"/>
                <w:color w:val="auto"/>
              </w:rPr>
            </w:pPr>
          </w:p>
        </w:tc>
        <w:tc>
          <w:tcPr>
            <w:tcW w:w="200" w:type="dxa"/>
            <w:vAlign w:val="bottom"/>
            <w:vMerge w:val="continue"/>
          </w:tcPr>
          <w:p>
            <w:pPr>
              <w:spacing w:after="0"/>
              <w:rPr>
                <w:sz w:val="23"/>
                <w:szCs w:val="23"/>
                <w:color w:val="auto"/>
              </w:rPr>
            </w:pPr>
          </w:p>
        </w:tc>
        <w:tc>
          <w:tcPr>
            <w:tcW w:w="80" w:type="dxa"/>
            <w:vAlign w:val="bottom"/>
            <w:vMerge w:val="continue"/>
            <w:shd w:val="clear" w:color="auto" w:fill="62259D"/>
          </w:tcPr>
          <w:p>
            <w:pPr>
              <w:spacing w:after="0"/>
              <w:rPr>
                <w:sz w:val="23"/>
                <w:szCs w:val="23"/>
                <w:color w:val="auto"/>
              </w:rPr>
            </w:pPr>
          </w:p>
        </w:tc>
        <w:tc>
          <w:tcPr>
            <w:tcW w:w="140" w:type="dxa"/>
            <w:vAlign w:val="bottom"/>
            <w:vMerge w:val="continue"/>
            <w:shd w:val="clear" w:color="auto" w:fill="62259D"/>
          </w:tcPr>
          <w:p>
            <w:pPr>
              <w:spacing w:after="0"/>
              <w:rPr>
                <w:sz w:val="23"/>
                <w:szCs w:val="23"/>
                <w:color w:val="auto"/>
              </w:rPr>
            </w:pPr>
          </w:p>
        </w:tc>
        <w:tc>
          <w:tcPr>
            <w:tcW w:w="100" w:type="dxa"/>
            <w:vAlign w:val="bottom"/>
            <w:vMerge w:val="continue"/>
            <w:shd w:val="clear" w:color="auto" w:fill="62259D"/>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E7417A"/>
          </w:tcPr>
          <w:p>
            <w:pPr>
              <w:spacing w:after="0" w:line="20" w:lineRule="exact"/>
              <w:rPr>
                <w:sz w:val="1"/>
                <w:szCs w:val="1"/>
                <w:color w:val="auto"/>
              </w:rPr>
            </w:pPr>
          </w:p>
        </w:tc>
        <w:tc>
          <w:tcPr>
            <w:tcW w:w="1660" w:type="dxa"/>
            <w:vAlign w:val="bottom"/>
            <w:gridSpan w:val="2"/>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E7417A"/>
          </w:tcPr>
          <w:p>
            <w:pPr>
              <w:spacing w:after="0" w:line="20" w:lineRule="exact"/>
              <w:rPr>
                <w:sz w:val="1"/>
                <w:szCs w:val="1"/>
                <w:color w:val="auto"/>
              </w:rPr>
            </w:pPr>
          </w:p>
        </w:tc>
        <w:tc>
          <w:tcPr>
            <w:tcW w:w="320" w:type="dxa"/>
            <w:vAlign w:val="bottom"/>
            <w:shd w:val="clear" w:color="auto" w:fill="E7417A"/>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E7417A"/>
          </w:tcPr>
          <w:p>
            <w:pPr>
              <w:spacing w:after="0" w:line="20" w:lineRule="exact"/>
              <w:rPr>
                <w:sz w:val="1"/>
                <w:szCs w:val="1"/>
                <w:color w:val="auto"/>
              </w:rPr>
            </w:pPr>
          </w:p>
        </w:tc>
        <w:tc>
          <w:tcPr>
            <w:tcW w:w="4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E7417A"/>
          </w:tcPr>
          <w:p>
            <w:pPr>
              <w:spacing w:after="0" w:line="20" w:lineRule="exact"/>
              <w:rPr>
                <w:sz w:val="1"/>
                <w:szCs w:val="1"/>
                <w:color w:val="auto"/>
              </w:rPr>
            </w:pPr>
          </w:p>
        </w:tc>
        <w:tc>
          <w:tcPr>
            <w:tcW w:w="460" w:type="dxa"/>
            <w:vAlign w:val="bottom"/>
            <w:shd w:val="clear" w:color="auto" w:fill="E7417A"/>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380" w:type="dxa"/>
            <w:vAlign w:val="bottom"/>
            <w:shd w:val="clear" w:color="auto" w:fill="E7417A"/>
          </w:tcPr>
          <w:p>
            <w:pPr>
              <w:spacing w:after="0" w:line="20" w:lineRule="exact"/>
              <w:rPr>
                <w:sz w:val="1"/>
                <w:szCs w:val="1"/>
                <w:color w:val="auto"/>
              </w:rPr>
            </w:pPr>
          </w:p>
        </w:tc>
        <w:tc>
          <w:tcPr>
            <w:tcW w:w="8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E7417A"/>
          </w:tcPr>
          <w:p>
            <w:pPr>
              <w:spacing w:after="0" w:line="20" w:lineRule="exact"/>
              <w:rPr>
                <w:sz w:val="1"/>
                <w:szCs w:val="1"/>
                <w:color w:val="auto"/>
              </w:rPr>
            </w:pPr>
          </w:p>
        </w:tc>
        <w:tc>
          <w:tcPr>
            <w:tcW w:w="340" w:type="dxa"/>
            <w:vAlign w:val="bottom"/>
            <w:shd w:val="clear" w:color="auto" w:fill="E7417A"/>
          </w:tcPr>
          <w:p>
            <w:pPr>
              <w:spacing w:after="0" w:line="20" w:lineRule="exact"/>
              <w:rPr>
                <w:sz w:val="1"/>
                <w:szCs w:val="1"/>
                <w:color w:val="auto"/>
              </w:rPr>
            </w:pPr>
          </w:p>
        </w:tc>
        <w:tc>
          <w:tcPr>
            <w:tcW w:w="200" w:type="dxa"/>
            <w:vAlign w:val="bottom"/>
            <w:tcBorders>
              <w:right w:val="single" w:sz="8" w:color="FEFEFE"/>
            </w:tcBorders>
            <w:shd w:val="clear" w:color="auto" w:fill="E7417A"/>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0" w:type="dxa"/>
            <w:vAlign w:val="bottom"/>
          </w:tcPr>
          <w:p>
            <w:pPr>
              <w:spacing w:after="0"/>
              <w:rPr>
                <w:sz w:val="24"/>
                <w:szCs w:val="24"/>
                <w:color w:val="auto"/>
              </w:rPr>
            </w:pPr>
          </w:p>
        </w:tc>
        <w:tc>
          <w:tcPr>
            <w:tcW w:w="1660" w:type="dxa"/>
            <w:vAlign w:val="bottom"/>
            <w:gridSpan w:val="2"/>
          </w:tcPr>
          <w:p>
            <w:pPr>
              <w:ind w:left="500"/>
              <w:spacing w:after="0"/>
              <w:rPr>
                <w:sz w:val="20"/>
                <w:szCs w:val="20"/>
                <w:color w:val="auto"/>
              </w:rPr>
            </w:pPr>
            <w:r>
              <w:rPr>
                <w:rFonts w:ascii="Arial" w:cs="Arial" w:eastAsia="Arial" w:hAnsi="Arial"/>
                <w:sz w:val="28"/>
                <w:szCs w:val="28"/>
                <w:color w:val="auto"/>
                <w:vertAlign w:val="subscript"/>
              </w:rPr>
              <w:t>​</w:t>
            </w:r>
            <w:r>
              <w:rPr>
                <w:rFonts w:ascii="Arial" w:cs="Arial" w:eastAsia="Arial" w:hAnsi="Arial"/>
                <w:sz w:val="13"/>
                <w:szCs w:val="13"/>
                <w:color w:val="auto"/>
              </w:rPr>
              <w:t>Risk management</w:t>
            </w:r>
          </w:p>
        </w:tc>
        <w:tc>
          <w:tcPr>
            <w:tcW w:w="300" w:type="dxa"/>
            <w:vAlign w:val="bottom"/>
            <w:gridSpan w:val="3"/>
          </w:tcPr>
          <w:p>
            <w:pPr>
              <w:ind w:left="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24"/>
                <w:szCs w:val="24"/>
                <w:color w:val="auto"/>
              </w:rPr>
            </w:pPr>
          </w:p>
        </w:tc>
        <w:tc>
          <w:tcPr>
            <w:tcW w:w="420" w:type="dxa"/>
            <w:vAlign w:val="bottom"/>
            <w:gridSpan w:val="3"/>
          </w:tcPr>
          <w:p>
            <w:pPr>
              <w:ind w:left="12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24"/>
                <w:szCs w:val="24"/>
                <w:color w:val="auto"/>
              </w:rPr>
            </w:pPr>
          </w:p>
        </w:tc>
        <w:tc>
          <w:tcPr>
            <w:tcW w:w="580" w:type="dxa"/>
            <w:vAlign w:val="bottom"/>
            <w:gridSpan w:val="3"/>
          </w:tcPr>
          <w:p>
            <w:pPr>
              <w:ind w:left="160"/>
              <w:spacing w:after="0"/>
              <w:rPr>
                <w:sz w:val="20"/>
                <w:szCs w:val="20"/>
                <w:color w:val="auto"/>
              </w:rPr>
            </w:pPr>
            <w:r>
              <w:rPr>
                <w:rFonts w:ascii="Arial" w:cs="Arial" w:eastAsia="Arial" w:hAnsi="Arial"/>
                <w:sz w:val="14"/>
                <w:szCs w:val="14"/>
                <w:color w:val="auto"/>
              </w:rPr>
              <w:t>​ ​</w:t>
            </w: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24"/>
                <w:szCs w:val="24"/>
                <w:color w:val="auto"/>
              </w:rPr>
            </w:pPr>
          </w:p>
        </w:tc>
        <w:tc>
          <w:tcPr>
            <w:tcW w:w="400" w:type="dxa"/>
            <w:vAlign w:val="bottom"/>
            <w:gridSpan w:val="3"/>
          </w:tcPr>
          <w:p>
            <w:pPr>
              <w:ind w:left="60"/>
              <w:spacing w:after="0"/>
              <w:rPr>
                <w:sz w:val="20"/>
                <w:szCs w:val="20"/>
                <w:color w:val="auto"/>
              </w:rPr>
            </w:pPr>
            <w:r>
              <w:rPr>
                <w:rFonts w:ascii="Arial" w:cs="Arial" w:eastAsia="Arial" w:hAnsi="Arial"/>
                <w:sz w:val="14"/>
                <w:szCs w:val="14"/>
                <w:color w:val="auto"/>
              </w:rPr>
              <w:t>​ ​</w:t>
            </w:r>
          </w:p>
        </w:tc>
        <w:tc>
          <w:tcPr>
            <w:tcW w:w="460" w:type="dxa"/>
            <w:vAlign w:val="bottom"/>
          </w:tcPr>
          <w:p>
            <w:pPr>
              <w:spacing w:after="0"/>
              <w:rPr>
                <w:sz w:val="24"/>
                <w:szCs w:val="24"/>
                <w:color w:val="auto"/>
              </w:rPr>
            </w:pPr>
          </w:p>
        </w:tc>
        <w:tc>
          <w:tcPr>
            <w:tcW w:w="460" w:type="dxa"/>
            <w:vAlign w:val="bottom"/>
            <w:gridSpan w:val="3"/>
          </w:tcPr>
          <w:p>
            <w:pPr>
              <w:ind w:left="200"/>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200" w:type="dxa"/>
            <w:vAlign w:val="bottom"/>
          </w:tcPr>
          <w:p>
            <w:pPr>
              <w:ind w:lef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62259D"/>
          </w:tcPr>
          <w:p>
            <w:pPr>
              <w:ind w:left="60"/>
              <w:spacing w:after="0"/>
              <w:rPr>
                <w:sz w:val="20"/>
                <w:szCs w:val="20"/>
                <w:color w:val="auto"/>
              </w:rPr>
            </w:pPr>
            <w:r>
              <w:rPr>
                <w:rFonts w:ascii="Arial" w:cs="Arial" w:eastAsia="Arial" w:hAnsi="Arial"/>
                <w:sz w:val="1"/>
                <w:szCs w:val="1"/>
                <w:color w:val="auto"/>
                <w:w w:val="4294942296"/>
              </w:rPr>
              <w:t>​</w:t>
            </w:r>
          </w:p>
        </w:tc>
        <w:tc>
          <w:tcPr>
            <w:tcW w:w="140" w:type="dxa"/>
            <w:vAlign w:val="bottom"/>
            <w:shd w:val="clear" w:color="auto" w:fill="62259D"/>
          </w:tcPr>
          <w:p>
            <w:pPr>
              <w:jc w:val="right"/>
              <w:spacing w:after="0"/>
              <w:rPr>
                <w:sz w:val="20"/>
                <w:szCs w:val="20"/>
                <w:color w:val="auto"/>
              </w:rPr>
            </w:pPr>
            <w:r>
              <w:rPr>
                <w:rFonts w:ascii="Arial" w:cs="Arial" w:eastAsia="Arial" w:hAnsi="Arial"/>
                <w:sz w:val="14"/>
                <w:szCs w:val="14"/>
                <w:b w:val="1"/>
                <w:bCs w:val="1"/>
                <w:color w:val="FEFEFE"/>
              </w:rPr>
              <w:t>9</w:t>
            </w:r>
          </w:p>
        </w:tc>
        <w:tc>
          <w:tcPr>
            <w:tcW w:w="100" w:type="dxa"/>
            <w:vAlign w:val="bottom"/>
            <w:shd w:val="clear" w:color="auto" w:fill="62259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80" w:type="dxa"/>
            <w:vAlign w:val="bottom"/>
            <w:tcBorders>
              <w:bottom w:val="single" w:sz="8" w:color="E7417A"/>
            </w:tcBorders>
          </w:tcPr>
          <w:p>
            <w:pPr>
              <w:spacing w:after="0"/>
              <w:rPr>
                <w:sz w:val="8"/>
                <w:szCs w:val="8"/>
                <w:color w:val="auto"/>
              </w:rPr>
            </w:pPr>
          </w:p>
        </w:tc>
        <w:tc>
          <w:tcPr>
            <w:tcW w:w="1660" w:type="dxa"/>
            <w:vAlign w:val="bottom"/>
            <w:tcBorders>
              <w:bottom w:val="single" w:sz="8" w:color="E7417A"/>
            </w:tcBorders>
            <w:gridSpan w:val="2"/>
          </w:tcPr>
          <w:p>
            <w:pPr>
              <w:spacing w:after="0"/>
              <w:rPr>
                <w:sz w:val="8"/>
                <w:szCs w:val="8"/>
                <w:color w:val="auto"/>
              </w:rPr>
            </w:pPr>
          </w:p>
        </w:tc>
        <w:tc>
          <w:tcPr>
            <w:tcW w:w="8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280" w:type="dxa"/>
            <w:vAlign w:val="bottom"/>
            <w:tcBorders>
              <w:bottom w:val="single" w:sz="8" w:color="E7417A"/>
            </w:tcBorders>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340" w:type="dxa"/>
            <w:vAlign w:val="bottom"/>
            <w:tcBorders>
              <w:bottom w:val="single" w:sz="8" w:color="E7417A"/>
            </w:tcBorders>
          </w:tcPr>
          <w:p>
            <w:pPr>
              <w:spacing w:after="0"/>
              <w:rPr>
                <w:sz w:val="8"/>
                <w:szCs w:val="8"/>
                <w:color w:val="auto"/>
              </w:rPr>
            </w:pPr>
          </w:p>
        </w:tc>
        <w:tc>
          <w:tcPr>
            <w:tcW w:w="180" w:type="dxa"/>
            <w:vAlign w:val="bottom"/>
            <w:tcBorders>
              <w:bottom w:val="single" w:sz="8" w:color="E7417A"/>
            </w:tcBorders>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Borders>
              <w:bottom w:val="single" w:sz="8" w:color="E7417A"/>
            </w:tcBorders>
          </w:tcPr>
          <w:p>
            <w:pPr>
              <w:spacing w:after="0"/>
              <w:rPr>
                <w:sz w:val="8"/>
                <w:szCs w:val="8"/>
                <w:color w:val="auto"/>
              </w:rPr>
            </w:pPr>
          </w:p>
        </w:tc>
        <w:tc>
          <w:tcPr>
            <w:tcW w:w="320" w:type="dxa"/>
            <w:vAlign w:val="bottom"/>
            <w:tcBorders>
              <w:bottom w:val="single" w:sz="8" w:color="E7417A"/>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E7417A"/>
            </w:tcBorders>
          </w:tcPr>
          <w:p>
            <w:pPr>
              <w:spacing w:after="0"/>
              <w:rPr>
                <w:sz w:val="8"/>
                <w:szCs w:val="8"/>
                <w:color w:val="auto"/>
              </w:rPr>
            </w:pPr>
          </w:p>
        </w:tc>
        <w:tc>
          <w:tcPr>
            <w:tcW w:w="42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E7417A"/>
            </w:tcBorders>
          </w:tcPr>
          <w:p>
            <w:pPr>
              <w:spacing w:after="0"/>
              <w:rPr>
                <w:sz w:val="8"/>
                <w:szCs w:val="8"/>
                <w:color w:val="auto"/>
              </w:rPr>
            </w:pPr>
          </w:p>
        </w:tc>
        <w:tc>
          <w:tcPr>
            <w:tcW w:w="460" w:type="dxa"/>
            <w:vAlign w:val="bottom"/>
            <w:tcBorders>
              <w:bottom w:val="single" w:sz="8" w:color="E7417A"/>
            </w:tcBorders>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380" w:type="dxa"/>
            <w:vAlign w:val="bottom"/>
            <w:tcBorders>
              <w:bottom w:val="single" w:sz="8" w:color="E7417A"/>
            </w:tcBorders>
          </w:tcPr>
          <w:p>
            <w:pPr>
              <w:spacing w:after="0"/>
              <w:rPr>
                <w:sz w:val="8"/>
                <w:szCs w:val="8"/>
                <w:color w:val="auto"/>
              </w:rPr>
            </w:pPr>
          </w:p>
        </w:tc>
        <w:tc>
          <w:tcPr>
            <w:tcW w:w="8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E7417A"/>
            </w:tcBorders>
          </w:tcPr>
          <w:p>
            <w:pPr>
              <w:spacing w:after="0"/>
              <w:rPr>
                <w:sz w:val="8"/>
                <w:szCs w:val="8"/>
                <w:color w:val="auto"/>
              </w:rPr>
            </w:pPr>
          </w:p>
        </w:tc>
        <w:tc>
          <w:tcPr>
            <w:tcW w:w="380" w:type="dxa"/>
            <w:vAlign w:val="bottom"/>
            <w:tcBorders>
              <w:bottom w:val="single" w:sz="8" w:color="E7417A"/>
            </w:tcBorders>
          </w:tcPr>
          <w:p>
            <w:pPr>
              <w:spacing w:after="0"/>
              <w:rPr>
                <w:sz w:val="8"/>
                <w:szCs w:val="8"/>
                <w:color w:val="auto"/>
              </w:rPr>
            </w:pPr>
          </w:p>
        </w:tc>
        <w:tc>
          <w:tcPr>
            <w:tcW w:w="8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E7417A"/>
            </w:tcBorders>
          </w:tcPr>
          <w:p>
            <w:pPr>
              <w:spacing w:after="0"/>
              <w:rPr>
                <w:sz w:val="8"/>
                <w:szCs w:val="8"/>
                <w:color w:val="auto"/>
              </w:rPr>
            </w:pPr>
          </w:p>
        </w:tc>
        <w:tc>
          <w:tcPr>
            <w:tcW w:w="380" w:type="dxa"/>
            <w:vAlign w:val="bottom"/>
            <w:tcBorders>
              <w:bottom w:val="single" w:sz="8" w:color="E7417A"/>
            </w:tcBorders>
          </w:tcPr>
          <w:p>
            <w:pPr>
              <w:spacing w:after="0"/>
              <w:rPr>
                <w:sz w:val="8"/>
                <w:szCs w:val="8"/>
                <w:color w:val="auto"/>
              </w:rPr>
            </w:pPr>
          </w:p>
        </w:tc>
        <w:tc>
          <w:tcPr>
            <w:tcW w:w="80" w:type="dxa"/>
            <w:vAlign w:val="bottom"/>
            <w:tcBorders>
              <w:bottom w:val="single" w:sz="8" w:color="E7417A"/>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340" w:type="dxa"/>
            <w:vAlign w:val="bottom"/>
            <w:tcBorders>
              <w:bottom w:val="single" w:sz="8" w:color="E7417A"/>
            </w:tcBorders>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80" w:type="dxa"/>
            <w:vAlign w:val="bottom"/>
            <w:tcBorders>
              <w:bottom w:val="single" w:sz="8" w:color="FEFEFE"/>
            </w:tcBorders>
            <w:shd w:val="clear" w:color="auto" w:fill="62259D"/>
          </w:tcPr>
          <w:p>
            <w:pPr>
              <w:spacing w:after="0"/>
              <w:rPr>
                <w:sz w:val="8"/>
                <w:szCs w:val="8"/>
                <w:color w:val="auto"/>
              </w:rPr>
            </w:pPr>
          </w:p>
        </w:tc>
        <w:tc>
          <w:tcPr>
            <w:tcW w:w="140" w:type="dxa"/>
            <w:vAlign w:val="bottom"/>
            <w:tcBorders>
              <w:bottom w:val="single" w:sz="8" w:color="FEFEFE"/>
            </w:tcBorders>
            <w:shd w:val="clear" w:color="auto" w:fill="62259D"/>
          </w:tcPr>
          <w:p>
            <w:pPr>
              <w:spacing w:after="0"/>
              <w:rPr>
                <w:sz w:val="8"/>
                <w:szCs w:val="8"/>
                <w:color w:val="auto"/>
              </w:rPr>
            </w:pPr>
          </w:p>
        </w:tc>
        <w:tc>
          <w:tcPr>
            <w:tcW w:w="100" w:type="dxa"/>
            <w:vAlign w:val="bottom"/>
            <w:tcBorders>
              <w:bottom w:val="single" w:sz="8" w:color="FEFEFE"/>
            </w:tcBorders>
            <w:shd w:val="clear" w:color="auto" w:fill="62259D"/>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660" w:type="dxa"/>
            <w:vAlign w:val="bottom"/>
            <w:gridSpan w:val="2"/>
          </w:tcPr>
          <w:p>
            <w:pPr>
              <w:ind w:left="520"/>
              <w:spacing w:after="0"/>
              <w:rPr>
                <w:sz w:val="20"/>
                <w:szCs w:val="20"/>
                <w:color w:val="auto"/>
              </w:rPr>
            </w:pPr>
            <w:r>
              <w:rPr>
                <w:rFonts w:ascii="Arial" w:cs="Arial" w:eastAsia="Arial" w:hAnsi="Arial"/>
                <w:sz w:val="13"/>
                <w:szCs w:val="13"/>
                <w:color w:val="auto"/>
                <w:w w:val="99"/>
              </w:rPr>
              <w:t>Technology, digital,</w:t>
            </w:r>
          </w:p>
        </w:tc>
        <w:tc>
          <w:tcPr>
            <w:tcW w:w="300" w:type="dxa"/>
            <w:vAlign w:val="bottom"/>
            <w:gridSpan w:val="3"/>
            <w:vMerge w:val="restart"/>
          </w:tcPr>
          <w:p>
            <w:pPr>
              <w:ind w:left="40"/>
              <w:spacing w:after="0"/>
              <w:rPr>
                <w:sz w:val="20"/>
                <w:szCs w:val="20"/>
                <w:color w:val="auto"/>
              </w:rPr>
            </w:pPr>
            <w:r>
              <w:rPr>
                <w:rFonts w:ascii="Arial" w:cs="Arial" w:eastAsia="Arial" w:hAnsi="Arial"/>
                <w:sz w:val="14"/>
                <w:szCs w:val="14"/>
                <w:color w:val="auto"/>
              </w:rPr>
              <w:t>​ ​</w:t>
            </w:r>
          </w:p>
        </w:tc>
        <w:tc>
          <w:tcPr>
            <w:tcW w:w="280" w:type="dxa"/>
            <w:vAlign w:val="bottom"/>
          </w:tcPr>
          <w:p>
            <w:pPr>
              <w:spacing w:after="0"/>
              <w:rPr>
                <w:sz w:val="15"/>
                <w:szCs w:val="15"/>
                <w:color w:val="auto"/>
              </w:rPr>
            </w:pPr>
          </w:p>
        </w:tc>
        <w:tc>
          <w:tcPr>
            <w:tcW w:w="420" w:type="dxa"/>
            <w:vAlign w:val="bottom"/>
            <w:gridSpan w:val="3"/>
            <w:vMerge w:val="restart"/>
          </w:tcPr>
          <w:p>
            <w:pPr>
              <w:ind w:left="120"/>
              <w:spacing w:after="0"/>
              <w:rPr>
                <w:sz w:val="20"/>
                <w:szCs w:val="20"/>
                <w:color w:val="auto"/>
              </w:rPr>
            </w:pPr>
            <w:r>
              <w:rPr>
                <w:rFonts w:ascii="Arial" w:cs="Arial" w:eastAsia="Arial" w:hAnsi="Arial"/>
                <w:sz w:val="14"/>
                <w:szCs w:val="14"/>
                <w:color w:val="auto"/>
              </w:rPr>
              <w:t>​ ​</w:t>
            </w:r>
          </w:p>
        </w:tc>
        <w:tc>
          <w:tcPr>
            <w:tcW w:w="340" w:type="dxa"/>
            <w:vAlign w:val="bottom"/>
          </w:tcPr>
          <w:p>
            <w:pPr>
              <w:spacing w:after="0"/>
              <w:rPr>
                <w:sz w:val="15"/>
                <w:szCs w:val="15"/>
                <w:color w:val="auto"/>
              </w:rPr>
            </w:pPr>
          </w:p>
        </w:tc>
        <w:tc>
          <w:tcPr>
            <w:tcW w:w="580" w:type="dxa"/>
            <w:vAlign w:val="bottom"/>
            <w:gridSpan w:val="3"/>
            <w:vMerge w:val="restart"/>
          </w:tcPr>
          <w:p>
            <w:pPr>
              <w:ind w:left="160"/>
              <w:spacing w:after="0"/>
              <w:rPr>
                <w:sz w:val="20"/>
                <w:szCs w:val="20"/>
                <w:color w:val="auto"/>
              </w:rPr>
            </w:pPr>
            <w:r>
              <w:rPr>
                <w:rFonts w:ascii="Arial" w:cs="Arial" w:eastAsia="Arial" w:hAnsi="Arial"/>
                <w:sz w:val="14"/>
                <w:szCs w:val="14"/>
                <w:color w:val="auto"/>
              </w:rPr>
              <w:t>​ ​</w:t>
            </w:r>
          </w:p>
        </w:tc>
        <w:tc>
          <w:tcPr>
            <w:tcW w:w="480" w:type="dxa"/>
            <w:vAlign w:val="bottom"/>
            <w:gridSpan w:val="3"/>
            <w:vMerge w:val="restart"/>
          </w:tcPr>
          <w:p>
            <w:pPr>
              <w:jc w:val="right"/>
              <w:spacing w:after="0"/>
              <w:rPr>
                <w:sz w:val="20"/>
                <w:szCs w:val="20"/>
                <w:color w:val="auto"/>
              </w:rPr>
            </w:pPr>
            <w:r>
              <w:rPr>
                <w:rFonts w:ascii="Arial" w:cs="Arial" w:eastAsia="Arial" w:hAnsi="Arial"/>
                <w:sz w:val="14"/>
                <w:szCs w:val="14"/>
                <w:color w:val="auto"/>
              </w:rPr>
              <w:t>​ ​</w:t>
            </w:r>
          </w:p>
        </w:tc>
        <w:tc>
          <w:tcPr>
            <w:tcW w:w="420" w:type="dxa"/>
            <w:vAlign w:val="bottom"/>
          </w:tcPr>
          <w:p>
            <w:pPr>
              <w:spacing w:after="0"/>
              <w:rPr>
                <w:sz w:val="15"/>
                <w:szCs w:val="15"/>
                <w:color w:val="auto"/>
              </w:rPr>
            </w:pPr>
          </w:p>
        </w:tc>
        <w:tc>
          <w:tcPr>
            <w:tcW w:w="400" w:type="dxa"/>
            <w:vAlign w:val="bottom"/>
            <w:gridSpan w:val="3"/>
            <w:vMerge w:val="restart"/>
          </w:tcPr>
          <w:p>
            <w:pPr>
              <w:ind w:left="60"/>
              <w:spacing w:after="0"/>
              <w:rPr>
                <w:sz w:val="20"/>
                <w:szCs w:val="20"/>
                <w:color w:val="auto"/>
              </w:rPr>
            </w:pPr>
            <w:r>
              <w:rPr>
                <w:rFonts w:ascii="Arial" w:cs="Arial" w:eastAsia="Arial" w:hAnsi="Arial"/>
                <w:sz w:val="14"/>
                <w:szCs w:val="14"/>
                <w:color w:val="auto"/>
              </w:rPr>
              <w:t>​ ​</w:t>
            </w:r>
          </w:p>
        </w:tc>
        <w:tc>
          <w:tcPr>
            <w:tcW w:w="460" w:type="dxa"/>
            <w:vAlign w:val="bottom"/>
          </w:tcPr>
          <w:p>
            <w:pPr>
              <w:spacing w:after="0"/>
              <w:rPr>
                <w:sz w:val="15"/>
                <w:szCs w:val="15"/>
                <w:color w:val="auto"/>
              </w:rPr>
            </w:pPr>
          </w:p>
        </w:tc>
        <w:tc>
          <w:tcPr>
            <w:tcW w:w="460" w:type="dxa"/>
            <w:vAlign w:val="bottom"/>
            <w:gridSpan w:val="3"/>
            <w:vMerge w:val="restart"/>
          </w:tcPr>
          <w:p>
            <w:pPr>
              <w:ind w:left="200"/>
              <w:spacing w:after="0"/>
              <w:rPr>
                <w:sz w:val="20"/>
                <w:szCs w:val="20"/>
                <w:color w:val="auto"/>
              </w:rPr>
            </w:pPr>
            <w:r>
              <w:rPr>
                <w:rFonts w:ascii="Arial" w:cs="Arial" w:eastAsia="Arial" w:hAnsi="Arial"/>
                <w:sz w:val="14"/>
                <w:szCs w:val="14"/>
                <w:color w:val="auto"/>
              </w:rPr>
              <w:t>​ ​</w:t>
            </w:r>
          </w:p>
        </w:tc>
        <w:tc>
          <w:tcPr>
            <w:tcW w:w="380" w:type="dxa"/>
            <w:vAlign w:val="bottom"/>
          </w:tcPr>
          <w:p>
            <w:pPr>
              <w:spacing w:after="0"/>
              <w:rPr>
                <w:sz w:val="15"/>
                <w:szCs w:val="15"/>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0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40"/>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62259D"/>
          </w:tcPr>
          <w:p>
            <w:pPr>
              <w:ind w:left="60"/>
              <w:spacing w:after="0"/>
              <w:rPr>
                <w:sz w:val="20"/>
                <w:szCs w:val="20"/>
                <w:color w:val="auto"/>
              </w:rPr>
            </w:pPr>
            <w:r>
              <w:rPr>
                <w:rFonts w:ascii="Arial" w:cs="Arial" w:eastAsia="Arial" w:hAnsi="Arial"/>
                <w:sz w:val="1"/>
                <w:szCs w:val="1"/>
                <w:color w:val="auto"/>
                <w:w w:val="4294942296"/>
              </w:rPr>
              <w:t>​</w:t>
            </w:r>
          </w:p>
        </w:tc>
        <w:tc>
          <w:tcPr>
            <w:tcW w:w="140" w:type="dxa"/>
            <w:vAlign w:val="bottom"/>
            <w:vMerge w:val="restart"/>
            <w:shd w:val="clear" w:color="auto" w:fill="62259D"/>
          </w:tcPr>
          <w:p>
            <w:pPr>
              <w:jc w:val="right"/>
              <w:spacing w:after="0"/>
              <w:rPr>
                <w:sz w:val="20"/>
                <w:szCs w:val="20"/>
                <w:color w:val="auto"/>
              </w:rPr>
            </w:pPr>
            <w:r>
              <w:rPr>
                <w:rFonts w:ascii="Arial" w:cs="Arial" w:eastAsia="Arial" w:hAnsi="Arial"/>
                <w:sz w:val="14"/>
                <w:szCs w:val="14"/>
                <w:b w:val="1"/>
                <w:bCs w:val="1"/>
                <w:color w:val="FEFEFE"/>
              </w:rPr>
              <w:t>8</w:t>
            </w:r>
          </w:p>
        </w:tc>
        <w:tc>
          <w:tcPr>
            <w:tcW w:w="100" w:type="dxa"/>
            <w:vAlign w:val="bottom"/>
            <w:vMerge w:val="restart"/>
            <w:shd w:val="clear" w:color="auto" w:fill="62259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4"/>
        </w:trPr>
        <w:tc>
          <w:tcPr>
            <w:tcW w:w="80" w:type="dxa"/>
            <w:vAlign w:val="bottom"/>
          </w:tcPr>
          <w:p>
            <w:pPr>
              <w:spacing w:after="0"/>
              <w:rPr>
                <w:sz w:val="24"/>
                <w:szCs w:val="24"/>
                <w:color w:val="auto"/>
              </w:rPr>
            </w:pPr>
          </w:p>
        </w:tc>
        <w:tc>
          <w:tcPr>
            <w:tcW w:w="1660" w:type="dxa"/>
            <w:vAlign w:val="bottom"/>
            <w:gridSpan w:val="2"/>
          </w:tcPr>
          <w:p>
            <w:pPr>
              <w:ind w:left="500"/>
              <w:spacing w:after="0" w:line="28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3"/>
                <w:szCs w:val="13"/>
                <w:color w:val="auto"/>
              </w:rPr>
              <w:t>communications</w:t>
            </w:r>
          </w:p>
        </w:tc>
        <w:tc>
          <w:tcPr>
            <w:tcW w:w="30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gridSpan w:val="3"/>
            <w:vMerge w:val="continue"/>
          </w:tcPr>
          <w:p>
            <w:pPr>
              <w:spacing w:after="0"/>
              <w:rPr>
                <w:sz w:val="24"/>
                <w:szCs w:val="24"/>
                <w:color w:val="auto"/>
              </w:rPr>
            </w:pPr>
          </w:p>
        </w:tc>
        <w:tc>
          <w:tcPr>
            <w:tcW w:w="4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gridSpan w:val="3"/>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gridSpan w:val="2"/>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200" w:type="dxa"/>
            <w:vAlign w:val="bottom"/>
            <w:vMerge w:val="continue"/>
          </w:tcPr>
          <w:p>
            <w:pPr>
              <w:spacing w:after="0"/>
              <w:rPr>
                <w:sz w:val="24"/>
                <w:szCs w:val="24"/>
                <w:color w:val="auto"/>
              </w:rPr>
            </w:pPr>
          </w:p>
        </w:tc>
        <w:tc>
          <w:tcPr>
            <w:tcW w:w="80" w:type="dxa"/>
            <w:vAlign w:val="bottom"/>
            <w:vMerge w:val="continue"/>
            <w:shd w:val="clear" w:color="auto" w:fill="62259D"/>
          </w:tcPr>
          <w:p>
            <w:pPr>
              <w:spacing w:after="0"/>
              <w:rPr>
                <w:sz w:val="24"/>
                <w:szCs w:val="24"/>
                <w:color w:val="auto"/>
              </w:rPr>
            </w:pPr>
          </w:p>
        </w:tc>
        <w:tc>
          <w:tcPr>
            <w:tcW w:w="140" w:type="dxa"/>
            <w:vAlign w:val="bottom"/>
            <w:vMerge w:val="continue"/>
            <w:shd w:val="clear" w:color="auto" w:fill="62259D"/>
          </w:tcPr>
          <w:p>
            <w:pPr>
              <w:spacing w:after="0"/>
              <w:rPr>
                <w:sz w:val="24"/>
                <w:szCs w:val="24"/>
                <w:color w:val="auto"/>
              </w:rPr>
            </w:pPr>
          </w:p>
        </w:tc>
        <w:tc>
          <w:tcPr>
            <w:tcW w:w="100" w:type="dxa"/>
            <w:vAlign w:val="bottom"/>
            <w:vMerge w:val="continue"/>
            <w:shd w:val="clear" w:color="auto" w:fill="62259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62259D"/>
            </w:tcBorders>
          </w:tcPr>
          <w:p>
            <w:pPr>
              <w:spacing w:after="0" w:line="20" w:lineRule="exact"/>
              <w:rPr>
                <w:sz w:val="1"/>
                <w:szCs w:val="1"/>
                <w:color w:val="auto"/>
              </w:rPr>
            </w:pPr>
          </w:p>
        </w:tc>
        <w:tc>
          <w:tcPr>
            <w:tcW w:w="1100" w:type="dxa"/>
            <w:vAlign w:val="bottom"/>
            <w:tcBorders>
              <w:bottom w:val="single" w:sz="8" w:color="62259D"/>
            </w:tcBorders>
          </w:tcPr>
          <w:p>
            <w:pPr>
              <w:spacing w:after="0" w:line="20" w:lineRule="exact"/>
              <w:rPr>
                <w:sz w:val="1"/>
                <w:szCs w:val="1"/>
                <w:color w:val="auto"/>
              </w:rPr>
            </w:pPr>
          </w:p>
        </w:tc>
        <w:tc>
          <w:tcPr>
            <w:tcW w:w="560" w:type="dxa"/>
            <w:vAlign w:val="bottom"/>
            <w:tcBorders>
              <w:bottom w:val="single" w:sz="8" w:color="62259D"/>
            </w:tcBorders>
          </w:tcPr>
          <w:p>
            <w:pPr>
              <w:spacing w:after="0" w:line="20" w:lineRule="exact"/>
              <w:rPr>
                <w:sz w:val="1"/>
                <w:szCs w:val="1"/>
                <w:color w:val="auto"/>
              </w:rPr>
            </w:pPr>
          </w:p>
        </w:tc>
        <w:tc>
          <w:tcPr>
            <w:tcW w:w="80" w:type="dxa"/>
            <w:vAlign w:val="bottom"/>
            <w:tcBorders>
              <w:bottom w:val="single" w:sz="8" w:color="62259D"/>
            </w:tcBorders>
          </w:tcPr>
          <w:p>
            <w:pPr>
              <w:spacing w:after="0" w:line="20" w:lineRule="exact"/>
              <w:rPr>
                <w:sz w:val="1"/>
                <w:szCs w:val="1"/>
                <w:color w:val="auto"/>
              </w:rPr>
            </w:pPr>
          </w:p>
        </w:tc>
        <w:tc>
          <w:tcPr>
            <w:tcW w:w="20" w:type="dxa"/>
            <w:vAlign w:val="bottom"/>
            <w:tcBorders>
              <w:bottom w:val="single" w:sz="8" w:color="62259D"/>
            </w:tcBorders>
          </w:tcPr>
          <w:p>
            <w:pPr>
              <w:spacing w:after="0" w:line="20" w:lineRule="exact"/>
              <w:rPr>
                <w:sz w:val="1"/>
                <w:szCs w:val="1"/>
                <w:color w:val="auto"/>
              </w:rPr>
            </w:pPr>
          </w:p>
        </w:tc>
        <w:tc>
          <w:tcPr>
            <w:tcW w:w="200" w:type="dxa"/>
            <w:vAlign w:val="bottom"/>
            <w:tcBorders>
              <w:bottom w:val="single" w:sz="8" w:color="62259D"/>
            </w:tcBorders>
          </w:tcPr>
          <w:p>
            <w:pPr>
              <w:spacing w:after="0" w:line="20" w:lineRule="exact"/>
              <w:rPr>
                <w:sz w:val="1"/>
                <w:szCs w:val="1"/>
                <w:color w:val="auto"/>
              </w:rPr>
            </w:pPr>
          </w:p>
        </w:tc>
        <w:tc>
          <w:tcPr>
            <w:tcW w:w="280" w:type="dxa"/>
            <w:vAlign w:val="bottom"/>
            <w:tcBorders>
              <w:bottom w:val="single" w:sz="8" w:color="62259D"/>
            </w:tcBorders>
          </w:tcPr>
          <w:p>
            <w:pPr>
              <w:spacing w:after="0" w:line="20" w:lineRule="exact"/>
              <w:rPr>
                <w:sz w:val="1"/>
                <w:szCs w:val="1"/>
                <w:color w:val="auto"/>
              </w:rPr>
            </w:pPr>
          </w:p>
        </w:tc>
        <w:tc>
          <w:tcPr>
            <w:tcW w:w="160" w:type="dxa"/>
            <w:vAlign w:val="bottom"/>
            <w:tcBorders>
              <w:bottom w:val="single" w:sz="8" w:color="62259D"/>
            </w:tcBorders>
          </w:tcPr>
          <w:p>
            <w:pPr>
              <w:spacing w:after="0" w:line="20" w:lineRule="exact"/>
              <w:rPr>
                <w:sz w:val="1"/>
                <w:szCs w:val="1"/>
                <w:color w:val="auto"/>
              </w:rPr>
            </w:pPr>
          </w:p>
        </w:tc>
        <w:tc>
          <w:tcPr>
            <w:tcW w:w="20" w:type="dxa"/>
            <w:vAlign w:val="bottom"/>
            <w:tcBorders>
              <w:bottom w:val="single" w:sz="8" w:color="62259D"/>
            </w:tcBorders>
          </w:tcPr>
          <w:p>
            <w:pPr>
              <w:spacing w:after="0" w:line="20" w:lineRule="exact"/>
              <w:rPr>
                <w:sz w:val="1"/>
                <w:szCs w:val="1"/>
                <w:color w:val="auto"/>
              </w:rPr>
            </w:pPr>
          </w:p>
        </w:tc>
        <w:tc>
          <w:tcPr>
            <w:tcW w:w="240" w:type="dxa"/>
            <w:vAlign w:val="bottom"/>
            <w:tcBorders>
              <w:bottom w:val="single" w:sz="8" w:color="62259D"/>
            </w:tcBorders>
          </w:tcPr>
          <w:p>
            <w:pPr>
              <w:spacing w:after="0" w:line="20" w:lineRule="exact"/>
              <w:rPr>
                <w:sz w:val="1"/>
                <w:szCs w:val="1"/>
                <w:color w:val="auto"/>
              </w:rPr>
            </w:pPr>
          </w:p>
        </w:tc>
        <w:tc>
          <w:tcPr>
            <w:tcW w:w="340" w:type="dxa"/>
            <w:vAlign w:val="bottom"/>
            <w:tcBorders>
              <w:bottom w:val="single" w:sz="8" w:color="62259D"/>
            </w:tcBorders>
          </w:tcPr>
          <w:p>
            <w:pPr>
              <w:spacing w:after="0" w:line="20" w:lineRule="exact"/>
              <w:rPr>
                <w:sz w:val="1"/>
                <w:szCs w:val="1"/>
                <w:color w:val="auto"/>
              </w:rPr>
            </w:pPr>
          </w:p>
        </w:tc>
        <w:tc>
          <w:tcPr>
            <w:tcW w:w="180" w:type="dxa"/>
            <w:vAlign w:val="bottom"/>
            <w:tcBorders>
              <w:bottom w:val="single" w:sz="8" w:color="62259D"/>
            </w:tcBorders>
          </w:tcPr>
          <w:p>
            <w:pPr>
              <w:spacing w:after="0" w:line="20" w:lineRule="exact"/>
              <w:rPr>
                <w:sz w:val="1"/>
                <w:szCs w:val="1"/>
                <w:color w:val="auto"/>
              </w:rPr>
            </w:pPr>
          </w:p>
        </w:tc>
        <w:tc>
          <w:tcPr>
            <w:tcW w:w="40" w:type="dxa"/>
            <w:vAlign w:val="bottom"/>
            <w:tcBorders>
              <w:bottom w:val="single" w:sz="8" w:color="62259D"/>
            </w:tcBorders>
          </w:tcPr>
          <w:p>
            <w:pPr>
              <w:spacing w:after="0" w:line="20" w:lineRule="exact"/>
              <w:rPr>
                <w:sz w:val="1"/>
                <w:szCs w:val="1"/>
                <w:color w:val="auto"/>
              </w:rPr>
            </w:pPr>
          </w:p>
        </w:tc>
        <w:tc>
          <w:tcPr>
            <w:tcW w:w="360" w:type="dxa"/>
            <w:vAlign w:val="bottom"/>
            <w:tcBorders>
              <w:bottom w:val="single" w:sz="8" w:color="62259D"/>
            </w:tcBorders>
          </w:tcPr>
          <w:p>
            <w:pPr>
              <w:spacing w:after="0" w:line="20" w:lineRule="exact"/>
              <w:rPr>
                <w:sz w:val="1"/>
                <w:szCs w:val="1"/>
                <w:color w:val="auto"/>
              </w:rPr>
            </w:pPr>
          </w:p>
        </w:tc>
        <w:tc>
          <w:tcPr>
            <w:tcW w:w="320" w:type="dxa"/>
            <w:vAlign w:val="bottom"/>
            <w:tcBorders>
              <w:bottom w:val="single" w:sz="8" w:color="62259D"/>
            </w:tcBorders>
          </w:tcPr>
          <w:p>
            <w:pPr>
              <w:spacing w:after="0" w:line="20" w:lineRule="exact"/>
              <w:rPr>
                <w:sz w:val="1"/>
                <w:szCs w:val="1"/>
                <w:color w:val="auto"/>
              </w:rPr>
            </w:pPr>
          </w:p>
        </w:tc>
        <w:tc>
          <w:tcPr>
            <w:tcW w:w="40" w:type="dxa"/>
            <w:vAlign w:val="bottom"/>
            <w:tcBorders>
              <w:bottom w:val="single" w:sz="8" w:color="62259D"/>
            </w:tcBorders>
          </w:tcPr>
          <w:p>
            <w:pPr>
              <w:spacing w:after="0" w:line="20" w:lineRule="exact"/>
              <w:rPr>
                <w:sz w:val="1"/>
                <w:szCs w:val="1"/>
                <w:color w:val="auto"/>
              </w:rPr>
            </w:pPr>
          </w:p>
        </w:tc>
        <w:tc>
          <w:tcPr>
            <w:tcW w:w="120" w:type="dxa"/>
            <w:vAlign w:val="bottom"/>
            <w:tcBorders>
              <w:bottom w:val="single" w:sz="8" w:color="62259D"/>
            </w:tcBorders>
          </w:tcPr>
          <w:p>
            <w:pPr>
              <w:spacing w:after="0" w:line="20" w:lineRule="exact"/>
              <w:rPr>
                <w:sz w:val="1"/>
                <w:szCs w:val="1"/>
                <w:color w:val="auto"/>
              </w:rPr>
            </w:pPr>
          </w:p>
        </w:tc>
        <w:tc>
          <w:tcPr>
            <w:tcW w:w="420" w:type="dxa"/>
            <w:vAlign w:val="bottom"/>
            <w:tcBorders>
              <w:bottom w:val="single" w:sz="8" w:color="62259D"/>
            </w:tcBorders>
          </w:tcPr>
          <w:p>
            <w:pPr>
              <w:spacing w:after="0" w:line="20" w:lineRule="exact"/>
              <w:rPr>
                <w:sz w:val="1"/>
                <w:szCs w:val="1"/>
                <w:color w:val="auto"/>
              </w:rPr>
            </w:pPr>
          </w:p>
        </w:tc>
        <w:tc>
          <w:tcPr>
            <w:tcW w:w="100" w:type="dxa"/>
            <w:vAlign w:val="bottom"/>
            <w:tcBorders>
              <w:bottom w:val="single" w:sz="8" w:color="62259D"/>
            </w:tcBorders>
          </w:tcPr>
          <w:p>
            <w:pPr>
              <w:spacing w:after="0" w:line="20" w:lineRule="exact"/>
              <w:rPr>
                <w:sz w:val="1"/>
                <w:szCs w:val="1"/>
                <w:color w:val="auto"/>
              </w:rPr>
            </w:pPr>
          </w:p>
        </w:tc>
        <w:tc>
          <w:tcPr>
            <w:tcW w:w="20" w:type="dxa"/>
            <w:vAlign w:val="bottom"/>
            <w:tcBorders>
              <w:bottom w:val="single" w:sz="8" w:color="62259D"/>
            </w:tcBorders>
          </w:tcPr>
          <w:p>
            <w:pPr>
              <w:spacing w:after="0" w:line="20" w:lineRule="exact"/>
              <w:rPr>
                <w:sz w:val="1"/>
                <w:szCs w:val="1"/>
                <w:color w:val="auto"/>
              </w:rPr>
            </w:pPr>
          </w:p>
        </w:tc>
        <w:tc>
          <w:tcPr>
            <w:tcW w:w="280" w:type="dxa"/>
            <w:vAlign w:val="bottom"/>
            <w:tcBorders>
              <w:bottom w:val="single" w:sz="8" w:color="62259D"/>
            </w:tcBorders>
          </w:tcPr>
          <w:p>
            <w:pPr>
              <w:spacing w:after="0" w:line="20" w:lineRule="exact"/>
              <w:rPr>
                <w:sz w:val="1"/>
                <w:szCs w:val="1"/>
                <w:color w:val="auto"/>
              </w:rPr>
            </w:pPr>
          </w:p>
        </w:tc>
        <w:tc>
          <w:tcPr>
            <w:tcW w:w="460" w:type="dxa"/>
            <w:vAlign w:val="bottom"/>
            <w:tcBorders>
              <w:bottom w:val="single" w:sz="8" w:color="62259D"/>
            </w:tcBorders>
          </w:tcPr>
          <w:p>
            <w:pPr>
              <w:spacing w:after="0" w:line="20" w:lineRule="exact"/>
              <w:rPr>
                <w:sz w:val="1"/>
                <w:szCs w:val="1"/>
                <w:color w:val="auto"/>
              </w:rPr>
            </w:pPr>
          </w:p>
        </w:tc>
        <w:tc>
          <w:tcPr>
            <w:tcW w:w="240" w:type="dxa"/>
            <w:vAlign w:val="bottom"/>
            <w:tcBorders>
              <w:bottom w:val="single" w:sz="8" w:color="62259D"/>
            </w:tcBorders>
          </w:tcPr>
          <w:p>
            <w:pPr>
              <w:spacing w:after="0" w:line="20" w:lineRule="exact"/>
              <w:rPr>
                <w:sz w:val="1"/>
                <w:szCs w:val="1"/>
                <w:color w:val="auto"/>
              </w:rPr>
            </w:pPr>
          </w:p>
        </w:tc>
        <w:tc>
          <w:tcPr>
            <w:tcW w:w="20" w:type="dxa"/>
            <w:vAlign w:val="bottom"/>
            <w:tcBorders>
              <w:bottom w:val="single" w:sz="8" w:color="62259D"/>
            </w:tcBorders>
          </w:tcPr>
          <w:p>
            <w:pPr>
              <w:spacing w:after="0" w:line="20" w:lineRule="exact"/>
              <w:rPr>
                <w:sz w:val="1"/>
                <w:szCs w:val="1"/>
                <w:color w:val="auto"/>
              </w:rPr>
            </w:pPr>
          </w:p>
        </w:tc>
        <w:tc>
          <w:tcPr>
            <w:tcW w:w="200" w:type="dxa"/>
            <w:vAlign w:val="bottom"/>
            <w:tcBorders>
              <w:bottom w:val="single" w:sz="8" w:color="62259D"/>
            </w:tcBorders>
          </w:tcPr>
          <w:p>
            <w:pPr>
              <w:spacing w:after="0" w:line="20" w:lineRule="exact"/>
              <w:rPr>
                <w:sz w:val="1"/>
                <w:szCs w:val="1"/>
                <w:color w:val="auto"/>
              </w:rPr>
            </w:pPr>
          </w:p>
        </w:tc>
        <w:tc>
          <w:tcPr>
            <w:tcW w:w="380" w:type="dxa"/>
            <w:vAlign w:val="bottom"/>
            <w:tcBorders>
              <w:bottom w:val="single" w:sz="8" w:color="62259D"/>
            </w:tcBorders>
          </w:tcPr>
          <w:p>
            <w:pPr>
              <w:spacing w:after="0" w:line="20" w:lineRule="exact"/>
              <w:rPr>
                <w:sz w:val="1"/>
                <w:szCs w:val="1"/>
                <w:color w:val="auto"/>
              </w:rPr>
            </w:pPr>
          </w:p>
        </w:tc>
        <w:tc>
          <w:tcPr>
            <w:tcW w:w="80" w:type="dxa"/>
            <w:vAlign w:val="bottom"/>
            <w:tcBorders>
              <w:bottom w:val="single" w:sz="8" w:color="62259D"/>
            </w:tcBorders>
          </w:tcPr>
          <w:p>
            <w:pPr>
              <w:spacing w:after="0" w:line="20" w:lineRule="exact"/>
              <w:rPr>
                <w:sz w:val="1"/>
                <w:szCs w:val="1"/>
                <w:color w:val="auto"/>
              </w:rPr>
            </w:pPr>
          </w:p>
        </w:tc>
        <w:tc>
          <w:tcPr>
            <w:tcW w:w="20" w:type="dxa"/>
            <w:vAlign w:val="bottom"/>
            <w:tcBorders>
              <w:bottom w:val="single" w:sz="8" w:color="62259D"/>
            </w:tcBorders>
          </w:tcPr>
          <w:p>
            <w:pPr>
              <w:spacing w:after="0" w:line="20" w:lineRule="exact"/>
              <w:rPr>
                <w:sz w:val="1"/>
                <w:szCs w:val="1"/>
                <w:color w:val="auto"/>
              </w:rPr>
            </w:pPr>
          </w:p>
        </w:tc>
        <w:tc>
          <w:tcPr>
            <w:tcW w:w="220" w:type="dxa"/>
            <w:vAlign w:val="bottom"/>
            <w:tcBorders>
              <w:bottom w:val="single" w:sz="8" w:color="62259D"/>
            </w:tcBorders>
          </w:tcPr>
          <w:p>
            <w:pPr>
              <w:spacing w:after="0" w:line="20" w:lineRule="exact"/>
              <w:rPr>
                <w:sz w:val="1"/>
                <w:szCs w:val="1"/>
                <w:color w:val="auto"/>
              </w:rPr>
            </w:pPr>
          </w:p>
        </w:tc>
        <w:tc>
          <w:tcPr>
            <w:tcW w:w="380" w:type="dxa"/>
            <w:vAlign w:val="bottom"/>
            <w:tcBorders>
              <w:bottom w:val="single" w:sz="8" w:color="62259D"/>
            </w:tcBorders>
          </w:tcPr>
          <w:p>
            <w:pPr>
              <w:spacing w:after="0" w:line="20" w:lineRule="exact"/>
              <w:rPr>
                <w:sz w:val="1"/>
                <w:szCs w:val="1"/>
                <w:color w:val="auto"/>
              </w:rPr>
            </w:pPr>
          </w:p>
        </w:tc>
        <w:tc>
          <w:tcPr>
            <w:tcW w:w="80" w:type="dxa"/>
            <w:vAlign w:val="bottom"/>
            <w:tcBorders>
              <w:bottom w:val="single" w:sz="8" w:color="62259D"/>
            </w:tcBorders>
          </w:tcPr>
          <w:p>
            <w:pPr>
              <w:spacing w:after="0" w:line="20" w:lineRule="exact"/>
              <w:rPr>
                <w:sz w:val="1"/>
                <w:szCs w:val="1"/>
                <w:color w:val="auto"/>
              </w:rPr>
            </w:pPr>
          </w:p>
        </w:tc>
        <w:tc>
          <w:tcPr>
            <w:tcW w:w="20" w:type="dxa"/>
            <w:vAlign w:val="bottom"/>
            <w:tcBorders>
              <w:bottom w:val="single" w:sz="8" w:color="62259D"/>
            </w:tcBorders>
          </w:tcPr>
          <w:p>
            <w:pPr>
              <w:spacing w:after="0" w:line="20" w:lineRule="exact"/>
              <w:rPr>
                <w:sz w:val="1"/>
                <w:szCs w:val="1"/>
                <w:color w:val="auto"/>
              </w:rPr>
            </w:pPr>
          </w:p>
        </w:tc>
        <w:tc>
          <w:tcPr>
            <w:tcW w:w="220" w:type="dxa"/>
            <w:vAlign w:val="bottom"/>
            <w:tcBorders>
              <w:bottom w:val="single" w:sz="8" w:color="62259D"/>
            </w:tcBorders>
          </w:tcPr>
          <w:p>
            <w:pPr>
              <w:spacing w:after="0" w:line="20" w:lineRule="exact"/>
              <w:rPr>
                <w:sz w:val="1"/>
                <w:szCs w:val="1"/>
                <w:color w:val="auto"/>
              </w:rPr>
            </w:pPr>
          </w:p>
        </w:tc>
        <w:tc>
          <w:tcPr>
            <w:tcW w:w="380" w:type="dxa"/>
            <w:vAlign w:val="bottom"/>
            <w:tcBorders>
              <w:bottom w:val="single" w:sz="8" w:color="62259D"/>
            </w:tcBorders>
          </w:tcPr>
          <w:p>
            <w:pPr>
              <w:spacing w:after="0" w:line="20" w:lineRule="exact"/>
              <w:rPr>
                <w:sz w:val="1"/>
                <w:szCs w:val="1"/>
                <w:color w:val="auto"/>
              </w:rPr>
            </w:pPr>
          </w:p>
        </w:tc>
        <w:tc>
          <w:tcPr>
            <w:tcW w:w="80" w:type="dxa"/>
            <w:vAlign w:val="bottom"/>
            <w:tcBorders>
              <w:bottom w:val="single" w:sz="8" w:color="62259D"/>
            </w:tcBorders>
          </w:tcPr>
          <w:p>
            <w:pPr>
              <w:spacing w:after="0" w:line="20" w:lineRule="exact"/>
              <w:rPr>
                <w:sz w:val="1"/>
                <w:szCs w:val="1"/>
                <w:color w:val="auto"/>
              </w:rPr>
            </w:pPr>
          </w:p>
        </w:tc>
        <w:tc>
          <w:tcPr>
            <w:tcW w:w="20" w:type="dxa"/>
            <w:vAlign w:val="bottom"/>
            <w:tcBorders>
              <w:bottom w:val="single" w:sz="8" w:color="62259D"/>
            </w:tcBorders>
          </w:tcPr>
          <w:p>
            <w:pPr>
              <w:spacing w:after="0" w:line="20" w:lineRule="exact"/>
              <w:rPr>
                <w:sz w:val="1"/>
                <w:szCs w:val="1"/>
                <w:color w:val="auto"/>
              </w:rPr>
            </w:pPr>
          </w:p>
        </w:tc>
        <w:tc>
          <w:tcPr>
            <w:tcW w:w="240" w:type="dxa"/>
            <w:vAlign w:val="bottom"/>
            <w:tcBorders>
              <w:bottom w:val="single" w:sz="8" w:color="62259D"/>
            </w:tcBorders>
          </w:tcPr>
          <w:p>
            <w:pPr>
              <w:spacing w:after="0" w:line="20" w:lineRule="exact"/>
              <w:rPr>
                <w:sz w:val="1"/>
                <w:szCs w:val="1"/>
                <w:color w:val="auto"/>
              </w:rPr>
            </w:pPr>
          </w:p>
        </w:tc>
        <w:tc>
          <w:tcPr>
            <w:tcW w:w="340" w:type="dxa"/>
            <w:vAlign w:val="bottom"/>
            <w:tcBorders>
              <w:bottom w:val="single" w:sz="8" w:color="62259D"/>
            </w:tcBorders>
          </w:tcPr>
          <w:p>
            <w:pPr>
              <w:spacing w:after="0" w:line="20" w:lineRule="exact"/>
              <w:rPr>
                <w:sz w:val="1"/>
                <w:szCs w:val="1"/>
                <w:color w:val="auto"/>
              </w:rPr>
            </w:pPr>
          </w:p>
        </w:tc>
        <w:tc>
          <w:tcPr>
            <w:tcW w:w="200" w:type="dxa"/>
            <w:vAlign w:val="bottom"/>
            <w:tcBorders>
              <w:bottom w:val="single" w:sz="8" w:color="62259D"/>
            </w:tcBorders>
          </w:tcPr>
          <w:p>
            <w:pPr>
              <w:spacing w:after="0" w:line="20" w:lineRule="exact"/>
              <w:rPr>
                <w:sz w:val="1"/>
                <w:szCs w:val="1"/>
                <w:color w:val="auto"/>
              </w:rPr>
            </w:pPr>
          </w:p>
        </w:tc>
        <w:tc>
          <w:tcPr>
            <w:tcW w:w="80" w:type="dxa"/>
            <w:vAlign w:val="bottom"/>
            <w:tcBorders>
              <w:bottom w:val="single" w:sz="8" w:color="62259D"/>
            </w:tcBorders>
          </w:tcPr>
          <w:p>
            <w:pPr>
              <w:spacing w:after="0" w:line="20" w:lineRule="exact"/>
              <w:rPr>
                <w:sz w:val="1"/>
                <w:szCs w:val="1"/>
                <w:color w:val="auto"/>
              </w:rPr>
            </w:pPr>
          </w:p>
        </w:tc>
        <w:tc>
          <w:tcPr>
            <w:tcW w:w="140" w:type="dxa"/>
            <w:vAlign w:val="bottom"/>
            <w:tcBorders>
              <w:bottom w:val="single" w:sz="8" w:color="62259D"/>
            </w:tcBorders>
          </w:tcPr>
          <w:p>
            <w:pPr>
              <w:spacing w:after="0" w:line="20" w:lineRule="exact"/>
              <w:rPr>
                <w:sz w:val="1"/>
                <w:szCs w:val="1"/>
                <w:color w:val="auto"/>
              </w:rPr>
            </w:pPr>
          </w:p>
        </w:tc>
        <w:tc>
          <w:tcPr>
            <w:tcW w:w="100" w:type="dxa"/>
            <w:vAlign w:val="bottom"/>
            <w:tcBorders>
              <w:bottom w:val="single" w:sz="8" w:color="62259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-4645660</wp:posOffset>
            </wp:positionV>
            <wp:extent cx="5623560" cy="46380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23560" cy="4638040"/>
                    </a:xfrm>
                    <a:prstGeom prst="rect">
                      <a:avLst/>
                    </a:prstGeom>
                    <a:noFill/>
                  </pic:spPr>
                </pic:pic>
              </a:graphicData>
            </a:graphic>
          </wp:anchor>
        </w:drawing>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Director Independence</w:t>
      </w:r>
    </w:p>
    <w:p>
      <w:pPr>
        <w:spacing w:after="0" w:line="158" w:lineRule="exact"/>
        <w:rPr>
          <w:sz w:val="20"/>
          <w:szCs w:val="20"/>
          <w:color w:val="auto"/>
        </w:rPr>
      </w:pPr>
    </w:p>
    <w:p>
      <w:pPr>
        <w:ind w:left="920" w:right="519"/>
        <w:spacing w:after="0" w:line="252" w:lineRule="auto"/>
        <w:rPr>
          <w:sz w:val="20"/>
          <w:szCs w:val="20"/>
          <w:color w:val="auto"/>
        </w:rPr>
      </w:pPr>
      <w:r>
        <w:rPr>
          <w:rFonts w:ascii="Arial" w:cs="Arial" w:eastAsia="Arial" w:hAnsi="Arial"/>
          <w:sz w:val="18"/>
          <w:szCs w:val="18"/>
          <w:color w:val="auto"/>
        </w:rPr>
        <w:t>Our Corporate Governance Guidelines provide that, in determining the independence of a director, the Board will be guided by the definitions of “independent director” in the listing rules of Nasdaq and applicable laws and regulations as well as the definition of “independent director” set forth in the Stockholders Agreement.</w:t>
      </w:r>
    </w:p>
    <w:p>
      <w:pPr>
        <w:spacing w:after="0" w:line="103" w:lineRule="exact"/>
        <w:rPr>
          <w:sz w:val="20"/>
          <w:szCs w:val="20"/>
          <w:color w:val="auto"/>
        </w:rPr>
      </w:pPr>
    </w:p>
    <w:p>
      <w:pPr>
        <w:ind w:left="920" w:right="139"/>
        <w:spacing w:after="0" w:line="244" w:lineRule="auto"/>
        <w:rPr>
          <w:sz w:val="20"/>
          <w:szCs w:val="20"/>
          <w:color w:val="auto"/>
        </w:rPr>
      </w:pPr>
      <w:r>
        <w:rPr>
          <w:rFonts w:ascii="Arial" w:cs="Arial" w:eastAsia="Arial" w:hAnsi="Arial"/>
          <w:sz w:val="18"/>
          <w:szCs w:val="18"/>
          <w:color w:val="auto"/>
        </w:rPr>
        <w:t>During its annual review of director independence, the Board considers all information it deems relevant, including without limitation, any transactions and relationships between each director or any member of his or her immediate family and the Company and its subsidiaries and affiliates. The Board conducted an annual review of director independence and affirmatively determined that each of R. Stewart Ewing, Jr., Bruns H. Grayson, Beatriz V. Infante, Scott Mair, Louis Silver and Tanya Tamone met the definition of “independent director” under the Nasdaq listing rules and the Stockholders Agreement. Following a review of their respective relationships, including, with respect to Mr. Smith, his affiliation with the JPM Stockholders, and with respect to Mr. Shani, his affiliation with Swarth, the Board determined that none of Bruce W. McClelland, Shaul Shani or Richard W. Smith qualify as independent directors under the Nasdaq listing rules or the Stockholders Agreement.</w:t>
      </w:r>
    </w:p>
    <w:p>
      <w:pPr>
        <w:spacing w:after="0" w:line="1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There are no family relationships among any of our directors, nominees for director and executive officers.</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Meeting Attendance</w:t>
      </w:r>
    </w:p>
    <w:p>
      <w:pPr>
        <w:spacing w:after="0" w:line="158" w:lineRule="exact"/>
        <w:rPr>
          <w:sz w:val="20"/>
          <w:szCs w:val="20"/>
          <w:color w:val="auto"/>
        </w:rPr>
      </w:pPr>
    </w:p>
    <w:p>
      <w:pPr>
        <w:ind w:left="920" w:right="139"/>
        <w:spacing w:after="0" w:line="246" w:lineRule="auto"/>
        <w:rPr>
          <w:sz w:val="20"/>
          <w:szCs w:val="20"/>
          <w:color w:val="auto"/>
        </w:rPr>
      </w:pPr>
      <w:r>
        <w:rPr>
          <w:rFonts w:ascii="Arial" w:cs="Arial" w:eastAsia="Arial" w:hAnsi="Arial"/>
          <w:sz w:val="18"/>
          <w:szCs w:val="18"/>
          <w:color w:val="auto"/>
        </w:rPr>
        <w:t>Our Board recognizes the importance of director attendance at Board and committee meetings. Our Board held five meetings during 2025, including four regular meetings and one special meeting. Except for Mr. Silver, who was appointed to the Board in April 2026, each of the incumbent directors attended at least 75% of the combined total meetings of the Board and its committees on which they served. While we do not have a formal policy regarding the attendance of directors at our annual meetings of stockholders, it is expected that, absent compelling circumstances, all of our directors will attend. All of the current members (excluding Mr. Silver who was appointed to the Board in April 2026) of the Board attended our 2025 annual meeting of stockholders.</w:t>
      </w:r>
    </w:p>
    <w:p>
      <w:pPr>
        <w:spacing w:after="0" w:line="35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Board Committees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Board has four standing committees:</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1940" w:type="dxa"/>
            <w:vAlign w:val="bottom"/>
            <w:vMerge w:val="restart"/>
            <w:shd w:val="clear" w:color="auto" w:fill="E7417A"/>
          </w:tcPr>
          <w:p>
            <w:pPr>
              <w:spacing w:after="0"/>
              <w:rPr>
                <w:sz w:val="20"/>
                <w:szCs w:val="20"/>
                <w:color w:val="auto"/>
              </w:rPr>
            </w:pPr>
            <w:r>
              <w:rPr>
                <w:rFonts w:ascii="Arial" w:cs="Arial" w:eastAsia="Arial" w:hAnsi="Arial"/>
                <w:sz w:val="14"/>
                <w:szCs w:val="14"/>
                <w:b w:val="1"/>
                <w:bCs w:val="1"/>
                <w:color w:val="FEFEFE"/>
              </w:rPr>
              <w:t>​  The Audit Committee</w:t>
            </w:r>
          </w:p>
        </w:tc>
        <w:tc>
          <w:tcPr>
            <w:tcW w:w="200" w:type="dxa"/>
            <w:vAlign w:val="bottom"/>
            <w:vMerge w:val="restart"/>
          </w:tcPr>
          <w:p>
            <w:pPr>
              <w:ind w:left="40"/>
              <w:spacing w:after="0"/>
              <w:rPr>
                <w:sz w:val="20"/>
                <w:szCs w:val="20"/>
                <w:color w:val="auto"/>
              </w:rPr>
            </w:pPr>
            <w:r>
              <w:rPr>
                <w:rFonts w:ascii="Arial" w:cs="Arial" w:eastAsia="Arial" w:hAnsi="Arial"/>
                <w:sz w:val="14"/>
                <w:szCs w:val="14"/>
                <w:b w:val="1"/>
                <w:bCs w:val="1"/>
                <w:color w:val="FEFEFE"/>
              </w:rPr>
              <w:t>​ ​</w:t>
            </w:r>
          </w:p>
        </w:tc>
        <w:tc>
          <w:tcPr>
            <w:tcW w:w="1960" w:type="dxa"/>
            <w:vAlign w:val="bottom"/>
            <w:vMerge w:val="restart"/>
            <w:shd w:val="clear" w:color="auto" w:fill="E7417A"/>
          </w:tcPr>
          <w:p>
            <w:pPr>
              <w:ind w:left="260"/>
              <w:spacing w:after="0"/>
              <w:rPr>
                <w:sz w:val="20"/>
                <w:szCs w:val="20"/>
                <w:color w:val="auto"/>
              </w:rPr>
            </w:pPr>
            <w:r>
              <w:rPr>
                <w:rFonts w:ascii="Arial" w:cs="Arial" w:eastAsia="Arial" w:hAnsi="Arial"/>
                <w:sz w:val="14"/>
                <w:szCs w:val="14"/>
                <w:b w:val="1"/>
                <w:bCs w:val="1"/>
                <w:color w:val="FEFEFE"/>
              </w:rPr>
              <w:t>The Compensation</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FEFEFE"/>
              </w:rPr>
              <w:t>​ ​</w:t>
            </w:r>
          </w:p>
        </w:tc>
        <w:tc>
          <w:tcPr>
            <w:tcW w:w="2360" w:type="dxa"/>
            <w:vAlign w:val="bottom"/>
            <w:shd w:val="clear" w:color="auto" w:fill="E7417A"/>
          </w:tcPr>
          <w:p>
            <w:pPr>
              <w:jc w:val="center"/>
              <w:spacing w:after="0"/>
              <w:rPr>
                <w:sz w:val="20"/>
                <w:szCs w:val="20"/>
                <w:color w:val="auto"/>
              </w:rPr>
            </w:pPr>
            <w:r>
              <w:rPr>
                <w:rFonts w:ascii="Arial" w:cs="Arial" w:eastAsia="Arial" w:hAnsi="Arial"/>
                <w:sz w:val="14"/>
                <w:szCs w:val="14"/>
                <w:b w:val="1"/>
                <w:bCs w:val="1"/>
                <w:color w:val="FEFEFE"/>
              </w:rPr>
              <w:t>The Nominating, Sustainability</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FEFEFE"/>
              </w:rPr>
              <w:t>​ ​</w:t>
            </w:r>
          </w:p>
        </w:tc>
        <w:tc>
          <w:tcPr>
            <w:tcW w:w="1960" w:type="dxa"/>
            <w:vAlign w:val="bottom"/>
            <w:vMerge w:val="restart"/>
            <w:shd w:val="clear" w:color="auto" w:fill="E7417A"/>
          </w:tcPr>
          <w:p>
            <w:pPr>
              <w:jc w:val="center"/>
              <w:spacing w:after="0"/>
              <w:rPr>
                <w:sz w:val="20"/>
                <w:szCs w:val="20"/>
                <w:color w:val="auto"/>
              </w:rPr>
            </w:pPr>
            <w:r>
              <w:rPr>
                <w:rFonts w:ascii="Arial" w:cs="Arial" w:eastAsia="Arial" w:hAnsi="Arial"/>
                <w:sz w:val="14"/>
                <w:szCs w:val="14"/>
                <w:b w:val="1"/>
                <w:bCs w:val="1"/>
                <w:color w:val="FEFEFE"/>
              </w:rPr>
              <w:t>The Technology and</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68"/>
        </w:trPr>
        <w:tc>
          <w:tcPr>
            <w:tcW w:w="1940" w:type="dxa"/>
            <w:vAlign w:val="bottom"/>
            <w:vMerge w:val="continue"/>
            <w:shd w:val="clear" w:color="auto" w:fill="E7417A"/>
          </w:tcPr>
          <w:p>
            <w:pPr>
              <w:spacing w:after="0"/>
              <w:rPr>
                <w:sz w:val="5"/>
                <w:szCs w:val="5"/>
                <w:color w:val="auto"/>
              </w:rPr>
            </w:pPr>
          </w:p>
        </w:tc>
        <w:tc>
          <w:tcPr>
            <w:tcW w:w="200" w:type="dxa"/>
            <w:vAlign w:val="bottom"/>
            <w:vMerge w:val="continue"/>
          </w:tcPr>
          <w:p>
            <w:pPr>
              <w:spacing w:after="0"/>
              <w:rPr>
                <w:sz w:val="5"/>
                <w:szCs w:val="5"/>
                <w:color w:val="auto"/>
              </w:rPr>
            </w:pPr>
          </w:p>
        </w:tc>
        <w:tc>
          <w:tcPr>
            <w:tcW w:w="1960" w:type="dxa"/>
            <w:vAlign w:val="bottom"/>
            <w:vMerge w:val="continue"/>
            <w:shd w:val="clear" w:color="auto" w:fill="E7417A"/>
          </w:tcPr>
          <w:p>
            <w:pPr>
              <w:spacing w:after="0"/>
              <w:rPr>
                <w:sz w:val="5"/>
                <w:szCs w:val="5"/>
                <w:color w:val="auto"/>
              </w:rPr>
            </w:pPr>
          </w:p>
        </w:tc>
        <w:tc>
          <w:tcPr>
            <w:tcW w:w="220" w:type="dxa"/>
            <w:vAlign w:val="bottom"/>
            <w:vMerge w:val="continue"/>
          </w:tcPr>
          <w:p>
            <w:pPr>
              <w:spacing w:after="0"/>
              <w:rPr>
                <w:sz w:val="5"/>
                <w:szCs w:val="5"/>
                <w:color w:val="auto"/>
              </w:rPr>
            </w:pPr>
          </w:p>
        </w:tc>
        <w:tc>
          <w:tcPr>
            <w:tcW w:w="2360" w:type="dxa"/>
            <w:vAlign w:val="bottom"/>
            <w:vMerge w:val="restart"/>
            <w:shd w:val="clear" w:color="auto" w:fill="E7417A"/>
          </w:tcPr>
          <w:p>
            <w:pPr>
              <w:jc w:val="center"/>
              <w:spacing w:after="0"/>
              <w:rPr>
                <w:sz w:val="20"/>
                <w:szCs w:val="20"/>
                <w:color w:val="auto"/>
              </w:rPr>
            </w:pPr>
            <w:r>
              <w:rPr>
                <w:rFonts w:ascii="Arial" w:cs="Arial" w:eastAsia="Arial" w:hAnsi="Arial"/>
                <w:sz w:val="14"/>
                <w:szCs w:val="14"/>
                <w:b w:val="1"/>
                <w:bCs w:val="1"/>
                <w:color w:val="FEFEFE"/>
              </w:rPr>
              <w:t>and Corporate Governance</w:t>
            </w:r>
          </w:p>
        </w:tc>
        <w:tc>
          <w:tcPr>
            <w:tcW w:w="220" w:type="dxa"/>
            <w:vAlign w:val="bottom"/>
            <w:vMerge w:val="continue"/>
          </w:tcPr>
          <w:p>
            <w:pPr>
              <w:spacing w:after="0"/>
              <w:rPr>
                <w:sz w:val="5"/>
                <w:szCs w:val="5"/>
                <w:color w:val="auto"/>
              </w:rPr>
            </w:pPr>
          </w:p>
        </w:tc>
        <w:tc>
          <w:tcPr>
            <w:tcW w:w="1960" w:type="dxa"/>
            <w:vAlign w:val="bottom"/>
            <w:vMerge w:val="continue"/>
            <w:shd w:val="clear" w:color="auto" w:fill="E7417A"/>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1940" w:type="dxa"/>
            <w:vAlign w:val="bottom"/>
            <w:vMerge w:val="continue"/>
            <w:shd w:val="clear" w:color="auto" w:fill="E7417A"/>
          </w:tcPr>
          <w:p>
            <w:pPr>
              <w:spacing w:after="0"/>
              <w:rPr>
                <w:sz w:val="12"/>
                <w:szCs w:val="12"/>
                <w:color w:val="auto"/>
              </w:rPr>
            </w:pPr>
          </w:p>
        </w:tc>
        <w:tc>
          <w:tcPr>
            <w:tcW w:w="200" w:type="dxa"/>
            <w:vAlign w:val="bottom"/>
            <w:vMerge w:val="continue"/>
          </w:tcPr>
          <w:p>
            <w:pPr>
              <w:spacing w:after="0"/>
              <w:rPr>
                <w:sz w:val="12"/>
                <w:szCs w:val="12"/>
                <w:color w:val="auto"/>
              </w:rPr>
            </w:pPr>
          </w:p>
        </w:tc>
        <w:tc>
          <w:tcPr>
            <w:tcW w:w="1960" w:type="dxa"/>
            <w:vAlign w:val="bottom"/>
            <w:shd w:val="clear" w:color="auto" w:fill="E7417A"/>
          </w:tcPr>
          <w:p>
            <w:pPr>
              <w:ind w:left="580"/>
              <w:spacing w:after="0" w:line="145" w:lineRule="exact"/>
              <w:rPr>
                <w:sz w:val="20"/>
                <w:szCs w:val="20"/>
                <w:color w:val="auto"/>
              </w:rPr>
            </w:pPr>
            <w:r>
              <w:rPr>
                <w:rFonts w:ascii="Arial" w:cs="Arial" w:eastAsia="Arial" w:hAnsi="Arial"/>
                <w:sz w:val="14"/>
                <w:szCs w:val="14"/>
                <w:b w:val="1"/>
                <w:bCs w:val="1"/>
                <w:color w:val="FEFEFE"/>
              </w:rPr>
              <w:t>Committee</w:t>
            </w:r>
          </w:p>
        </w:tc>
        <w:tc>
          <w:tcPr>
            <w:tcW w:w="220" w:type="dxa"/>
            <w:vAlign w:val="bottom"/>
            <w:vMerge w:val="continue"/>
          </w:tcPr>
          <w:p>
            <w:pPr>
              <w:spacing w:after="0"/>
              <w:rPr>
                <w:sz w:val="12"/>
                <w:szCs w:val="12"/>
                <w:color w:val="auto"/>
              </w:rPr>
            </w:pPr>
          </w:p>
        </w:tc>
        <w:tc>
          <w:tcPr>
            <w:tcW w:w="2360" w:type="dxa"/>
            <w:vAlign w:val="bottom"/>
            <w:vMerge w:val="continue"/>
            <w:shd w:val="clear" w:color="auto" w:fill="E7417A"/>
          </w:tcPr>
          <w:p>
            <w:pPr>
              <w:spacing w:after="0"/>
              <w:rPr>
                <w:sz w:val="12"/>
                <w:szCs w:val="12"/>
                <w:color w:val="auto"/>
              </w:rPr>
            </w:pPr>
          </w:p>
        </w:tc>
        <w:tc>
          <w:tcPr>
            <w:tcW w:w="220" w:type="dxa"/>
            <w:vAlign w:val="bottom"/>
            <w:vMerge w:val="continue"/>
          </w:tcPr>
          <w:p>
            <w:pPr>
              <w:spacing w:after="0"/>
              <w:rPr>
                <w:sz w:val="12"/>
                <w:szCs w:val="12"/>
                <w:color w:val="auto"/>
              </w:rPr>
            </w:pPr>
          </w:p>
        </w:tc>
        <w:tc>
          <w:tcPr>
            <w:tcW w:w="1960" w:type="dxa"/>
            <w:vAlign w:val="bottom"/>
            <w:shd w:val="clear" w:color="auto" w:fill="E7417A"/>
          </w:tcPr>
          <w:p>
            <w:pPr>
              <w:jc w:val="center"/>
              <w:spacing w:after="0" w:line="145" w:lineRule="exact"/>
              <w:rPr>
                <w:sz w:val="20"/>
                <w:szCs w:val="20"/>
                <w:color w:val="auto"/>
              </w:rPr>
            </w:pPr>
            <w:r>
              <w:rPr>
                <w:rFonts w:ascii="Arial" w:cs="Arial" w:eastAsia="Arial" w:hAnsi="Arial"/>
                <w:sz w:val="14"/>
                <w:szCs w:val="14"/>
                <w:b w:val="1"/>
                <w:bCs w:val="1"/>
                <w:color w:val="FEFEFE"/>
              </w:rPr>
              <w:t>Innovation Committee</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E7417A"/>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shd w:val="clear" w:color="auto" w:fill="E7417A"/>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shd w:val="clear" w:color="auto" w:fill="E7417A"/>
          </w:tcPr>
          <w:p>
            <w:pPr>
              <w:jc w:val="center"/>
              <w:spacing w:after="0"/>
              <w:rPr>
                <w:sz w:val="20"/>
                <w:szCs w:val="20"/>
                <w:color w:val="auto"/>
              </w:rPr>
            </w:pPr>
            <w:r>
              <w:rPr>
                <w:rFonts w:ascii="Arial" w:cs="Arial" w:eastAsia="Arial" w:hAnsi="Arial"/>
                <w:sz w:val="14"/>
                <w:szCs w:val="14"/>
                <w:b w:val="1"/>
                <w:bCs w:val="1"/>
                <w:color w:val="FEFEFE"/>
              </w:rPr>
              <w:t>Committee</w:t>
            </w:r>
          </w:p>
        </w:tc>
        <w:tc>
          <w:tcPr>
            <w:tcW w:w="220" w:type="dxa"/>
            <w:vAlign w:val="bottom"/>
          </w:tcPr>
          <w:p>
            <w:pPr>
              <w:spacing w:after="0"/>
              <w:rPr>
                <w:sz w:val="14"/>
                <w:szCs w:val="14"/>
                <w:color w:val="auto"/>
              </w:rPr>
            </w:pPr>
          </w:p>
        </w:tc>
        <w:tc>
          <w:tcPr>
            <w:tcW w:w="1960" w:type="dxa"/>
            <w:vAlign w:val="bottom"/>
            <w:shd w:val="clear" w:color="auto" w:fill="E7417A"/>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920" w:right="219"/>
        <w:spacing w:after="0" w:line="247" w:lineRule="auto"/>
        <w:rPr>
          <w:sz w:val="20"/>
          <w:szCs w:val="20"/>
          <w:color w:val="auto"/>
        </w:rPr>
      </w:pPr>
      <w:r>
        <w:rPr>
          <w:rFonts w:ascii="Arial" w:cs="Arial" w:eastAsia="Arial" w:hAnsi="Arial"/>
          <w:sz w:val="18"/>
          <w:szCs w:val="18"/>
          <w:color w:val="auto"/>
        </w:rPr>
        <w:t>Each of the standing committees is composed entirely of independent directors as defined under applicable rules, including the Nasdaq rules and, in the case of all members of the Audit Committee, the independence requirements of Rule 10A-3 under the Exchange Act and, in the case of all members of the Compensation Committee, the heightened independence requirements for Compensation Committee members under the Nasdaq rules.</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the current composition of each of the Board’s standing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120650</wp:posOffset>
            </wp:positionV>
            <wp:extent cx="51435" cy="643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643255"/>
                    </a:xfrm>
                    <a:prstGeom prst="rect">
                      <a:avLst/>
                    </a:prstGeom>
                    <a:noFill/>
                  </pic:spPr>
                </pic:pic>
              </a:graphicData>
            </a:graphic>
          </wp:anchor>
        </w:drawing>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250"/>
        </w:trPr>
        <w:tc>
          <w:tcPr>
            <w:tcW w:w="40" w:type="dxa"/>
            <w:vAlign w:val="bottom"/>
            <w:shd w:val="clear" w:color="auto" w:fill="62259D"/>
          </w:tcPr>
          <w:p>
            <w:pPr>
              <w:spacing w:after="0"/>
              <w:rPr>
                <w:sz w:val="21"/>
                <w:szCs w:val="21"/>
                <w:color w:val="auto"/>
              </w:rPr>
            </w:pPr>
          </w:p>
        </w:tc>
        <w:tc>
          <w:tcPr>
            <w:tcW w:w="1240" w:type="dxa"/>
            <w:vAlign w:val="bottom"/>
            <w:gridSpan w:val="2"/>
            <w:shd w:val="clear" w:color="auto" w:fill="62259D"/>
          </w:tcPr>
          <w:p>
            <w:pPr>
              <w:spacing w:after="0"/>
              <w:rPr>
                <w:sz w:val="20"/>
                <w:szCs w:val="20"/>
                <w:color w:val="auto"/>
              </w:rPr>
            </w:pPr>
            <w:r>
              <w:rPr>
                <w:rFonts w:ascii="Arial" w:cs="Arial" w:eastAsia="Arial" w:hAnsi="Arial"/>
                <w:sz w:val="14"/>
                <w:szCs w:val="14"/>
                <w:b w:val="1"/>
                <w:bCs w:val="1"/>
                <w:color w:val="FEFEFE"/>
              </w:rPr>
              <w:t>​​</w:t>
            </w:r>
          </w:p>
        </w:tc>
        <w:tc>
          <w:tcPr>
            <w:tcW w:w="560" w:type="dxa"/>
            <w:vAlign w:val="bottom"/>
            <w:shd w:val="clear" w:color="auto" w:fill="62259D"/>
          </w:tcPr>
          <w:p>
            <w:pPr>
              <w:spacing w:after="0"/>
              <w:rPr>
                <w:sz w:val="21"/>
                <w:szCs w:val="21"/>
                <w:color w:val="auto"/>
              </w:rPr>
            </w:pPr>
          </w:p>
        </w:tc>
        <w:tc>
          <w:tcPr>
            <w:tcW w:w="240" w:type="dxa"/>
            <w:vAlign w:val="bottom"/>
            <w:shd w:val="clear" w:color="auto" w:fill="62259D"/>
          </w:tcPr>
          <w:p>
            <w:pPr>
              <w:spacing w:after="0"/>
              <w:rPr>
                <w:sz w:val="21"/>
                <w:szCs w:val="21"/>
                <w:color w:val="auto"/>
              </w:rPr>
            </w:pPr>
          </w:p>
        </w:tc>
        <w:tc>
          <w:tcPr>
            <w:tcW w:w="300" w:type="dxa"/>
            <w:vAlign w:val="bottom"/>
            <w:shd w:val="clear" w:color="auto" w:fill="62259D"/>
          </w:tcPr>
          <w:p>
            <w:pPr>
              <w:ind w:left="200"/>
              <w:spacing w:after="0"/>
              <w:rPr>
                <w:sz w:val="20"/>
                <w:szCs w:val="20"/>
                <w:color w:val="auto"/>
              </w:rPr>
            </w:pPr>
            <w:r>
              <w:rPr>
                <w:rFonts w:ascii="Arial" w:cs="Arial" w:eastAsia="Arial" w:hAnsi="Arial"/>
                <w:sz w:val="14"/>
                <w:szCs w:val="14"/>
                <w:b w:val="1"/>
                <w:bCs w:val="1"/>
                <w:color w:val="FEFEFE"/>
              </w:rPr>
              <w:t>​</w:t>
            </w:r>
          </w:p>
        </w:tc>
        <w:tc>
          <w:tcPr>
            <w:tcW w:w="48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600" w:type="dxa"/>
            <w:vAlign w:val="bottom"/>
            <w:shd w:val="clear" w:color="auto" w:fill="62259D"/>
          </w:tcPr>
          <w:p>
            <w:pPr>
              <w:ind w:left="100"/>
              <w:spacing w:after="0"/>
              <w:rPr>
                <w:sz w:val="20"/>
                <w:szCs w:val="20"/>
                <w:color w:val="auto"/>
              </w:rPr>
            </w:pPr>
            <w:r>
              <w:rPr>
                <w:rFonts w:ascii="Arial" w:cs="Arial" w:eastAsia="Arial" w:hAnsi="Arial"/>
                <w:sz w:val="14"/>
                <w:szCs w:val="14"/>
                <w:b w:val="1"/>
                <w:bCs w:val="1"/>
                <w:color w:val="FEFEFE"/>
              </w:rPr>
              <w:t>​</w:t>
            </w:r>
          </w:p>
        </w:tc>
        <w:tc>
          <w:tcPr>
            <w:tcW w:w="14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10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540" w:type="dxa"/>
            <w:vAlign w:val="bottom"/>
            <w:shd w:val="clear" w:color="auto" w:fill="62259D"/>
          </w:tcPr>
          <w:p>
            <w:pPr>
              <w:spacing w:after="0"/>
              <w:rPr>
                <w:sz w:val="21"/>
                <w:szCs w:val="21"/>
                <w:color w:val="auto"/>
              </w:rPr>
            </w:pPr>
          </w:p>
        </w:tc>
        <w:tc>
          <w:tcPr>
            <w:tcW w:w="180" w:type="dxa"/>
            <w:vAlign w:val="bottom"/>
            <w:shd w:val="clear" w:color="auto" w:fill="62259D"/>
          </w:tcPr>
          <w:p>
            <w:pPr>
              <w:spacing w:after="0"/>
              <w:rPr>
                <w:sz w:val="21"/>
                <w:szCs w:val="21"/>
                <w:color w:val="auto"/>
              </w:rPr>
            </w:pPr>
          </w:p>
        </w:tc>
        <w:tc>
          <w:tcPr>
            <w:tcW w:w="160" w:type="dxa"/>
            <w:vAlign w:val="bottom"/>
            <w:shd w:val="clear" w:color="auto" w:fill="62259D"/>
          </w:tcPr>
          <w:p>
            <w:pPr>
              <w:spacing w:after="0"/>
              <w:rPr>
                <w:sz w:val="21"/>
                <w:szCs w:val="21"/>
                <w:color w:val="auto"/>
              </w:rPr>
            </w:pPr>
          </w:p>
        </w:tc>
        <w:tc>
          <w:tcPr>
            <w:tcW w:w="360" w:type="dxa"/>
            <w:vAlign w:val="bottom"/>
            <w:shd w:val="clear" w:color="auto" w:fill="62259D"/>
          </w:tcPr>
          <w:p>
            <w:pPr>
              <w:spacing w:after="0"/>
              <w:rPr>
                <w:sz w:val="21"/>
                <w:szCs w:val="21"/>
                <w:color w:val="auto"/>
              </w:rPr>
            </w:pPr>
          </w:p>
        </w:tc>
        <w:tc>
          <w:tcPr>
            <w:tcW w:w="360" w:type="dxa"/>
            <w:vAlign w:val="bottom"/>
            <w:shd w:val="clear" w:color="auto" w:fill="62259D"/>
          </w:tcPr>
          <w:p>
            <w:pPr>
              <w:spacing w:after="0"/>
              <w:rPr>
                <w:sz w:val="21"/>
                <w:szCs w:val="21"/>
                <w:color w:val="auto"/>
              </w:rPr>
            </w:pPr>
          </w:p>
        </w:tc>
        <w:tc>
          <w:tcPr>
            <w:tcW w:w="2020" w:type="dxa"/>
            <w:vAlign w:val="bottom"/>
            <w:gridSpan w:val="5"/>
            <w:shd w:val="clear" w:color="auto" w:fill="62259D"/>
          </w:tcPr>
          <w:p>
            <w:pPr>
              <w:ind w:left="40"/>
              <w:spacing w:after="0"/>
              <w:rPr>
                <w:sz w:val="20"/>
                <w:szCs w:val="20"/>
                <w:color w:val="auto"/>
              </w:rPr>
            </w:pPr>
            <w:r>
              <w:rPr>
                <w:rFonts w:ascii="Arial" w:cs="Arial" w:eastAsia="Arial" w:hAnsi="Arial"/>
                <w:sz w:val="14"/>
                <w:szCs w:val="14"/>
                <w:b w:val="1"/>
                <w:bCs w:val="1"/>
                <w:color w:val="FEFEFE"/>
              </w:rPr>
              <w:t>Committee Membership</w:t>
            </w:r>
          </w:p>
        </w:tc>
        <w:tc>
          <w:tcPr>
            <w:tcW w:w="200" w:type="dxa"/>
            <w:vAlign w:val="bottom"/>
            <w:shd w:val="clear" w:color="auto" w:fill="62259D"/>
          </w:tcPr>
          <w:p>
            <w:pPr>
              <w:spacing w:after="0"/>
              <w:rPr>
                <w:sz w:val="21"/>
                <w:szCs w:val="21"/>
                <w:color w:val="auto"/>
              </w:rPr>
            </w:pPr>
          </w:p>
        </w:tc>
        <w:tc>
          <w:tcPr>
            <w:tcW w:w="160" w:type="dxa"/>
            <w:vAlign w:val="bottom"/>
            <w:shd w:val="clear" w:color="auto" w:fill="62259D"/>
          </w:tcPr>
          <w:p>
            <w:pPr>
              <w:spacing w:after="0"/>
              <w:rPr>
                <w:sz w:val="21"/>
                <w:szCs w:val="21"/>
                <w:color w:val="auto"/>
              </w:rPr>
            </w:pPr>
          </w:p>
        </w:tc>
        <w:tc>
          <w:tcPr>
            <w:tcW w:w="1080" w:type="dxa"/>
            <w:vAlign w:val="bottom"/>
            <w:shd w:val="clear" w:color="auto" w:fill="62259D"/>
          </w:tcPr>
          <w:p>
            <w:pPr>
              <w:spacing w:after="0"/>
              <w:rPr>
                <w:sz w:val="21"/>
                <w:szCs w:val="21"/>
                <w:color w:val="auto"/>
              </w:rPr>
            </w:pPr>
          </w:p>
        </w:tc>
        <w:tc>
          <w:tcPr>
            <w:tcW w:w="100" w:type="dxa"/>
            <w:vAlign w:val="bottom"/>
            <w:shd w:val="clear" w:color="auto" w:fill="62259D"/>
          </w:tcPr>
          <w:p>
            <w:pPr>
              <w:ind w:left="60"/>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0" w:type="dxa"/>
            <w:vAlign w:val="bottom"/>
            <w:shd w:val="clear" w:color="auto" w:fill="62259D"/>
          </w:tcPr>
          <w:p>
            <w:pPr>
              <w:spacing w:after="0"/>
              <w:rPr>
                <w:sz w:val="17"/>
                <w:szCs w:val="17"/>
                <w:color w:val="auto"/>
              </w:rPr>
            </w:pPr>
          </w:p>
        </w:tc>
        <w:tc>
          <w:tcPr>
            <w:tcW w:w="560" w:type="dxa"/>
            <w:vAlign w:val="bottom"/>
            <w:shd w:val="clear" w:color="auto" w:fill="62259D"/>
          </w:tcPr>
          <w:p>
            <w:pPr>
              <w:spacing w:after="0"/>
              <w:rPr>
                <w:sz w:val="17"/>
                <w:szCs w:val="17"/>
                <w:color w:val="auto"/>
              </w:rPr>
            </w:pPr>
          </w:p>
        </w:tc>
        <w:tc>
          <w:tcPr>
            <w:tcW w:w="240" w:type="dxa"/>
            <w:vAlign w:val="bottom"/>
            <w:shd w:val="clear" w:color="auto" w:fill="62259D"/>
          </w:tcPr>
          <w:p>
            <w:pPr>
              <w:spacing w:after="0"/>
              <w:rPr>
                <w:sz w:val="17"/>
                <w:szCs w:val="17"/>
                <w:color w:val="auto"/>
              </w:rPr>
            </w:pPr>
          </w:p>
        </w:tc>
        <w:tc>
          <w:tcPr>
            <w:tcW w:w="300" w:type="dxa"/>
            <w:vAlign w:val="bottom"/>
            <w:shd w:val="clear" w:color="auto" w:fill="62259D"/>
          </w:tcPr>
          <w:p>
            <w:pPr>
              <w:spacing w:after="0"/>
              <w:rPr>
                <w:sz w:val="17"/>
                <w:szCs w:val="17"/>
                <w:color w:val="auto"/>
              </w:rPr>
            </w:pPr>
          </w:p>
        </w:tc>
        <w:tc>
          <w:tcPr>
            <w:tcW w:w="480" w:type="dxa"/>
            <w:vAlign w:val="bottom"/>
            <w:shd w:val="clear" w:color="auto" w:fill="62259D"/>
          </w:tcPr>
          <w:p>
            <w:pPr>
              <w:spacing w:after="0"/>
              <w:rPr>
                <w:sz w:val="17"/>
                <w:szCs w:val="17"/>
                <w:color w:val="auto"/>
              </w:rPr>
            </w:pPr>
          </w:p>
        </w:tc>
        <w:tc>
          <w:tcPr>
            <w:tcW w:w="600" w:type="dxa"/>
            <w:vAlign w:val="bottom"/>
            <w:shd w:val="clear" w:color="auto" w:fill="62259D"/>
          </w:tcPr>
          <w:p>
            <w:pPr>
              <w:spacing w:after="0"/>
              <w:rPr>
                <w:sz w:val="17"/>
                <w:szCs w:val="17"/>
                <w:color w:val="auto"/>
              </w:rPr>
            </w:pPr>
          </w:p>
        </w:tc>
        <w:tc>
          <w:tcPr>
            <w:tcW w:w="140" w:type="dxa"/>
            <w:vAlign w:val="bottom"/>
            <w:shd w:val="clear" w:color="auto" w:fill="62259D"/>
          </w:tcPr>
          <w:p>
            <w:pPr>
              <w:spacing w:after="0"/>
              <w:rPr>
                <w:sz w:val="17"/>
                <w:szCs w:val="17"/>
                <w:color w:val="auto"/>
              </w:rPr>
            </w:pPr>
          </w:p>
        </w:tc>
        <w:tc>
          <w:tcPr>
            <w:tcW w:w="100" w:type="dxa"/>
            <w:vAlign w:val="bottom"/>
            <w:shd w:val="clear" w:color="auto" w:fill="62259D"/>
          </w:tcPr>
          <w:p>
            <w:pPr>
              <w:spacing w:after="0"/>
              <w:rPr>
                <w:sz w:val="17"/>
                <w:szCs w:val="17"/>
                <w:color w:val="auto"/>
              </w:rPr>
            </w:pPr>
          </w:p>
        </w:tc>
        <w:tc>
          <w:tcPr>
            <w:tcW w:w="540" w:type="dxa"/>
            <w:vAlign w:val="bottom"/>
            <w:shd w:val="clear" w:color="auto" w:fill="62259D"/>
          </w:tcPr>
          <w:p>
            <w:pPr>
              <w:spacing w:after="0"/>
              <w:rPr>
                <w:sz w:val="17"/>
                <w:szCs w:val="17"/>
                <w:color w:val="auto"/>
              </w:rPr>
            </w:pPr>
          </w:p>
        </w:tc>
        <w:tc>
          <w:tcPr>
            <w:tcW w:w="180" w:type="dxa"/>
            <w:vAlign w:val="bottom"/>
            <w:shd w:val="clear" w:color="auto" w:fill="62259D"/>
          </w:tcPr>
          <w:p>
            <w:pPr>
              <w:spacing w:after="0"/>
              <w:rPr>
                <w:sz w:val="17"/>
                <w:szCs w:val="17"/>
                <w:color w:val="auto"/>
              </w:rPr>
            </w:pPr>
          </w:p>
        </w:tc>
        <w:tc>
          <w:tcPr>
            <w:tcW w:w="160" w:type="dxa"/>
            <w:vAlign w:val="bottom"/>
            <w:shd w:val="clear" w:color="auto" w:fill="62259D"/>
          </w:tcPr>
          <w:p>
            <w:pPr>
              <w:spacing w:after="0"/>
              <w:rPr>
                <w:sz w:val="17"/>
                <w:szCs w:val="17"/>
                <w:color w:val="auto"/>
              </w:rPr>
            </w:pPr>
          </w:p>
        </w:tc>
        <w:tc>
          <w:tcPr>
            <w:tcW w:w="360" w:type="dxa"/>
            <w:vAlign w:val="bottom"/>
            <w:shd w:val="clear" w:color="auto" w:fill="62259D"/>
          </w:tcPr>
          <w:p>
            <w:pPr>
              <w:spacing w:after="0"/>
              <w:rPr>
                <w:sz w:val="17"/>
                <w:szCs w:val="17"/>
                <w:color w:val="auto"/>
              </w:rPr>
            </w:pPr>
          </w:p>
        </w:tc>
        <w:tc>
          <w:tcPr>
            <w:tcW w:w="360" w:type="dxa"/>
            <w:vAlign w:val="bottom"/>
            <w:shd w:val="clear" w:color="auto" w:fill="62259D"/>
          </w:tcPr>
          <w:p>
            <w:pPr>
              <w:spacing w:after="0"/>
              <w:rPr>
                <w:sz w:val="17"/>
                <w:szCs w:val="17"/>
                <w:color w:val="auto"/>
              </w:rPr>
            </w:pPr>
          </w:p>
        </w:tc>
        <w:tc>
          <w:tcPr>
            <w:tcW w:w="120" w:type="dxa"/>
            <w:vAlign w:val="bottom"/>
            <w:shd w:val="clear" w:color="auto" w:fill="62259D"/>
          </w:tcPr>
          <w:p>
            <w:pPr>
              <w:spacing w:after="0"/>
              <w:rPr>
                <w:sz w:val="17"/>
                <w:szCs w:val="17"/>
                <w:color w:val="auto"/>
              </w:rPr>
            </w:pPr>
          </w:p>
        </w:tc>
        <w:tc>
          <w:tcPr>
            <w:tcW w:w="380" w:type="dxa"/>
            <w:vAlign w:val="bottom"/>
            <w:shd w:val="clear" w:color="auto" w:fill="62259D"/>
          </w:tcPr>
          <w:p>
            <w:pPr>
              <w:spacing w:after="0"/>
              <w:rPr>
                <w:sz w:val="17"/>
                <w:szCs w:val="17"/>
                <w:color w:val="auto"/>
              </w:rPr>
            </w:pPr>
          </w:p>
        </w:tc>
        <w:tc>
          <w:tcPr>
            <w:tcW w:w="260" w:type="dxa"/>
            <w:vAlign w:val="bottom"/>
            <w:shd w:val="clear" w:color="auto" w:fill="62259D"/>
          </w:tcPr>
          <w:p>
            <w:pPr>
              <w:spacing w:after="0"/>
              <w:rPr>
                <w:sz w:val="17"/>
                <w:szCs w:val="17"/>
                <w:color w:val="auto"/>
              </w:rPr>
            </w:pPr>
          </w:p>
        </w:tc>
        <w:tc>
          <w:tcPr>
            <w:tcW w:w="1260" w:type="dxa"/>
            <w:vAlign w:val="bottom"/>
            <w:gridSpan w:val="2"/>
            <w:shd w:val="clear" w:color="auto" w:fill="62259D"/>
          </w:tcPr>
          <w:p>
            <w:pPr>
              <w:jc w:val="center"/>
              <w:ind w:right="108"/>
              <w:spacing w:after="0"/>
              <w:rPr>
                <w:sz w:val="20"/>
                <w:szCs w:val="20"/>
                <w:color w:val="auto"/>
              </w:rPr>
            </w:pPr>
            <w:r>
              <w:rPr>
                <w:rFonts w:ascii="Arial" w:cs="Arial" w:eastAsia="Arial" w:hAnsi="Arial"/>
                <w:sz w:val="14"/>
                <w:szCs w:val="14"/>
                <w:b w:val="1"/>
                <w:bCs w:val="1"/>
                <w:color w:val="FEFEFE"/>
              </w:rPr>
              <w:t>Nominating,</w:t>
            </w:r>
          </w:p>
        </w:tc>
        <w:tc>
          <w:tcPr>
            <w:tcW w:w="200" w:type="dxa"/>
            <w:vAlign w:val="bottom"/>
            <w:shd w:val="clear" w:color="auto" w:fill="62259D"/>
          </w:tcPr>
          <w:p>
            <w:pPr>
              <w:spacing w:after="0"/>
              <w:rPr>
                <w:sz w:val="17"/>
                <w:szCs w:val="17"/>
                <w:color w:val="auto"/>
              </w:rPr>
            </w:pPr>
          </w:p>
        </w:tc>
        <w:tc>
          <w:tcPr>
            <w:tcW w:w="160" w:type="dxa"/>
            <w:vAlign w:val="bottom"/>
            <w:shd w:val="clear" w:color="auto" w:fill="62259D"/>
          </w:tcPr>
          <w:p>
            <w:pPr>
              <w:spacing w:after="0"/>
              <w:rPr>
                <w:sz w:val="17"/>
                <w:szCs w:val="17"/>
                <w:color w:val="auto"/>
              </w:rPr>
            </w:pPr>
          </w:p>
        </w:tc>
        <w:tc>
          <w:tcPr>
            <w:tcW w:w="1080" w:type="dxa"/>
            <w:vAlign w:val="bottom"/>
            <w:shd w:val="clear" w:color="auto" w:fill="62259D"/>
          </w:tcPr>
          <w:p>
            <w:pPr>
              <w:spacing w:after="0"/>
              <w:rPr>
                <w:sz w:val="17"/>
                <w:szCs w:val="17"/>
                <w:color w:val="auto"/>
              </w:rPr>
            </w:pPr>
          </w:p>
        </w:tc>
        <w:tc>
          <w:tcPr>
            <w:tcW w:w="100" w:type="dxa"/>
            <w:vAlign w:val="bottom"/>
            <w:shd w:val="clear" w:color="auto" w:fill="62259D"/>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shd w:val="clear" w:color="auto" w:fill="62259D"/>
          </w:tcPr>
          <w:p>
            <w:pPr>
              <w:spacing w:after="0"/>
              <w:rPr>
                <w:sz w:val="15"/>
                <w:szCs w:val="15"/>
                <w:color w:val="auto"/>
              </w:rPr>
            </w:pPr>
          </w:p>
        </w:tc>
        <w:tc>
          <w:tcPr>
            <w:tcW w:w="560" w:type="dxa"/>
            <w:vAlign w:val="bottom"/>
            <w:shd w:val="clear" w:color="auto" w:fill="62259D"/>
          </w:tcPr>
          <w:p>
            <w:pPr>
              <w:spacing w:after="0"/>
              <w:rPr>
                <w:sz w:val="15"/>
                <w:szCs w:val="15"/>
                <w:color w:val="auto"/>
              </w:rPr>
            </w:pPr>
          </w:p>
        </w:tc>
        <w:tc>
          <w:tcPr>
            <w:tcW w:w="240" w:type="dxa"/>
            <w:vAlign w:val="bottom"/>
            <w:shd w:val="clear" w:color="auto" w:fill="62259D"/>
          </w:tcPr>
          <w:p>
            <w:pPr>
              <w:spacing w:after="0"/>
              <w:rPr>
                <w:sz w:val="15"/>
                <w:szCs w:val="15"/>
                <w:color w:val="auto"/>
              </w:rPr>
            </w:pPr>
          </w:p>
        </w:tc>
        <w:tc>
          <w:tcPr>
            <w:tcW w:w="300" w:type="dxa"/>
            <w:vAlign w:val="bottom"/>
            <w:shd w:val="clear" w:color="auto" w:fill="62259D"/>
          </w:tcPr>
          <w:p>
            <w:pPr>
              <w:spacing w:after="0"/>
              <w:rPr>
                <w:sz w:val="15"/>
                <w:szCs w:val="15"/>
                <w:color w:val="auto"/>
              </w:rPr>
            </w:pPr>
          </w:p>
        </w:tc>
        <w:tc>
          <w:tcPr>
            <w:tcW w:w="480" w:type="dxa"/>
            <w:vAlign w:val="bottom"/>
            <w:shd w:val="clear" w:color="auto" w:fill="62259D"/>
          </w:tcPr>
          <w:p>
            <w:pPr>
              <w:spacing w:after="0"/>
              <w:rPr>
                <w:sz w:val="15"/>
                <w:szCs w:val="15"/>
                <w:color w:val="auto"/>
              </w:rPr>
            </w:pPr>
          </w:p>
        </w:tc>
        <w:tc>
          <w:tcPr>
            <w:tcW w:w="600" w:type="dxa"/>
            <w:vAlign w:val="bottom"/>
            <w:shd w:val="clear" w:color="auto" w:fill="62259D"/>
          </w:tcPr>
          <w:p>
            <w:pPr>
              <w:spacing w:after="0"/>
              <w:rPr>
                <w:sz w:val="15"/>
                <w:szCs w:val="15"/>
                <w:color w:val="auto"/>
              </w:rPr>
            </w:pPr>
          </w:p>
        </w:tc>
        <w:tc>
          <w:tcPr>
            <w:tcW w:w="140" w:type="dxa"/>
            <w:vAlign w:val="bottom"/>
            <w:shd w:val="clear" w:color="auto" w:fill="62259D"/>
          </w:tcPr>
          <w:p>
            <w:pPr>
              <w:spacing w:after="0"/>
              <w:rPr>
                <w:sz w:val="15"/>
                <w:szCs w:val="15"/>
                <w:color w:val="auto"/>
              </w:rPr>
            </w:pPr>
          </w:p>
        </w:tc>
        <w:tc>
          <w:tcPr>
            <w:tcW w:w="100" w:type="dxa"/>
            <w:vAlign w:val="bottom"/>
            <w:shd w:val="clear" w:color="auto" w:fill="62259D"/>
          </w:tcPr>
          <w:p>
            <w:pPr>
              <w:spacing w:after="0"/>
              <w:rPr>
                <w:sz w:val="15"/>
                <w:szCs w:val="15"/>
                <w:color w:val="auto"/>
              </w:rPr>
            </w:pPr>
          </w:p>
        </w:tc>
        <w:tc>
          <w:tcPr>
            <w:tcW w:w="540" w:type="dxa"/>
            <w:vAlign w:val="bottom"/>
            <w:shd w:val="clear" w:color="auto" w:fill="62259D"/>
          </w:tcPr>
          <w:p>
            <w:pPr>
              <w:spacing w:after="0"/>
              <w:rPr>
                <w:sz w:val="15"/>
                <w:szCs w:val="15"/>
                <w:color w:val="auto"/>
              </w:rPr>
            </w:pPr>
          </w:p>
        </w:tc>
        <w:tc>
          <w:tcPr>
            <w:tcW w:w="180" w:type="dxa"/>
            <w:vAlign w:val="bottom"/>
            <w:shd w:val="clear" w:color="auto" w:fill="62259D"/>
          </w:tcPr>
          <w:p>
            <w:pPr>
              <w:spacing w:after="0"/>
              <w:rPr>
                <w:sz w:val="15"/>
                <w:szCs w:val="15"/>
                <w:color w:val="auto"/>
              </w:rPr>
            </w:pPr>
          </w:p>
        </w:tc>
        <w:tc>
          <w:tcPr>
            <w:tcW w:w="160" w:type="dxa"/>
            <w:vAlign w:val="bottom"/>
            <w:shd w:val="clear" w:color="auto" w:fill="62259D"/>
          </w:tcPr>
          <w:p>
            <w:pPr>
              <w:spacing w:after="0"/>
              <w:rPr>
                <w:sz w:val="15"/>
                <w:szCs w:val="15"/>
                <w:color w:val="auto"/>
              </w:rPr>
            </w:pPr>
          </w:p>
        </w:tc>
        <w:tc>
          <w:tcPr>
            <w:tcW w:w="360" w:type="dxa"/>
            <w:vAlign w:val="bottom"/>
            <w:shd w:val="clear" w:color="auto" w:fill="62259D"/>
          </w:tcPr>
          <w:p>
            <w:pPr>
              <w:spacing w:after="0"/>
              <w:rPr>
                <w:sz w:val="15"/>
                <w:szCs w:val="15"/>
                <w:color w:val="auto"/>
              </w:rPr>
            </w:pPr>
          </w:p>
        </w:tc>
        <w:tc>
          <w:tcPr>
            <w:tcW w:w="360" w:type="dxa"/>
            <w:vAlign w:val="bottom"/>
            <w:shd w:val="clear" w:color="auto" w:fill="62259D"/>
          </w:tcPr>
          <w:p>
            <w:pPr>
              <w:spacing w:after="0"/>
              <w:rPr>
                <w:sz w:val="15"/>
                <w:szCs w:val="15"/>
                <w:color w:val="auto"/>
              </w:rPr>
            </w:pPr>
          </w:p>
        </w:tc>
        <w:tc>
          <w:tcPr>
            <w:tcW w:w="120" w:type="dxa"/>
            <w:vAlign w:val="bottom"/>
            <w:shd w:val="clear" w:color="auto" w:fill="62259D"/>
          </w:tcPr>
          <w:p>
            <w:pPr>
              <w:spacing w:after="0"/>
              <w:rPr>
                <w:sz w:val="15"/>
                <w:szCs w:val="15"/>
                <w:color w:val="auto"/>
              </w:rPr>
            </w:pPr>
          </w:p>
        </w:tc>
        <w:tc>
          <w:tcPr>
            <w:tcW w:w="380" w:type="dxa"/>
            <w:vAlign w:val="bottom"/>
            <w:shd w:val="clear" w:color="auto" w:fill="62259D"/>
          </w:tcPr>
          <w:p>
            <w:pPr>
              <w:spacing w:after="0"/>
              <w:rPr>
                <w:sz w:val="15"/>
                <w:szCs w:val="15"/>
                <w:color w:val="auto"/>
              </w:rPr>
            </w:pPr>
          </w:p>
        </w:tc>
        <w:tc>
          <w:tcPr>
            <w:tcW w:w="1520" w:type="dxa"/>
            <w:vAlign w:val="bottom"/>
            <w:gridSpan w:val="3"/>
            <w:shd w:val="clear" w:color="auto" w:fill="62259D"/>
          </w:tcPr>
          <w:p>
            <w:pPr>
              <w:jc w:val="center"/>
              <w:ind w:left="1"/>
              <w:spacing w:after="0"/>
              <w:rPr>
                <w:sz w:val="20"/>
                <w:szCs w:val="20"/>
                <w:color w:val="auto"/>
              </w:rPr>
            </w:pPr>
            <w:r>
              <w:rPr>
                <w:rFonts w:ascii="Arial" w:cs="Arial" w:eastAsia="Arial" w:hAnsi="Arial"/>
                <w:sz w:val="14"/>
                <w:szCs w:val="14"/>
                <w:b w:val="1"/>
                <w:bCs w:val="1"/>
                <w:color w:val="FEFEFE"/>
              </w:rPr>
              <w:t>Sustainability and</w:t>
            </w:r>
          </w:p>
        </w:tc>
        <w:tc>
          <w:tcPr>
            <w:tcW w:w="200" w:type="dxa"/>
            <w:vAlign w:val="bottom"/>
            <w:shd w:val="clear" w:color="auto" w:fill="62259D"/>
          </w:tcPr>
          <w:p>
            <w:pPr>
              <w:spacing w:after="0"/>
              <w:rPr>
                <w:sz w:val="15"/>
                <w:szCs w:val="15"/>
                <w:color w:val="auto"/>
              </w:rPr>
            </w:pPr>
          </w:p>
        </w:tc>
        <w:tc>
          <w:tcPr>
            <w:tcW w:w="160" w:type="dxa"/>
            <w:vAlign w:val="bottom"/>
            <w:shd w:val="clear" w:color="auto" w:fill="62259D"/>
          </w:tcPr>
          <w:p>
            <w:pPr>
              <w:spacing w:after="0"/>
              <w:rPr>
                <w:sz w:val="15"/>
                <w:szCs w:val="15"/>
                <w:color w:val="auto"/>
              </w:rPr>
            </w:pPr>
          </w:p>
        </w:tc>
        <w:tc>
          <w:tcPr>
            <w:tcW w:w="1080" w:type="dxa"/>
            <w:vAlign w:val="bottom"/>
            <w:shd w:val="clear" w:color="auto" w:fill="62259D"/>
          </w:tcPr>
          <w:p>
            <w:pPr>
              <w:spacing w:after="0"/>
              <w:rPr>
                <w:sz w:val="15"/>
                <w:szCs w:val="15"/>
                <w:color w:val="auto"/>
              </w:rPr>
            </w:pPr>
          </w:p>
        </w:tc>
        <w:tc>
          <w:tcPr>
            <w:tcW w:w="100" w:type="dxa"/>
            <w:vAlign w:val="bottom"/>
            <w:shd w:val="clear" w:color="auto" w:fill="62259D"/>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shd w:val="clear" w:color="auto" w:fill="62259D"/>
          </w:tcPr>
          <w:p>
            <w:pPr>
              <w:spacing w:after="0"/>
              <w:rPr>
                <w:sz w:val="14"/>
                <w:szCs w:val="14"/>
                <w:color w:val="auto"/>
              </w:rPr>
            </w:pPr>
          </w:p>
        </w:tc>
        <w:tc>
          <w:tcPr>
            <w:tcW w:w="560" w:type="dxa"/>
            <w:vAlign w:val="bottom"/>
            <w:shd w:val="clear" w:color="auto" w:fill="62259D"/>
          </w:tcPr>
          <w:p>
            <w:pPr>
              <w:spacing w:after="0"/>
              <w:rPr>
                <w:sz w:val="14"/>
                <w:szCs w:val="14"/>
                <w:color w:val="auto"/>
              </w:rPr>
            </w:pPr>
          </w:p>
        </w:tc>
        <w:tc>
          <w:tcPr>
            <w:tcW w:w="240" w:type="dxa"/>
            <w:vAlign w:val="bottom"/>
            <w:shd w:val="clear" w:color="auto" w:fill="62259D"/>
          </w:tcPr>
          <w:p>
            <w:pPr>
              <w:spacing w:after="0"/>
              <w:rPr>
                <w:sz w:val="14"/>
                <w:szCs w:val="14"/>
                <w:color w:val="auto"/>
              </w:rPr>
            </w:pPr>
          </w:p>
        </w:tc>
        <w:tc>
          <w:tcPr>
            <w:tcW w:w="300" w:type="dxa"/>
            <w:vAlign w:val="bottom"/>
            <w:shd w:val="clear" w:color="auto" w:fill="62259D"/>
          </w:tcPr>
          <w:p>
            <w:pPr>
              <w:spacing w:after="0"/>
              <w:rPr>
                <w:sz w:val="14"/>
                <w:szCs w:val="14"/>
                <w:color w:val="auto"/>
              </w:rPr>
            </w:pPr>
          </w:p>
        </w:tc>
        <w:tc>
          <w:tcPr>
            <w:tcW w:w="480" w:type="dxa"/>
            <w:vAlign w:val="bottom"/>
            <w:shd w:val="clear" w:color="auto" w:fill="62259D"/>
          </w:tcPr>
          <w:p>
            <w:pPr>
              <w:spacing w:after="0"/>
              <w:rPr>
                <w:sz w:val="14"/>
                <w:szCs w:val="14"/>
                <w:color w:val="auto"/>
              </w:rPr>
            </w:pPr>
          </w:p>
        </w:tc>
        <w:tc>
          <w:tcPr>
            <w:tcW w:w="600" w:type="dxa"/>
            <w:vAlign w:val="bottom"/>
            <w:shd w:val="clear" w:color="auto" w:fill="62259D"/>
          </w:tcPr>
          <w:p>
            <w:pPr>
              <w:spacing w:after="0"/>
              <w:rPr>
                <w:sz w:val="14"/>
                <w:szCs w:val="14"/>
                <w:color w:val="auto"/>
              </w:rPr>
            </w:pPr>
          </w:p>
        </w:tc>
        <w:tc>
          <w:tcPr>
            <w:tcW w:w="140" w:type="dxa"/>
            <w:vAlign w:val="bottom"/>
            <w:shd w:val="clear" w:color="auto" w:fill="62259D"/>
          </w:tcPr>
          <w:p>
            <w:pPr>
              <w:spacing w:after="0"/>
              <w:rPr>
                <w:sz w:val="14"/>
                <w:szCs w:val="14"/>
                <w:color w:val="auto"/>
              </w:rPr>
            </w:pPr>
          </w:p>
        </w:tc>
        <w:tc>
          <w:tcPr>
            <w:tcW w:w="100" w:type="dxa"/>
            <w:vAlign w:val="bottom"/>
            <w:shd w:val="clear" w:color="auto" w:fill="62259D"/>
          </w:tcPr>
          <w:p>
            <w:pPr>
              <w:spacing w:after="0"/>
              <w:rPr>
                <w:sz w:val="14"/>
                <w:szCs w:val="14"/>
                <w:color w:val="auto"/>
              </w:rPr>
            </w:pPr>
          </w:p>
        </w:tc>
        <w:tc>
          <w:tcPr>
            <w:tcW w:w="540" w:type="dxa"/>
            <w:vAlign w:val="bottom"/>
            <w:shd w:val="clear" w:color="auto" w:fill="62259D"/>
          </w:tcPr>
          <w:p>
            <w:pPr>
              <w:spacing w:after="0"/>
              <w:rPr>
                <w:sz w:val="14"/>
                <w:szCs w:val="14"/>
                <w:color w:val="auto"/>
              </w:rPr>
            </w:pPr>
          </w:p>
        </w:tc>
        <w:tc>
          <w:tcPr>
            <w:tcW w:w="180" w:type="dxa"/>
            <w:vAlign w:val="bottom"/>
            <w:shd w:val="clear" w:color="auto" w:fill="62259D"/>
          </w:tcPr>
          <w:p>
            <w:pPr>
              <w:spacing w:after="0"/>
              <w:rPr>
                <w:sz w:val="14"/>
                <w:szCs w:val="14"/>
                <w:color w:val="auto"/>
              </w:rPr>
            </w:pPr>
          </w:p>
        </w:tc>
        <w:tc>
          <w:tcPr>
            <w:tcW w:w="160" w:type="dxa"/>
            <w:vAlign w:val="bottom"/>
            <w:shd w:val="clear" w:color="auto" w:fill="62259D"/>
          </w:tcPr>
          <w:p>
            <w:pPr>
              <w:spacing w:after="0"/>
              <w:rPr>
                <w:sz w:val="14"/>
                <w:szCs w:val="14"/>
                <w:color w:val="auto"/>
              </w:rPr>
            </w:pPr>
          </w:p>
        </w:tc>
        <w:tc>
          <w:tcPr>
            <w:tcW w:w="360" w:type="dxa"/>
            <w:vAlign w:val="bottom"/>
            <w:shd w:val="clear" w:color="auto" w:fill="62259D"/>
          </w:tcPr>
          <w:p>
            <w:pPr>
              <w:spacing w:after="0"/>
              <w:rPr>
                <w:sz w:val="14"/>
                <w:szCs w:val="14"/>
                <w:color w:val="auto"/>
              </w:rPr>
            </w:pPr>
          </w:p>
        </w:tc>
        <w:tc>
          <w:tcPr>
            <w:tcW w:w="360" w:type="dxa"/>
            <w:vAlign w:val="bottom"/>
            <w:shd w:val="clear" w:color="auto" w:fill="62259D"/>
          </w:tcPr>
          <w:p>
            <w:pPr>
              <w:spacing w:after="0"/>
              <w:rPr>
                <w:sz w:val="14"/>
                <w:szCs w:val="14"/>
                <w:color w:val="auto"/>
              </w:rPr>
            </w:pPr>
          </w:p>
        </w:tc>
        <w:tc>
          <w:tcPr>
            <w:tcW w:w="120" w:type="dxa"/>
            <w:vAlign w:val="bottom"/>
            <w:shd w:val="clear" w:color="auto" w:fill="62259D"/>
          </w:tcPr>
          <w:p>
            <w:pPr>
              <w:spacing w:after="0"/>
              <w:rPr>
                <w:sz w:val="14"/>
                <w:szCs w:val="14"/>
                <w:color w:val="auto"/>
              </w:rPr>
            </w:pPr>
          </w:p>
        </w:tc>
        <w:tc>
          <w:tcPr>
            <w:tcW w:w="380" w:type="dxa"/>
            <w:vAlign w:val="bottom"/>
            <w:shd w:val="clear" w:color="auto" w:fill="62259D"/>
          </w:tcPr>
          <w:p>
            <w:pPr>
              <w:spacing w:after="0"/>
              <w:rPr>
                <w:sz w:val="14"/>
                <w:szCs w:val="14"/>
                <w:color w:val="auto"/>
              </w:rPr>
            </w:pPr>
          </w:p>
        </w:tc>
        <w:tc>
          <w:tcPr>
            <w:tcW w:w="260" w:type="dxa"/>
            <w:vAlign w:val="bottom"/>
            <w:shd w:val="clear" w:color="auto" w:fill="62259D"/>
          </w:tcPr>
          <w:p>
            <w:pPr>
              <w:spacing w:after="0"/>
              <w:rPr>
                <w:sz w:val="14"/>
                <w:szCs w:val="14"/>
                <w:color w:val="auto"/>
              </w:rPr>
            </w:pPr>
          </w:p>
        </w:tc>
        <w:tc>
          <w:tcPr>
            <w:tcW w:w="1260" w:type="dxa"/>
            <w:vAlign w:val="bottom"/>
            <w:gridSpan w:val="2"/>
            <w:shd w:val="clear" w:color="auto" w:fill="62259D"/>
          </w:tcPr>
          <w:p>
            <w:pPr>
              <w:jc w:val="center"/>
              <w:ind w:right="108"/>
              <w:spacing w:after="0"/>
              <w:rPr>
                <w:sz w:val="20"/>
                <w:szCs w:val="20"/>
                <w:color w:val="auto"/>
              </w:rPr>
            </w:pPr>
            <w:r>
              <w:rPr>
                <w:rFonts w:ascii="Arial" w:cs="Arial" w:eastAsia="Arial" w:hAnsi="Arial"/>
                <w:sz w:val="14"/>
                <w:szCs w:val="14"/>
                <w:b w:val="1"/>
                <w:bCs w:val="1"/>
                <w:color w:val="FEFEFE"/>
              </w:rPr>
              <w:t>Corporate</w:t>
            </w:r>
          </w:p>
        </w:tc>
        <w:tc>
          <w:tcPr>
            <w:tcW w:w="200" w:type="dxa"/>
            <w:vAlign w:val="bottom"/>
            <w:shd w:val="clear" w:color="auto" w:fill="62259D"/>
          </w:tcPr>
          <w:p>
            <w:pPr>
              <w:spacing w:after="0"/>
              <w:rPr>
                <w:sz w:val="14"/>
                <w:szCs w:val="14"/>
                <w:color w:val="auto"/>
              </w:rPr>
            </w:pPr>
          </w:p>
        </w:tc>
        <w:tc>
          <w:tcPr>
            <w:tcW w:w="160" w:type="dxa"/>
            <w:vAlign w:val="bottom"/>
            <w:shd w:val="clear" w:color="auto" w:fill="62259D"/>
          </w:tcPr>
          <w:p>
            <w:pPr>
              <w:spacing w:after="0"/>
              <w:rPr>
                <w:sz w:val="14"/>
                <w:szCs w:val="14"/>
                <w:color w:val="auto"/>
              </w:rPr>
            </w:pPr>
          </w:p>
        </w:tc>
        <w:tc>
          <w:tcPr>
            <w:tcW w:w="1080" w:type="dxa"/>
            <w:vAlign w:val="bottom"/>
            <w:shd w:val="clear" w:color="auto" w:fill="62259D"/>
          </w:tcPr>
          <w:p>
            <w:pPr>
              <w:jc w:val="right"/>
              <w:ind w:right="80"/>
              <w:spacing w:after="0"/>
              <w:rPr>
                <w:sz w:val="20"/>
                <w:szCs w:val="20"/>
                <w:color w:val="auto"/>
              </w:rPr>
            </w:pPr>
            <w:r>
              <w:rPr>
                <w:rFonts w:ascii="Arial" w:cs="Arial" w:eastAsia="Arial" w:hAnsi="Arial"/>
                <w:sz w:val="14"/>
                <w:szCs w:val="14"/>
                <w:b w:val="1"/>
                <w:bCs w:val="1"/>
                <w:color w:val="FEFEFE"/>
              </w:rPr>
              <w:t>Technology</w:t>
            </w:r>
          </w:p>
        </w:tc>
        <w:tc>
          <w:tcPr>
            <w:tcW w:w="100" w:type="dxa"/>
            <w:vAlign w:val="bottom"/>
            <w:shd w:val="clear" w:color="auto" w:fill="62259D"/>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c>
          <w:tcPr>
            <w:tcW w:w="1200" w:type="dxa"/>
            <w:vAlign w:val="bottom"/>
            <w:shd w:val="clear" w:color="auto" w:fill="62259D"/>
          </w:tcPr>
          <w:p>
            <w:pPr>
              <w:spacing w:after="0"/>
              <w:rPr>
                <w:sz w:val="20"/>
                <w:szCs w:val="20"/>
                <w:color w:val="auto"/>
              </w:rPr>
            </w:pPr>
            <w:r>
              <w:rPr>
                <w:rFonts w:ascii="Arial" w:cs="Arial" w:eastAsia="Arial" w:hAnsi="Arial"/>
                <w:sz w:val="14"/>
                <w:szCs w:val="14"/>
                <w:b w:val="1"/>
                <w:bCs w:val="1"/>
                <w:color w:val="FEFEFE"/>
              </w:rPr>
              <w:t>Director</w:t>
            </w:r>
          </w:p>
        </w:tc>
        <w:tc>
          <w:tcPr>
            <w:tcW w:w="560" w:type="dxa"/>
            <w:vAlign w:val="bottom"/>
            <w:shd w:val="clear" w:color="auto" w:fill="62259D"/>
          </w:tcPr>
          <w:p>
            <w:pPr>
              <w:spacing w:after="0"/>
              <w:rPr>
                <w:sz w:val="19"/>
                <w:szCs w:val="19"/>
                <w:color w:val="auto"/>
              </w:rPr>
            </w:pPr>
          </w:p>
        </w:tc>
        <w:tc>
          <w:tcPr>
            <w:tcW w:w="240" w:type="dxa"/>
            <w:vAlign w:val="bottom"/>
            <w:shd w:val="clear" w:color="auto" w:fill="62259D"/>
          </w:tcPr>
          <w:p>
            <w:pPr>
              <w:spacing w:after="0"/>
              <w:rPr>
                <w:sz w:val="19"/>
                <w:szCs w:val="19"/>
                <w:color w:val="auto"/>
              </w:rPr>
            </w:pPr>
          </w:p>
        </w:tc>
        <w:tc>
          <w:tcPr>
            <w:tcW w:w="300" w:type="dxa"/>
            <w:vAlign w:val="bottom"/>
            <w:shd w:val="clear" w:color="auto" w:fill="62259D"/>
          </w:tcPr>
          <w:p>
            <w:pPr>
              <w:ind w:left="200"/>
              <w:spacing w:after="0"/>
              <w:rPr>
                <w:sz w:val="20"/>
                <w:szCs w:val="20"/>
                <w:color w:val="auto"/>
              </w:rPr>
            </w:pPr>
            <w:r>
              <w:rPr>
                <w:rFonts w:ascii="Arial" w:cs="Arial" w:eastAsia="Arial" w:hAnsi="Arial"/>
                <w:sz w:val="14"/>
                <w:szCs w:val="14"/>
                <w:b w:val="1"/>
                <w:bCs w:val="1"/>
                <w:color w:val="FEFEFE"/>
              </w:rPr>
              <w:t>​</w:t>
            </w:r>
          </w:p>
        </w:tc>
        <w:tc>
          <w:tcPr>
            <w:tcW w:w="1080" w:type="dxa"/>
            <w:vAlign w:val="bottom"/>
            <w:gridSpan w:val="2"/>
            <w:shd w:val="clear" w:color="auto" w:fill="62259D"/>
          </w:tcPr>
          <w:p>
            <w:pPr>
              <w:ind w:left="40"/>
              <w:spacing w:after="0" w:line="225" w:lineRule="exact"/>
              <w:rPr>
                <w:sz w:val="20"/>
                <w:szCs w:val="20"/>
                <w:color w:val="auto"/>
              </w:rPr>
            </w:pPr>
            <w:r>
              <w:rPr>
                <w:rFonts w:ascii="Arial" w:cs="Arial" w:eastAsia="Arial" w:hAnsi="Arial"/>
                <w:sz w:val="26"/>
                <w:szCs w:val="26"/>
                <w:b w:val="1"/>
                <w:bCs w:val="1"/>
                <w:color w:val="FEFEFE"/>
                <w:vertAlign w:val="subscript"/>
              </w:rPr>
              <w:t>​</w:t>
            </w:r>
            <w:r>
              <w:rPr>
                <w:rFonts w:ascii="Arial" w:cs="Arial" w:eastAsia="Arial" w:hAnsi="Arial"/>
                <w:sz w:val="14"/>
                <w:szCs w:val="14"/>
                <w:b w:val="1"/>
                <w:bCs w:val="1"/>
                <w:color w:val="FEFEFE"/>
              </w:rPr>
              <w:t xml:space="preserve"> Independent</w:t>
            </w:r>
          </w:p>
        </w:tc>
        <w:tc>
          <w:tcPr>
            <w:tcW w:w="14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10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540" w:type="dxa"/>
            <w:vAlign w:val="bottom"/>
            <w:shd w:val="clear" w:color="auto" w:fill="62259D"/>
          </w:tcPr>
          <w:p>
            <w:pPr>
              <w:jc w:val="right"/>
              <w:ind w:right="1"/>
              <w:spacing w:after="0"/>
              <w:rPr>
                <w:sz w:val="20"/>
                <w:szCs w:val="20"/>
                <w:color w:val="auto"/>
              </w:rPr>
            </w:pPr>
            <w:r>
              <w:rPr>
                <w:rFonts w:ascii="Arial" w:cs="Arial" w:eastAsia="Arial" w:hAnsi="Arial"/>
                <w:sz w:val="14"/>
                <w:szCs w:val="14"/>
                <w:b w:val="1"/>
                <w:bCs w:val="1"/>
                <w:color w:val="FEFEFE"/>
              </w:rPr>
              <w:t>Audit</w:t>
            </w:r>
          </w:p>
        </w:tc>
        <w:tc>
          <w:tcPr>
            <w:tcW w:w="180" w:type="dxa"/>
            <w:vAlign w:val="bottom"/>
            <w:shd w:val="clear" w:color="auto" w:fill="62259D"/>
          </w:tcPr>
          <w:p>
            <w:pPr>
              <w:ind w:left="80"/>
              <w:spacing w:after="0"/>
              <w:rPr>
                <w:sz w:val="20"/>
                <w:szCs w:val="20"/>
                <w:color w:val="auto"/>
              </w:rPr>
            </w:pPr>
            <w:r>
              <w:rPr>
                <w:rFonts w:ascii="Arial" w:cs="Arial" w:eastAsia="Arial" w:hAnsi="Arial"/>
                <w:sz w:val="14"/>
                <w:szCs w:val="14"/>
                <w:b w:val="1"/>
                <w:bCs w:val="1"/>
                <w:color w:val="FEFEFE"/>
              </w:rPr>
              <w:t>​</w:t>
            </w:r>
          </w:p>
        </w:tc>
        <w:tc>
          <w:tcPr>
            <w:tcW w:w="1380" w:type="dxa"/>
            <w:vAlign w:val="bottom"/>
            <w:gridSpan w:val="5"/>
            <w:shd w:val="clear" w:color="auto" w:fill="62259D"/>
          </w:tcPr>
          <w:p>
            <w:pPr>
              <w:ind w:left="40"/>
              <w:spacing w:after="0" w:line="225" w:lineRule="exact"/>
              <w:rPr>
                <w:sz w:val="20"/>
                <w:szCs w:val="20"/>
                <w:color w:val="auto"/>
              </w:rPr>
            </w:pPr>
            <w:r>
              <w:rPr>
                <w:rFonts w:ascii="Arial" w:cs="Arial" w:eastAsia="Arial" w:hAnsi="Arial"/>
                <w:sz w:val="26"/>
                <w:szCs w:val="26"/>
                <w:b w:val="1"/>
                <w:bCs w:val="1"/>
                <w:color w:val="FEFEFE"/>
                <w:vertAlign w:val="subscript"/>
              </w:rPr>
              <w:t>​</w:t>
            </w:r>
            <w:r>
              <w:rPr>
                <w:rFonts w:ascii="Arial" w:cs="Arial" w:eastAsia="Arial" w:hAnsi="Arial"/>
                <w:sz w:val="14"/>
                <w:szCs w:val="14"/>
                <w:b w:val="1"/>
                <w:bCs w:val="1"/>
                <w:color w:val="FEFEFE"/>
              </w:rPr>
              <w:t xml:space="preserve"> Compensation </w:t>
            </w:r>
            <w:r>
              <w:rPr>
                <w:rFonts w:ascii="Arial" w:cs="Arial" w:eastAsia="Arial" w:hAnsi="Arial"/>
                <w:sz w:val="26"/>
                <w:szCs w:val="26"/>
                <w:b w:val="1"/>
                <w:bCs w:val="1"/>
                <w:color w:val="FEFEFE"/>
                <w:vertAlign w:val="subscript"/>
              </w:rPr>
              <w:t>​</w:t>
            </w:r>
          </w:p>
        </w:tc>
        <w:tc>
          <w:tcPr>
            <w:tcW w:w="260" w:type="dxa"/>
            <w:vAlign w:val="bottom"/>
            <w:shd w:val="clear" w:color="auto" w:fill="62259D"/>
          </w:tcPr>
          <w:p>
            <w:pPr>
              <w:ind w:left="40"/>
              <w:spacing w:after="0"/>
              <w:rPr>
                <w:sz w:val="20"/>
                <w:szCs w:val="20"/>
                <w:color w:val="auto"/>
              </w:rPr>
            </w:pPr>
            <w:r>
              <w:rPr>
                <w:rFonts w:ascii="Arial" w:cs="Arial" w:eastAsia="Arial" w:hAnsi="Arial"/>
                <w:sz w:val="14"/>
                <w:szCs w:val="14"/>
                <w:b w:val="1"/>
                <w:bCs w:val="1"/>
                <w:color w:val="FEFEFE"/>
              </w:rPr>
              <w:t>​</w:t>
            </w:r>
          </w:p>
        </w:tc>
        <w:tc>
          <w:tcPr>
            <w:tcW w:w="1260" w:type="dxa"/>
            <w:vAlign w:val="bottom"/>
            <w:gridSpan w:val="2"/>
            <w:shd w:val="clear" w:color="auto" w:fill="62259D"/>
          </w:tcPr>
          <w:p>
            <w:pPr>
              <w:ind w:left="120"/>
              <w:spacing w:after="0"/>
              <w:rPr>
                <w:sz w:val="20"/>
                <w:szCs w:val="20"/>
                <w:color w:val="auto"/>
              </w:rPr>
            </w:pPr>
            <w:r>
              <w:rPr>
                <w:rFonts w:ascii="Arial" w:cs="Arial" w:eastAsia="Arial" w:hAnsi="Arial"/>
                <w:sz w:val="14"/>
                <w:szCs w:val="14"/>
                <w:b w:val="1"/>
                <w:bCs w:val="1"/>
                <w:color w:val="FEFEFE"/>
              </w:rPr>
              <w:t>Governance</w:t>
            </w:r>
          </w:p>
        </w:tc>
        <w:tc>
          <w:tcPr>
            <w:tcW w:w="200" w:type="dxa"/>
            <w:vAlign w:val="bottom"/>
            <w:shd w:val="clear" w:color="auto" w:fill="62259D"/>
          </w:tcPr>
          <w:p>
            <w:pPr>
              <w:jc w:val="center"/>
              <w:spacing w:after="0"/>
              <w:rPr>
                <w:sz w:val="20"/>
                <w:szCs w:val="20"/>
                <w:color w:val="auto"/>
              </w:rPr>
            </w:pPr>
            <w:r>
              <w:rPr>
                <w:rFonts w:ascii="Arial" w:cs="Arial" w:eastAsia="Arial" w:hAnsi="Arial"/>
                <w:sz w:val="14"/>
                <w:szCs w:val="14"/>
                <w:b w:val="1"/>
                <w:bCs w:val="1"/>
                <w:color w:val="FEFEFE"/>
              </w:rPr>
              <w:t>​</w:t>
            </w:r>
          </w:p>
        </w:tc>
        <w:tc>
          <w:tcPr>
            <w:tcW w:w="1340" w:type="dxa"/>
            <w:vAlign w:val="bottom"/>
            <w:gridSpan w:val="3"/>
            <w:shd w:val="clear" w:color="auto" w:fill="62259D"/>
          </w:tcPr>
          <w:p>
            <w:pPr>
              <w:ind w:left="40"/>
              <w:spacing w:after="0" w:line="225" w:lineRule="exact"/>
              <w:rPr>
                <w:sz w:val="20"/>
                <w:szCs w:val="20"/>
                <w:color w:val="auto"/>
              </w:rPr>
            </w:pPr>
            <w:r>
              <w:rPr>
                <w:rFonts w:ascii="Arial" w:cs="Arial" w:eastAsia="Arial" w:hAnsi="Arial"/>
                <w:sz w:val="26"/>
                <w:szCs w:val="26"/>
                <w:b w:val="1"/>
                <w:bCs w:val="1"/>
                <w:color w:val="FEFEFE"/>
                <w:vertAlign w:val="subscript"/>
              </w:rPr>
              <w:t>​</w:t>
            </w:r>
            <w:r>
              <w:rPr>
                <w:rFonts w:ascii="Arial" w:cs="Arial" w:eastAsia="Arial" w:hAnsi="Arial"/>
                <w:sz w:val="14"/>
                <w:szCs w:val="14"/>
                <w:b w:val="1"/>
                <w:bCs w:val="1"/>
                <w:color w:val="FEFEFE"/>
              </w:rPr>
              <w:t xml:space="preserve"> and Innovation </w:t>
            </w:r>
            <w:r>
              <w:rPr>
                <w:rFonts w:ascii="Arial" w:cs="Arial" w:eastAsia="Arial" w:hAnsi="Arial"/>
                <w:sz w:val="26"/>
                <w:szCs w:val="26"/>
                <w:b w:val="1"/>
                <w:bCs w:val="1"/>
                <w:color w:val="FEFEFE"/>
                <w:vertAlign w:val="subscript"/>
              </w:rPr>
              <w:t>​</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6"/>
                <w:szCs w:val="16"/>
                <w:color w:val="auto"/>
              </w:rPr>
              <w:t>​R. Stewart Ewing, Jr.</w:t>
            </w:r>
          </w:p>
        </w:tc>
        <w:tc>
          <w:tcPr>
            <w:tcW w:w="2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ind w:right="181"/>
              <w:spacing w:after="0"/>
              <w:rPr>
                <w:sz w:val="20"/>
                <w:szCs w:val="20"/>
                <w:color w:val="auto"/>
              </w:rPr>
            </w:pPr>
            <w:r>
              <w:rPr>
                <w:rFonts w:ascii="Arial" w:cs="Arial" w:eastAsia="Arial" w:hAnsi="Arial"/>
                <w:sz w:val="16"/>
                <w:szCs w:val="16"/>
                <w:color w:val="auto"/>
              </w:rPr>
              <w:t> </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0" w:type="dxa"/>
            <w:vAlign w:val="bottom"/>
            <w:tcBorders>
              <w:bottom w:val="single" w:sz="8" w:color="E7417A"/>
            </w:tcBorders>
          </w:tcPr>
          <w:p>
            <w:pPr>
              <w:spacing w:after="0"/>
              <w:rPr>
                <w:sz w:val="3"/>
                <w:szCs w:val="3"/>
                <w:color w:val="auto"/>
              </w:rPr>
            </w:pPr>
          </w:p>
        </w:tc>
        <w:tc>
          <w:tcPr>
            <w:tcW w:w="1800" w:type="dxa"/>
            <w:vAlign w:val="bottom"/>
            <w:tcBorders>
              <w:bottom w:val="single" w:sz="8" w:color="E7417A"/>
            </w:tcBorders>
            <w:gridSpan w:val="3"/>
          </w:tcPr>
          <w:p>
            <w:pPr>
              <w:spacing w:after="0"/>
              <w:rPr>
                <w:sz w:val="3"/>
                <w:szCs w:val="3"/>
                <w:color w:val="auto"/>
              </w:rPr>
            </w:pPr>
          </w:p>
        </w:tc>
        <w:tc>
          <w:tcPr>
            <w:tcW w:w="240" w:type="dxa"/>
            <w:vAlign w:val="bottom"/>
            <w:tcBorders>
              <w:bottom w:val="single" w:sz="8" w:color="E7417A"/>
            </w:tcBorders>
          </w:tcPr>
          <w:p>
            <w:pPr>
              <w:spacing w:after="0"/>
              <w:rPr>
                <w:sz w:val="3"/>
                <w:szCs w:val="3"/>
                <w:color w:val="auto"/>
              </w:rPr>
            </w:pPr>
          </w:p>
        </w:tc>
        <w:tc>
          <w:tcPr>
            <w:tcW w:w="300" w:type="dxa"/>
            <w:vAlign w:val="bottom"/>
            <w:tcBorders>
              <w:bottom w:val="single" w:sz="8" w:color="E7417A"/>
            </w:tcBorders>
          </w:tcPr>
          <w:p>
            <w:pPr>
              <w:spacing w:after="0"/>
              <w:rPr>
                <w:sz w:val="3"/>
                <w:szCs w:val="3"/>
                <w:color w:val="auto"/>
              </w:rPr>
            </w:pPr>
          </w:p>
        </w:tc>
        <w:tc>
          <w:tcPr>
            <w:tcW w:w="480" w:type="dxa"/>
            <w:vAlign w:val="bottom"/>
            <w:tcBorders>
              <w:bottom w:val="single" w:sz="8" w:color="E7417A"/>
            </w:tcBorders>
          </w:tcPr>
          <w:p>
            <w:pPr>
              <w:spacing w:after="0"/>
              <w:rPr>
                <w:sz w:val="3"/>
                <w:szCs w:val="3"/>
                <w:color w:val="auto"/>
              </w:rPr>
            </w:pPr>
          </w:p>
        </w:tc>
        <w:tc>
          <w:tcPr>
            <w:tcW w:w="600" w:type="dxa"/>
            <w:vAlign w:val="bottom"/>
            <w:tcBorders>
              <w:bottom w:val="single" w:sz="8" w:color="E7417A"/>
            </w:tcBorders>
          </w:tcPr>
          <w:p>
            <w:pPr>
              <w:spacing w:after="0"/>
              <w:rPr>
                <w:sz w:val="3"/>
                <w:szCs w:val="3"/>
                <w:color w:val="auto"/>
              </w:rPr>
            </w:pPr>
          </w:p>
        </w:tc>
        <w:tc>
          <w:tcPr>
            <w:tcW w:w="140" w:type="dxa"/>
            <w:vAlign w:val="bottom"/>
            <w:tcBorders>
              <w:bottom w:val="single" w:sz="8" w:color="E7417A"/>
            </w:tcBorders>
          </w:tcPr>
          <w:p>
            <w:pPr>
              <w:spacing w:after="0"/>
              <w:rPr>
                <w:sz w:val="3"/>
                <w:szCs w:val="3"/>
                <w:color w:val="auto"/>
              </w:rPr>
            </w:pPr>
          </w:p>
        </w:tc>
        <w:tc>
          <w:tcPr>
            <w:tcW w:w="100" w:type="dxa"/>
            <w:vAlign w:val="bottom"/>
            <w:tcBorders>
              <w:bottom w:val="single" w:sz="8" w:color="E7417A"/>
            </w:tcBorders>
          </w:tcPr>
          <w:p>
            <w:pPr>
              <w:spacing w:after="0"/>
              <w:rPr>
                <w:sz w:val="3"/>
                <w:szCs w:val="3"/>
                <w:color w:val="auto"/>
              </w:rPr>
            </w:pPr>
          </w:p>
        </w:tc>
        <w:tc>
          <w:tcPr>
            <w:tcW w:w="540" w:type="dxa"/>
            <w:vAlign w:val="bottom"/>
            <w:tcBorders>
              <w:bottom w:val="single" w:sz="8" w:color="E7417A"/>
            </w:tcBorders>
          </w:tcPr>
          <w:p>
            <w:pPr>
              <w:spacing w:after="0"/>
              <w:rPr>
                <w:sz w:val="3"/>
                <w:szCs w:val="3"/>
                <w:color w:val="auto"/>
              </w:rPr>
            </w:pPr>
          </w:p>
        </w:tc>
        <w:tc>
          <w:tcPr>
            <w:tcW w:w="180" w:type="dxa"/>
            <w:vAlign w:val="bottom"/>
            <w:tcBorders>
              <w:bottom w:val="single" w:sz="8" w:color="E7417A"/>
            </w:tcBorders>
          </w:tcPr>
          <w:p>
            <w:pPr>
              <w:spacing w:after="0"/>
              <w:rPr>
                <w:sz w:val="3"/>
                <w:szCs w:val="3"/>
                <w:color w:val="auto"/>
              </w:rPr>
            </w:pPr>
          </w:p>
        </w:tc>
        <w:tc>
          <w:tcPr>
            <w:tcW w:w="160" w:type="dxa"/>
            <w:vAlign w:val="bottom"/>
            <w:tcBorders>
              <w:bottom w:val="single" w:sz="8" w:color="E7417A"/>
            </w:tcBorders>
          </w:tcPr>
          <w:p>
            <w:pPr>
              <w:spacing w:after="0"/>
              <w:rPr>
                <w:sz w:val="3"/>
                <w:szCs w:val="3"/>
                <w:color w:val="auto"/>
              </w:rPr>
            </w:pPr>
          </w:p>
        </w:tc>
        <w:tc>
          <w:tcPr>
            <w:tcW w:w="360" w:type="dxa"/>
            <w:vAlign w:val="bottom"/>
            <w:tcBorders>
              <w:bottom w:val="single" w:sz="8" w:color="E7417A"/>
            </w:tcBorders>
          </w:tcPr>
          <w:p>
            <w:pPr>
              <w:spacing w:after="0"/>
              <w:rPr>
                <w:sz w:val="3"/>
                <w:szCs w:val="3"/>
                <w:color w:val="auto"/>
              </w:rPr>
            </w:pPr>
          </w:p>
        </w:tc>
        <w:tc>
          <w:tcPr>
            <w:tcW w:w="360" w:type="dxa"/>
            <w:vAlign w:val="bottom"/>
            <w:tcBorders>
              <w:bottom w:val="single" w:sz="8" w:color="E7417A"/>
            </w:tcBorders>
          </w:tcPr>
          <w:p>
            <w:pPr>
              <w:spacing w:after="0"/>
              <w:rPr>
                <w:sz w:val="3"/>
                <w:szCs w:val="3"/>
                <w:color w:val="auto"/>
              </w:rPr>
            </w:pPr>
          </w:p>
        </w:tc>
        <w:tc>
          <w:tcPr>
            <w:tcW w:w="120" w:type="dxa"/>
            <w:vAlign w:val="bottom"/>
            <w:tcBorders>
              <w:bottom w:val="single" w:sz="8" w:color="E7417A"/>
            </w:tcBorders>
          </w:tcPr>
          <w:p>
            <w:pPr>
              <w:spacing w:after="0"/>
              <w:rPr>
                <w:sz w:val="3"/>
                <w:szCs w:val="3"/>
                <w:color w:val="auto"/>
              </w:rPr>
            </w:pPr>
          </w:p>
        </w:tc>
        <w:tc>
          <w:tcPr>
            <w:tcW w:w="380" w:type="dxa"/>
            <w:vAlign w:val="bottom"/>
            <w:tcBorders>
              <w:bottom w:val="single" w:sz="8" w:color="E7417A"/>
            </w:tcBorders>
          </w:tcPr>
          <w:p>
            <w:pPr>
              <w:spacing w:after="0"/>
              <w:rPr>
                <w:sz w:val="3"/>
                <w:szCs w:val="3"/>
                <w:color w:val="auto"/>
              </w:rPr>
            </w:pPr>
          </w:p>
        </w:tc>
        <w:tc>
          <w:tcPr>
            <w:tcW w:w="260" w:type="dxa"/>
            <w:vAlign w:val="bottom"/>
            <w:tcBorders>
              <w:bottom w:val="single" w:sz="8" w:color="E7417A"/>
            </w:tcBorders>
          </w:tcPr>
          <w:p>
            <w:pPr>
              <w:spacing w:after="0"/>
              <w:rPr>
                <w:sz w:val="3"/>
                <w:szCs w:val="3"/>
                <w:color w:val="auto"/>
              </w:rPr>
            </w:pPr>
          </w:p>
        </w:tc>
        <w:tc>
          <w:tcPr>
            <w:tcW w:w="640" w:type="dxa"/>
            <w:vAlign w:val="bottom"/>
            <w:tcBorders>
              <w:bottom w:val="single" w:sz="8" w:color="E7417A"/>
            </w:tcBorders>
          </w:tcPr>
          <w:p>
            <w:pPr>
              <w:spacing w:after="0"/>
              <w:rPr>
                <w:sz w:val="3"/>
                <w:szCs w:val="3"/>
                <w:color w:val="auto"/>
              </w:rPr>
            </w:pPr>
          </w:p>
        </w:tc>
        <w:tc>
          <w:tcPr>
            <w:tcW w:w="620" w:type="dxa"/>
            <w:vAlign w:val="bottom"/>
            <w:tcBorders>
              <w:bottom w:val="single" w:sz="8" w:color="E7417A"/>
            </w:tcBorders>
          </w:tcPr>
          <w:p>
            <w:pPr>
              <w:spacing w:after="0"/>
              <w:rPr>
                <w:sz w:val="3"/>
                <w:szCs w:val="3"/>
                <w:color w:val="auto"/>
              </w:rPr>
            </w:pPr>
          </w:p>
        </w:tc>
        <w:tc>
          <w:tcPr>
            <w:tcW w:w="200" w:type="dxa"/>
            <w:vAlign w:val="bottom"/>
            <w:tcBorders>
              <w:bottom w:val="single" w:sz="8" w:color="E7417A"/>
            </w:tcBorders>
          </w:tcPr>
          <w:p>
            <w:pPr>
              <w:spacing w:after="0"/>
              <w:rPr>
                <w:sz w:val="3"/>
                <w:szCs w:val="3"/>
                <w:color w:val="auto"/>
              </w:rPr>
            </w:pPr>
          </w:p>
        </w:tc>
        <w:tc>
          <w:tcPr>
            <w:tcW w:w="160" w:type="dxa"/>
            <w:vAlign w:val="bottom"/>
            <w:tcBorders>
              <w:bottom w:val="single" w:sz="8" w:color="E7417A"/>
            </w:tcBorders>
          </w:tcPr>
          <w:p>
            <w:pPr>
              <w:spacing w:after="0"/>
              <w:rPr>
                <w:sz w:val="3"/>
                <w:szCs w:val="3"/>
                <w:color w:val="auto"/>
              </w:rPr>
            </w:pPr>
          </w:p>
        </w:tc>
        <w:tc>
          <w:tcPr>
            <w:tcW w:w="1080" w:type="dxa"/>
            <w:vAlign w:val="bottom"/>
            <w:tcBorders>
              <w:bottom w:val="single" w:sz="8" w:color="E7417A"/>
            </w:tcBorders>
          </w:tcPr>
          <w:p>
            <w:pPr>
              <w:spacing w:after="0"/>
              <w:rPr>
                <w:sz w:val="3"/>
                <w:szCs w:val="3"/>
                <w:color w:val="auto"/>
              </w:rPr>
            </w:pPr>
          </w:p>
        </w:tc>
        <w:tc>
          <w:tcPr>
            <w:tcW w:w="100" w:type="dxa"/>
            <w:vAlign w:val="bottom"/>
            <w:tcBorders>
              <w:bottom w:val="single" w:sz="8" w:color="E7417A"/>
            </w:tcBorders>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40" w:type="dxa"/>
            <w:vAlign w:val="bottom"/>
            <w:tcBorders>
              <w:bottom w:val="single" w:sz="8" w:color="E7417A"/>
            </w:tcBorders>
          </w:tcPr>
          <w:p>
            <w:pPr>
              <w:spacing w:after="0"/>
              <w:rPr>
                <w:sz w:val="24"/>
                <w:szCs w:val="24"/>
                <w:color w:val="auto"/>
              </w:rPr>
            </w:pPr>
          </w:p>
        </w:tc>
        <w:tc>
          <w:tcPr>
            <w:tcW w:w="1800" w:type="dxa"/>
            <w:vAlign w:val="bottom"/>
            <w:tcBorders>
              <w:bottom w:val="single" w:sz="8" w:color="E7417A"/>
            </w:tcBorders>
            <w:gridSpan w:val="3"/>
          </w:tcPr>
          <w:p>
            <w:pPr>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Bruns H. Grayson  </w:t>
            </w:r>
          </w:p>
        </w:tc>
        <w:tc>
          <w:tcPr>
            <w:tcW w:w="240" w:type="dxa"/>
            <w:vAlign w:val="bottom"/>
            <w:tcBorders>
              <w:bottom w:val="single" w:sz="8" w:color="E7417A"/>
            </w:tcBorders>
          </w:tcPr>
          <w:p>
            <w:pPr>
              <w:spacing w:after="0"/>
              <w:rPr>
                <w:sz w:val="24"/>
                <w:szCs w:val="24"/>
                <w:color w:val="auto"/>
              </w:rPr>
            </w:pPr>
          </w:p>
        </w:tc>
        <w:tc>
          <w:tcPr>
            <w:tcW w:w="30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7417A"/>
            </w:tcBorders>
          </w:tcPr>
          <w:p>
            <w:pPr>
              <w:spacing w:after="0"/>
              <w:rPr>
                <w:sz w:val="24"/>
                <w:szCs w:val="24"/>
                <w:color w:val="auto"/>
              </w:rPr>
            </w:pPr>
          </w:p>
        </w:tc>
        <w:tc>
          <w:tcPr>
            <w:tcW w:w="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7417A"/>
            </w:tcBorders>
          </w:tcPr>
          <w:p>
            <w:pPr>
              <w:jc w:val="right"/>
              <w:ind w:right="14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7417A"/>
            </w:tcBorders>
          </w:tcPr>
          <w:p>
            <w:pPr>
              <w:spacing w:after="0"/>
              <w:rPr>
                <w:sz w:val="24"/>
                <w:szCs w:val="24"/>
                <w:color w:val="auto"/>
              </w:rPr>
            </w:pPr>
          </w:p>
        </w:tc>
        <w:tc>
          <w:tcPr>
            <w:tcW w:w="360" w:type="dxa"/>
            <w:vAlign w:val="bottom"/>
            <w:tcBorders>
              <w:bottom w:val="single" w:sz="8" w:color="E7417A"/>
            </w:tcBorders>
          </w:tcPr>
          <w:p>
            <w:pPr>
              <w:spacing w:after="0"/>
              <w:rPr>
                <w:sz w:val="24"/>
                <w:szCs w:val="24"/>
                <w:color w:val="auto"/>
              </w:rPr>
            </w:pPr>
          </w:p>
        </w:tc>
        <w:tc>
          <w:tcPr>
            <w:tcW w:w="120" w:type="dxa"/>
            <w:vAlign w:val="bottom"/>
            <w:tcBorders>
              <w:bottom w:val="single" w:sz="8" w:color="E7417A"/>
            </w:tcBorders>
          </w:tcPr>
          <w:p>
            <w:pPr>
              <w:spacing w:after="0"/>
              <w:rPr>
                <w:sz w:val="24"/>
                <w:szCs w:val="24"/>
                <w:color w:val="auto"/>
              </w:rPr>
            </w:pPr>
          </w:p>
        </w:tc>
        <w:tc>
          <w:tcPr>
            <w:tcW w:w="380" w:type="dxa"/>
            <w:vAlign w:val="bottom"/>
            <w:tcBorders>
              <w:bottom w:val="single" w:sz="8" w:color="E7417A"/>
            </w:tcBorders>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7417A"/>
            </w:tcBorders>
          </w:tcPr>
          <w:p>
            <w:pPr>
              <w:spacing w:after="0"/>
              <w:rPr>
                <w:sz w:val="24"/>
                <w:szCs w:val="24"/>
                <w:color w:val="auto"/>
              </w:rPr>
            </w:pPr>
          </w:p>
        </w:tc>
        <w:tc>
          <w:tcPr>
            <w:tcW w:w="620" w:type="dxa"/>
            <w:vAlign w:val="bottom"/>
            <w:tcBorders>
              <w:bottom w:val="single" w:sz="8" w:color="E7417A"/>
            </w:tcBorders>
          </w:tcPr>
          <w:p>
            <w:pPr>
              <w:spacing w:after="0"/>
              <w:rPr>
                <w:sz w:val="24"/>
                <w:szCs w:val="24"/>
                <w:color w:val="auto"/>
              </w:rPr>
            </w:pPr>
          </w:p>
        </w:tc>
        <w:tc>
          <w:tcPr>
            <w:tcW w:w="2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7417A"/>
            </w:tcBorders>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6"/>
                <w:szCs w:val="16"/>
                <w:color w:val="auto"/>
              </w:rPr>
              <w:t>​Beatriz V. Infante</w:t>
            </w:r>
          </w:p>
        </w:tc>
        <w:tc>
          <w:tcPr>
            <w:tcW w:w="2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ind w:right="201"/>
              <w:spacing w:after="0"/>
              <w:rPr>
                <w:sz w:val="20"/>
                <w:szCs w:val="20"/>
                <w:color w:val="auto"/>
              </w:rPr>
            </w:pPr>
            <w:r>
              <w:rPr>
                <w:rFonts w:ascii="Arial" w:cs="Arial" w:eastAsia="Arial" w:hAnsi="Arial"/>
                <w:sz w:val="16"/>
                <w:szCs w:val="16"/>
                <w:color w:val="auto"/>
              </w:rPr>
              <w:t> </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40" w:type="dxa"/>
            <w:vAlign w:val="bottom"/>
            <w:tcBorders>
              <w:bottom w:val="single" w:sz="8" w:color="E7417A"/>
            </w:tcBorders>
          </w:tcPr>
          <w:p>
            <w:pPr>
              <w:spacing w:after="0"/>
              <w:rPr>
                <w:sz w:val="2"/>
                <w:szCs w:val="2"/>
                <w:color w:val="auto"/>
              </w:rPr>
            </w:pPr>
          </w:p>
        </w:tc>
        <w:tc>
          <w:tcPr>
            <w:tcW w:w="1800" w:type="dxa"/>
            <w:vAlign w:val="bottom"/>
            <w:tcBorders>
              <w:bottom w:val="single" w:sz="8" w:color="E7417A"/>
            </w:tcBorders>
            <w:gridSpan w:val="3"/>
          </w:tcPr>
          <w:p>
            <w:pPr>
              <w:spacing w:after="0"/>
              <w:rPr>
                <w:sz w:val="2"/>
                <w:szCs w:val="2"/>
                <w:color w:val="auto"/>
              </w:rPr>
            </w:pPr>
          </w:p>
        </w:tc>
        <w:tc>
          <w:tcPr>
            <w:tcW w:w="240" w:type="dxa"/>
            <w:vAlign w:val="bottom"/>
            <w:tcBorders>
              <w:bottom w:val="single" w:sz="8" w:color="E7417A"/>
            </w:tcBorders>
          </w:tcPr>
          <w:p>
            <w:pPr>
              <w:spacing w:after="0"/>
              <w:rPr>
                <w:sz w:val="2"/>
                <w:szCs w:val="2"/>
                <w:color w:val="auto"/>
              </w:rPr>
            </w:pPr>
          </w:p>
        </w:tc>
        <w:tc>
          <w:tcPr>
            <w:tcW w:w="300" w:type="dxa"/>
            <w:vAlign w:val="bottom"/>
            <w:tcBorders>
              <w:bottom w:val="single" w:sz="8" w:color="E7417A"/>
            </w:tcBorders>
          </w:tcPr>
          <w:p>
            <w:pPr>
              <w:spacing w:after="0"/>
              <w:rPr>
                <w:sz w:val="2"/>
                <w:szCs w:val="2"/>
                <w:color w:val="auto"/>
              </w:rPr>
            </w:pPr>
          </w:p>
        </w:tc>
        <w:tc>
          <w:tcPr>
            <w:tcW w:w="480" w:type="dxa"/>
            <w:vAlign w:val="bottom"/>
            <w:tcBorders>
              <w:bottom w:val="single" w:sz="8" w:color="E7417A"/>
            </w:tcBorders>
          </w:tcPr>
          <w:p>
            <w:pPr>
              <w:spacing w:after="0"/>
              <w:rPr>
                <w:sz w:val="2"/>
                <w:szCs w:val="2"/>
                <w:color w:val="auto"/>
              </w:rPr>
            </w:pPr>
          </w:p>
        </w:tc>
        <w:tc>
          <w:tcPr>
            <w:tcW w:w="600" w:type="dxa"/>
            <w:vAlign w:val="bottom"/>
            <w:tcBorders>
              <w:bottom w:val="single" w:sz="8" w:color="E7417A"/>
            </w:tcBorders>
          </w:tcPr>
          <w:p>
            <w:pPr>
              <w:spacing w:after="0"/>
              <w:rPr>
                <w:sz w:val="2"/>
                <w:szCs w:val="2"/>
                <w:color w:val="auto"/>
              </w:rPr>
            </w:pPr>
          </w:p>
        </w:tc>
        <w:tc>
          <w:tcPr>
            <w:tcW w:w="140" w:type="dxa"/>
            <w:vAlign w:val="bottom"/>
            <w:tcBorders>
              <w:bottom w:val="single" w:sz="8" w:color="E7417A"/>
            </w:tcBorders>
          </w:tcPr>
          <w:p>
            <w:pPr>
              <w:spacing w:after="0"/>
              <w:rPr>
                <w:sz w:val="2"/>
                <w:szCs w:val="2"/>
                <w:color w:val="auto"/>
              </w:rPr>
            </w:pPr>
          </w:p>
        </w:tc>
        <w:tc>
          <w:tcPr>
            <w:tcW w:w="100" w:type="dxa"/>
            <w:vAlign w:val="bottom"/>
            <w:tcBorders>
              <w:bottom w:val="single" w:sz="8" w:color="E7417A"/>
            </w:tcBorders>
          </w:tcPr>
          <w:p>
            <w:pPr>
              <w:spacing w:after="0"/>
              <w:rPr>
                <w:sz w:val="2"/>
                <w:szCs w:val="2"/>
                <w:color w:val="auto"/>
              </w:rPr>
            </w:pPr>
          </w:p>
        </w:tc>
        <w:tc>
          <w:tcPr>
            <w:tcW w:w="540" w:type="dxa"/>
            <w:vAlign w:val="bottom"/>
            <w:tcBorders>
              <w:bottom w:val="single" w:sz="8" w:color="E7417A"/>
            </w:tcBorders>
          </w:tcPr>
          <w:p>
            <w:pPr>
              <w:spacing w:after="0"/>
              <w:rPr>
                <w:sz w:val="2"/>
                <w:szCs w:val="2"/>
                <w:color w:val="auto"/>
              </w:rPr>
            </w:pPr>
          </w:p>
        </w:tc>
        <w:tc>
          <w:tcPr>
            <w:tcW w:w="180" w:type="dxa"/>
            <w:vAlign w:val="bottom"/>
            <w:tcBorders>
              <w:bottom w:val="single" w:sz="8" w:color="E7417A"/>
            </w:tcBorders>
          </w:tcPr>
          <w:p>
            <w:pPr>
              <w:spacing w:after="0"/>
              <w:rPr>
                <w:sz w:val="2"/>
                <w:szCs w:val="2"/>
                <w:color w:val="auto"/>
              </w:rPr>
            </w:pPr>
          </w:p>
        </w:tc>
        <w:tc>
          <w:tcPr>
            <w:tcW w:w="160" w:type="dxa"/>
            <w:vAlign w:val="bottom"/>
            <w:tcBorders>
              <w:bottom w:val="single" w:sz="8" w:color="E7417A"/>
            </w:tcBorders>
          </w:tcPr>
          <w:p>
            <w:pPr>
              <w:spacing w:after="0"/>
              <w:rPr>
                <w:sz w:val="2"/>
                <w:szCs w:val="2"/>
                <w:color w:val="auto"/>
              </w:rPr>
            </w:pPr>
          </w:p>
        </w:tc>
        <w:tc>
          <w:tcPr>
            <w:tcW w:w="360" w:type="dxa"/>
            <w:vAlign w:val="bottom"/>
            <w:tcBorders>
              <w:bottom w:val="single" w:sz="8" w:color="E7417A"/>
            </w:tcBorders>
          </w:tcPr>
          <w:p>
            <w:pPr>
              <w:spacing w:after="0"/>
              <w:rPr>
                <w:sz w:val="2"/>
                <w:szCs w:val="2"/>
                <w:color w:val="auto"/>
              </w:rPr>
            </w:pPr>
          </w:p>
        </w:tc>
        <w:tc>
          <w:tcPr>
            <w:tcW w:w="360" w:type="dxa"/>
            <w:vAlign w:val="bottom"/>
            <w:tcBorders>
              <w:bottom w:val="single" w:sz="8" w:color="E7417A"/>
            </w:tcBorders>
          </w:tcPr>
          <w:p>
            <w:pPr>
              <w:spacing w:after="0"/>
              <w:rPr>
                <w:sz w:val="2"/>
                <w:szCs w:val="2"/>
                <w:color w:val="auto"/>
              </w:rPr>
            </w:pPr>
          </w:p>
        </w:tc>
        <w:tc>
          <w:tcPr>
            <w:tcW w:w="120" w:type="dxa"/>
            <w:vAlign w:val="bottom"/>
            <w:tcBorders>
              <w:bottom w:val="single" w:sz="8" w:color="E7417A"/>
            </w:tcBorders>
          </w:tcPr>
          <w:p>
            <w:pPr>
              <w:spacing w:after="0"/>
              <w:rPr>
                <w:sz w:val="2"/>
                <w:szCs w:val="2"/>
                <w:color w:val="auto"/>
              </w:rPr>
            </w:pPr>
          </w:p>
        </w:tc>
        <w:tc>
          <w:tcPr>
            <w:tcW w:w="380" w:type="dxa"/>
            <w:vAlign w:val="bottom"/>
            <w:tcBorders>
              <w:bottom w:val="single" w:sz="8" w:color="E7417A"/>
            </w:tcBorders>
          </w:tcPr>
          <w:p>
            <w:pPr>
              <w:spacing w:after="0"/>
              <w:rPr>
                <w:sz w:val="2"/>
                <w:szCs w:val="2"/>
                <w:color w:val="auto"/>
              </w:rPr>
            </w:pPr>
          </w:p>
        </w:tc>
        <w:tc>
          <w:tcPr>
            <w:tcW w:w="260" w:type="dxa"/>
            <w:vAlign w:val="bottom"/>
            <w:tcBorders>
              <w:bottom w:val="single" w:sz="8" w:color="E7417A"/>
            </w:tcBorders>
          </w:tcPr>
          <w:p>
            <w:pPr>
              <w:spacing w:after="0"/>
              <w:rPr>
                <w:sz w:val="2"/>
                <w:szCs w:val="2"/>
                <w:color w:val="auto"/>
              </w:rPr>
            </w:pPr>
          </w:p>
        </w:tc>
        <w:tc>
          <w:tcPr>
            <w:tcW w:w="640" w:type="dxa"/>
            <w:vAlign w:val="bottom"/>
            <w:tcBorders>
              <w:bottom w:val="single" w:sz="8" w:color="E7417A"/>
            </w:tcBorders>
          </w:tcPr>
          <w:p>
            <w:pPr>
              <w:spacing w:after="0"/>
              <w:rPr>
                <w:sz w:val="2"/>
                <w:szCs w:val="2"/>
                <w:color w:val="auto"/>
              </w:rPr>
            </w:pPr>
          </w:p>
        </w:tc>
        <w:tc>
          <w:tcPr>
            <w:tcW w:w="620" w:type="dxa"/>
            <w:vAlign w:val="bottom"/>
            <w:tcBorders>
              <w:bottom w:val="single" w:sz="8" w:color="E7417A"/>
            </w:tcBorders>
          </w:tcPr>
          <w:p>
            <w:pPr>
              <w:spacing w:after="0"/>
              <w:rPr>
                <w:sz w:val="2"/>
                <w:szCs w:val="2"/>
                <w:color w:val="auto"/>
              </w:rPr>
            </w:pPr>
          </w:p>
        </w:tc>
        <w:tc>
          <w:tcPr>
            <w:tcW w:w="200" w:type="dxa"/>
            <w:vAlign w:val="bottom"/>
            <w:tcBorders>
              <w:bottom w:val="single" w:sz="8" w:color="E7417A"/>
            </w:tcBorders>
          </w:tcPr>
          <w:p>
            <w:pPr>
              <w:spacing w:after="0"/>
              <w:rPr>
                <w:sz w:val="2"/>
                <w:szCs w:val="2"/>
                <w:color w:val="auto"/>
              </w:rPr>
            </w:pPr>
          </w:p>
        </w:tc>
        <w:tc>
          <w:tcPr>
            <w:tcW w:w="160" w:type="dxa"/>
            <w:vAlign w:val="bottom"/>
            <w:tcBorders>
              <w:bottom w:val="single" w:sz="8" w:color="E7417A"/>
            </w:tcBorders>
          </w:tcPr>
          <w:p>
            <w:pPr>
              <w:spacing w:after="0"/>
              <w:rPr>
                <w:sz w:val="2"/>
                <w:szCs w:val="2"/>
                <w:color w:val="auto"/>
              </w:rPr>
            </w:pPr>
          </w:p>
        </w:tc>
        <w:tc>
          <w:tcPr>
            <w:tcW w:w="1080" w:type="dxa"/>
            <w:vAlign w:val="bottom"/>
            <w:tcBorders>
              <w:bottom w:val="single" w:sz="8" w:color="E7417A"/>
            </w:tcBorders>
          </w:tcPr>
          <w:p>
            <w:pPr>
              <w:spacing w:after="0"/>
              <w:rPr>
                <w:sz w:val="2"/>
                <w:szCs w:val="2"/>
                <w:color w:val="auto"/>
              </w:rPr>
            </w:pPr>
          </w:p>
        </w:tc>
        <w:tc>
          <w:tcPr>
            <w:tcW w:w="100" w:type="dxa"/>
            <w:vAlign w:val="bottom"/>
            <w:tcBorders>
              <w:bottom w:val="single" w:sz="8" w:color="E7417A"/>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6"/>
                <w:szCs w:val="16"/>
                <w:color w:val="auto"/>
              </w:rPr>
              <w:t>​Bruce W. McClelland</w:t>
            </w:r>
          </w:p>
        </w:tc>
        <w:tc>
          <w:tcPr>
            <w:tcW w:w="2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ind w:left="10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40" w:type="dxa"/>
            <w:vAlign w:val="bottom"/>
            <w:tcBorders>
              <w:bottom w:val="single" w:sz="8" w:color="E7417A"/>
            </w:tcBorders>
          </w:tcPr>
          <w:p>
            <w:pPr>
              <w:spacing w:after="0"/>
              <w:rPr>
                <w:sz w:val="8"/>
                <w:szCs w:val="8"/>
                <w:color w:val="auto"/>
              </w:rPr>
            </w:pPr>
          </w:p>
        </w:tc>
        <w:tc>
          <w:tcPr>
            <w:tcW w:w="1240" w:type="dxa"/>
            <w:vAlign w:val="bottom"/>
            <w:tcBorders>
              <w:bottom w:val="single" w:sz="8" w:color="E7417A"/>
            </w:tcBorders>
            <w:gridSpan w:val="2"/>
          </w:tcPr>
          <w:p>
            <w:pPr>
              <w:spacing w:after="0"/>
              <w:rPr>
                <w:sz w:val="8"/>
                <w:szCs w:val="8"/>
                <w:color w:val="auto"/>
              </w:rPr>
            </w:pPr>
          </w:p>
        </w:tc>
        <w:tc>
          <w:tcPr>
            <w:tcW w:w="560" w:type="dxa"/>
            <w:vAlign w:val="bottom"/>
            <w:tcBorders>
              <w:bottom w:val="single" w:sz="8" w:color="E7417A"/>
            </w:tcBorders>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300" w:type="dxa"/>
            <w:vAlign w:val="bottom"/>
            <w:tcBorders>
              <w:bottom w:val="single" w:sz="8" w:color="E7417A"/>
            </w:tcBorders>
          </w:tcPr>
          <w:p>
            <w:pPr>
              <w:spacing w:after="0"/>
              <w:rPr>
                <w:sz w:val="8"/>
                <w:szCs w:val="8"/>
                <w:color w:val="auto"/>
              </w:rPr>
            </w:pPr>
          </w:p>
        </w:tc>
        <w:tc>
          <w:tcPr>
            <w:tcW w:w="480" w:type="dxa"/>
            <w:vAlign w:val="bottom"/>
            <w:tcBorders>
              <w:bottom w:val="single" w:sz="8" w:color="E7417A"/>
            </w:tcBorders>
          </w:tcPr>
          <w:p>
            <w:pPr>
              <w:spacing w:after="0"/>
              <w:rPr>
                <w:sz w:val="8"/>
                <w:szCs w:val="8"/>
                <w:color w:val="auto"/>
              </w:rPr>
            </w:pPr>
          </w:p>
        </w:tc>
        <w:tc>
          <w:tcPr>
            <w:tcW w:w="600" w:type="dxa"/>
            <w:vAlign w:val="bottom"/>
            <w:tcBorders>
              <w:bottom w:val="single" w:sz="8" w:color="E7417A"/>
            </w:tcBorders>
          </w:tcPr>
          <w:p>
            <w:pPr>
              <w:spacing w:after="0"/>
              <w:rPr>
                <w:sz w:val="8"/>
                <w:szCs w:val="8"/>
                <w:color w:val="auto"/>
              </w:rPr>
            </w:pPr>
          </w:p>
        </w:tc>
        <w:tc>
          <w:tcPr>
            <w:tcW w:w="14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540" w:type="dxa"/>
            <w:vAlign w:val="bottom"/>
            <w:tcBorders>
              <w:bottom w:val="single" w:sz="8" w:color="E7417A"/>
            </w:tcBorders>
          </w:tcPr>
          <w:p>
            <w:pPr>
              <w:spacing w:after="0"/>
              <w:rPr>
                <w:sz w:val="8"/>
                <w:szCs w:val="8"/>
                <w:color w:val="auto"/>
              </w:rPr>
            </w:pPr>
          </w:p>
        </w:tc>
        <w:tc>
          <w:tcPr>
            <w:tcW w:w="180" w:type="dxa"/>
            <w:vAlign w:val="bottom"/>
            <w:tcBorders>
              <w:bottom w:val="single" w:sz="8" w:color="E7417A"/>
            </w:tcBorders>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360" w:type="dxa"/>
            <w:vAlign w:val="bottom"/>
            <w:tcBorders>
              <w:bottom w:val="single" w:sz="8" w:color="E7417A"/>
            </w:tcBorders>
          </w:tcPr>
          <w:p>
            <w:pPr>
              <w:spacing w:after="0"/>
              <w:rPr>
                <w:sz w:val="8"/>
                <w:szCs w:val="8"/>
                <w:color w:val="auto"/>
              </w:rPr>
            </w:pPr>
          </w:p>
        </w:tc>
        <w:tc>
          <w:tcPr>
            <w:tcW w:w="360" w:type="dxa"/>
            <w:vAlign w:val="bottom"/>
            <w:tcBorders>
              <w:bottom w:val="single" w:sz="8" w:color="E7417A"/>
            </w:tcBorders>
          </w:tcPr>
          <w:p>
            <w:pPr>
              <w:spacing w:after="0"/>
              <w:rPr>
                <w:sz w:val="8"/>
                <w:szCs w:val="8"/>
                <w:color w:val="auto"/>
              </w:rPr>
            </w:pPr>
          </w:p>
        </w:tc>
        <w:tc>
          <w:tcPr>
            <w:tcW w:w="120" w:type="dxa"/>
            <w:vAlign w:val="bottom"/>
            <w:tcBorders>
              <w:bottom w:val="single" w:sz="8" w:color="E7417A"/>
            </w:tcBorders>
          </w:tcPr>
          <w:p>
            <w:pPr>
              <w:spacing w:after="0"/>
              <w:rPr>
                <w:sz w:val="8"/>
                <w:szCs w:val="8"/>
                <w:color w:val="auto"/>
              </w:rPr>
            </w:pPr>
          </w:p>
        </w:tc>
        <w:tc>
          <w:tcPr>
            <w:tcW w:w="380" w:type="dxa"/>
            <w:vAlign w:val="bottom"/>
            <w:tcBorders>
              <w:bottom w:val="single" w:sz="8" w:color="E7417A"/>
            </w:tcBorders>
          </w:tcPr>
          <w:p>
            <w:pPr>
              <w:spacing w:after="0"/>
              <w:rPr>
                <w:sz w:val="8"/>
                <w:szCs w:val="8"/>
                <w:color w:val="auto"/>
              </w:rPr>
            </w:pPr>
          </w:p>
        </w:tc>
        <w:tc>
          <w:tcPr>
            <w:tcW w:w="260" w:type="dxa"/>
            <w:vAlign w:val="bottom"/>
            <w:tcBorders>
              <w:bottom w:val="single" w:sz="8" w:color="E7417A"/>
            </w:tcBorders>
          </w:tcPr>
          <w:p>
            <w:pPr>
              <w:spacing w:after="0"/>
              <w:rPr>
                <w:sz w:val="8"/>
                <w:szCs w:val="8"/>
                <w:color w:val="auto"/>
              </w:rPr>
            </w:pPr>
          </w:p>
        </w:tc>
        <w:tc>
          <w:tcPr>
            <w:tcW w:w="640" w:type="dxa"/>
            <w:vAlign w:val="bottom"/>
            <w:tcBorders>
              <w:bottom w:val="single" w:sz="8" w:color="E7417A"/>
            </w:tcBorders>
          </w:tcPr>
          <w:p>
            <w:pPr>
              <w:spacing w:after="0"/>
              <w:rPr>
                <w:sz w:val="8"/>
                <w:szCs w:val="8"/>
                <w:color w:val="auto"/>
              </w:rPr>
            </w:pPr>
          </w:p>
        </w:tc>
        <w:tc>
          <w:tcPr>
            <w:tcW w:w="620" w:type="dxa"/>
            <w:vAlign w:val="bottom"/>
            <w:tcBorders>
              <w:bottom w:val="single" w:sz="8" w:color="E7417A"/>
            </w:tcBorders>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108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auto"/>
              </w:rPr>
              <w:t>​Scott Mair</w:t>
            </w: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3"/>
                <w:szCs w:val="23"/>
                <w:color w:val="auto"/>
              </w:rPr>
            </w:pP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3"/>
        </w:trPr>
        <w:tc>
          <w:tcPr>
            <w:tcW w:w="40" w:type="dxa"/>
            <w:vAlign w:val="bottom"/>
            <w:tcBorders>
              <w:bottom w:val="single" w:sz="8" w:color="E7417A"/>
            </w:tcBorders>
          </w:tcPr>
          <w:p>
            <w:pPr>
              <w:spacing w:after="0"/>
              <w:rPr>
                <w:sz w:val="7"/>
                <w:szCs w:val="7"/>
                <w:color w:val="auto"/>
              </w:rPr>
            </w:pPr>
          </w:p>
        </w:tc>
        <w:tc>
          <w:tcPr>
            <w:tcW w:w="1240" w:type="dxa"/>
            <w:vAlign w:val="bottom"/>
            <w:tcBorders>
              <w:bottom w:val="single" w:sz="8" w:color="E7417A"/>
            </w:tcBorders>
            <w:gridSpan w:val="2"/>
          </w:tcPr>
          <w:p>
            <w:pPr>
              <w:spacing w:after="0"/>
              <w:rPr>
                <w:sz w:val="7"/>
                <w:szCs w:val="7"/>
                <w:color w:val="auto"/>
              </w:rPr>
            </w:pPr>
          </w:p>
        </w:tc>
        <w:tc>
          <w:tcPr>
            <w:tcW w:w="560" w:type="dxa"/>
            <w:vAlign w:val="bottom"/>
            <w:tcBorders>
              <w:bottom w:val="single" w:sz="8" w:color="E7417A"/>
            </w:tcBorders>
          </w:tcPr>
          <w:p>
            <w:pPr>
              <w:spacing w:after="0"/>
              <w:rPr>
                <w:sz w:val="7"/>
                <w:szCs w:val="7"/>
                <w:color w:val="auto"/>
              </w:rPr>
            </w:pPr>
          </w:p>
        </w:tc>
        <w:tc>
          <w:tcPr>
            <w:tcW w:w="240" w:type="dxa"/>
            <w:vAlign w:val="bottom"/>
            <w:tcBorders>
              <w:bottom w:val="single" w:sz="8" w:color="E7417A"/>
            </w:tcBorders>
          </w:tcPr>
          <w:p>
            <w:pPr>
              <w:spacing w:after="0"/>
              <w:rPr>
                <w:sz w:val="7"/>
                <w:szCs w:val="7"/>
                <w:color w:val="auto"/>
              </w:rPr>
            </w:pPr>
          </w:p>
        </w:tc>
        <w:tc>
          <w:tcPr>
            <w:tcW w:w="300" w:type="dxa"/>
            <w:vAlign w:val="bottom"/>
            <w:tcBorders>
              <w:bottom w:val="single" w:sz="8" w:color="E7417A"/>
            </w:tcBorders>
          </w:tcPr>
          <w:p>
            <w:pPr>
              <w:spacing w:after="0"/>
              <w:rPr>
                <w:sz w:val="7"/>
                <w:szCs w:val="7"/>
                <w:color w:val="auto"/>
              </w:rPr>
            </w:pPr>
          </w:p>
        </w:tc>
        <w:tc>
          <w:tcPr>
            <w:tcW w:w="480" w:type="dxa"/>
            <w:vAlign w:val="bottom"/>
            <w:tcBorders>
              <w:bottom w:val="single" w:sz="8" w:color="E7417A"/>
            </w:tcBorders>
          </w:tcPr>
          <w:p>
            <w:pPr>
              <w:spacing w:after="0"/>
              <w:rPr>
                <w:sz w:val="7"/>
                <w:szCs w:val="7"/>
                <w:color w:val="auto"/>
              </w:rPr>
            </w:pPr>
          </w:p>
        </w:tc>
        <w:tc>
          <w:tcPr>
            <w:tcW w:w="600" w:type="dxa"/>
            <w:vAlign w:val="bottom"/>
            <w:tcBorders>
              <w:bottom w:val="single" w:sz="8" w:color="E7417A"/>
            </w:tcBorders>
          </w:tcPr>
          <w:p>
            <w:pPr>
              <w:spacing w:after="0"/>
              <w:rPr>
                <w:sz w:val="7"/>
                <w:szCs w:val="7"/>
                <w:color w:val="auto"/>
              </w:rPr>
            </w:pPr>
          </w:p>
        </w:tc>
        <w:tc>
          <w:tcPr>
            <w:tcW w:w="140" w:type="dxa"/>
            <w:vAlign w:val="bottom"/>
            <w:tcBorders>
              <w:bottom w:val="single" w:sz="8" w:color="E7417A"/>
            </w:tcBorders>
          </w:tcPr>
          <w:p>
            <w:pPr>
              <w:spacing w:after="0"/>
              <w:rPr>
                <w:sz w:val="7"/>
                <w:szCs w:val="7"/>
                <w:color w:val="auto"/>
              </w:rPr>
            </w:pPr>
          </w:p>
        </w:tc>
        <w:tc>
          <w:tcPr>
            <w:tcW w:w="100" w:type="dxa"/>
            <w:vAlign w:val="bottom"/>
            <w:tcBorders>
              <w:bottom w:val="single" w:sz="8" w:color="E7417A"/>
            </w:tcBorders>
          </w:tcPr>
          <w:p>
            <w:pPr>
              <w:spacing w:after="0"/>
              <w:rPr>
                <w:sz w:val="7"/>
                <w:szCs w:val="7"/>
                <w:color w:val="auto"/>
              </w:rPr>
            </w:pPr>
          </w:p>
        </w:tc>
        <w:tc>
          <w:tcPr>
            <w:tcW w:w="540" w:type="dxa"/>
            <w:vAlign w:val="bottom"/>
            <w:tcBorders>
              <w:bottom w:val="single" w:sz="8" w:color="E7417A"/>
            </w:tcBorders>
          </w:tcPr>
          <w:p>
            <w:pPr>
              <w:spacing w:after="0"/>
              <w:rPr>
                <w:sz w:val="7"/>
                <w:szCs w:val="7"/>
                <w:color w:val="auto"/>
              </w:rPr>
            </w:pPr>
          </w:p>
        </w:tc>
        <w:tc>
          <w:tcPr>
            <w:tcW w:w="180" w:type="dxa"/>
            <w:vAlign w:val="bottom"/>
            <w:tcBorders>
              <w:bottom w:val="single" w:sz="8" w:color="E7417A"/>
            </w:tcBorders>
          </w:tcPr>
          <w:p>
            <w:pPr>
              <w:spacing w:after="0"/>
              <w:rPr>
                <w:sz w:val="7"/>
                <w:szCs w:val="7"/>
                <w:color w:val="auto"/>
              </w:rPr>
            </w:pPr>
          </w:p>
        </w:tc>
        <w:tc>
          <w:tcPr>
            <w:tcW w:w="160" w:type="dxa"/>
            <w:vAlign w:val="bottom"/>
            <w:tcBorders>
              <w:bottom w:val="single" w:sz="8" w:color="E7417A"/>
            </w:tcBorders>
          </w:tcPr>
          <w:p>
            <w:pPr>
              <w:spacing w:after="0"/>
              <w:rPr>
                <w:sz w:val="7"/>
                <w:szCs w:val="7"/>
                <w:color w:val="auto"/>
              </w:rPr>
            </w:pPr>
          </w:p>
        </w:tc>
        <w:tc>
          <w:tcPr>
            <w:tcW w:w="360" w:type="dxa"/>
            <w:vAlign w:val="bottom"/>
            <w:tcBorders>
              <w:bottom w:val="single" w:sz="8" w:color="E7417A"/>
            </w:tcBorders>
          </w:tcPr>
          <w:p>
            <w:pPr>
              <w:spacing w:after="0"/>
              <w:rPr>
                <w:sz w:val="7"/>
                <w:szCs w:val="7"/>
                <w:color w:val="auto"/>
              </w:rPr>
            </w:pPr>
          </w:p>
        </w:tc>
        <w:tc>
          <w:tcPr>
            <w:tcW w:w="360" w:type="dxa"/>
            <w:vAlign w:val="bottom"/>
            <w:tcBorders>
              <w:bottom w:val="single" w:sz="8" w:color="E7417A"/>
            </w:tcBorders>
          </w:tcPr>
          <w:p>
            <w:pPr>
              <w:spacing w:after="0"/>
              <w:rPr>
                <w:sz w:val="7"/>
                <w:szCs w:val="7"/>
                <w:color w:val="auto"/>
              </w:rPr>
            </w:pPr>
          </w:p>
        </w:tc>
        <w:tc>
          <w:tcPr>
            <w:tcW w:w="120" w:type="dxa"/>
            <w:vAlign w:val="bottom"/>
            <w:tcBorders>
              <w:bottom w:val="single" w:sz="8" w:color="E7417A"/>
            </w:tcBorders>
          </w:tcPr>
          <w:p>
            <w:pPr>
              <w:spacing w:after="0"/>
              <w:rPr>
                <w:sz w:val="7"/>
                <w:szCs w:val="7"/>
                <w:color w:val="auto"/>
              </w:rPr>
            </w:pPr>
          </w:p>
        </w:tc>
        <w:tc>
          <w:tcPr>
            <w:tcW w:w="380" w:type="dxa"/>
            <w:vAlign w:val="bottom"/>
            <w:tcBorders>
              <w:bottom w:val="single" w:sz="8" w:color="E7417A"/>
            </w:tcBorders>
          </w:tcPr>
          <w:p>
            <w:pPr>
              <w:spacing w:after="0"/>
              <w:rPr>
                <w:sz w:val="7"/>
                <w:szCs w:val="7"/>
                <w:color w:val="auto"/>
              </w:rPr>
            </w:pPr>
          </w:p>
        </w:tc>
        <w:tc>
          <w:tcPr>
            <w:tcW w:w="260" w:type="dxa"/>
            <w:vAlign w:val="bottom"/>
            <w:tcBorders>
              <w:bottom w:val="single" w:sz="8" w:color="E7417A"/>
            </w:tcBorders>
          </w:tcPr>
          <w:p>
            <w:pPr>
              <w:spacing w:after="0"/>
              <w:rPr>
                <w:sz w:val="7"/>
                <w:szCs w:val="7"/>
                <w:color w:val="auto"/>
              </w:rPr>
            </w:pPr>
          </w:p>
        </w:tc>
        <w:tc>
          <w:tcPr>
            <w:tcW w:w="640" w:type="dxa"/>
            <w:vAlign w:val="bottom"/>
            <w:tcBorders>
              <w:bottom w:val="single" w:sz="8" w:color="E7417A"/>
            </w:tcBorders>
          </w:tcPr>
          <w:p>
            <w:pPr>
              <w:spacing w:after="0"/>
              <w:rPr>
                <w:sz w:val="7"/>
                <w:szCs w:val="7"/>
                <w:color w:val="auto"/>
              </w:rPr>
            </w:pPr>
          </w:p>
        </w:tc>
        <w:tc>
          <w:tcPr>
            <w:tcW w:w="620" w:type="dxa"/>
            <w:vAlign w:val="bottom"/>
            <w:tcBorders>
              <w:bottom w:val="single" w:sz="8" w:color="E7417A"/>
            </w:tcBorders>
          </w:tcPr>
          <w:p>
            <w:pPr>
              <w:spacing w:after="0"/>
              <w:rPr>
                <w:sz w:val="7"/>
                <w:szCs w:val="7"/>
                <w:color w:val="auto"/>
              </w:rPr>
            </w:pPr>
          </w:p>
        </w:tc>
        <w:tc>
          <w:tcPr>
            <w:tcW w:w="200" w:type="dxa"/>
            <w:vAlign w:val="bottom"/>
            <w:tcBorders>
              <w:bottom w:val="single" w:sz="8" w:color="E7417A"/>
            </w:tcBorders>
          </w:tcPr>
          <w:p>
            <w:pPr>
              <w:spacing w:after="0"/>
              <w:rPr>
                <w:sz w:val="7"/>
                <w:szCs w:val="7"/>
                <w:color w:val="auto"/>
              </w:rPr>
            </w:pPr>
          </w:p>
        </w:tc>
        <w:tc>
          <w:tcPr>
            <w:tcW w:w="160" w:type="dxa"/>
            <w:vAlign w:val="bottom"/>
            <w:tcBorders>
              <w:bottom w:val="single" w:sz="8" w:color="E7417A"/>
            </w:tcBorders>
          </w:tcPr>
          <w:p>
            <w:pPr>
              <w:spacing w:after="0"/>
              <w:rPr>
                <w:sz w:val="7"/>
                <w:szCs w:val="7"/>
                <w:color w:val="auto"/>
              </w:rPr>
            </w:pPr>
          </w:p>
        </w:tc>
        <w:tc>
          <w:tcPr>
            <w:tcW w:w="1080" w:type="dxa"/>
            <w:vAlign w:val="bottom"/>
            <w:tcBorders>
              <w:bottom w:val="single" w:sz="8" w:color="E7417A"/>
            </w:tcBorders>
          </w:tcPr>
          <w:p>
            <w:pPr>
              <w:spacing w:after="0"/>
              <w:rPr>
                <w:sz w:val="7"/>
                <w:szCs w:val="7"/>
                <w:color w:val="auto"/>
              </w:rPr>
            </w:pPr>
          </w:p>
        </w:tc>
        <w:tc>
          <w:tcPr>
            <w:tcW w:w="100" w:type="dxa"/>
            <w:vAlign w:val="bottom"/>
            <w:tcBorders>
              <w:bottom w:val="single" w:sz="8" w:color="E7417A"/>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40" w:type="dxa"/>
            <w:vAlign w:val="bottom"/>
            <w:tcBorders>
              <w:bottom w:val="single" w:sz="8" w:color="E7417A"/>
            </w:tcBorders>
          </w:tcPr>
          <w:p>
            <w:pPr>
              <w:spacing w:after="0"/>
              <w:rPr>
                <w:sz w:val="24"/>
                <w:szCs w:val="24"/>
                <w:color w:val="auto"/>
              </w:rPr>
            </w:pPr>
          </w:p>
        </w:tc>
        <w:tc>
          <w:tcPr>
            <w:tcW w:w="1240" w:type="dxa"/>
            <w:vAlign w:val="bottom"/>
            <w:tcBorders>
              <w:bottom w:val="single" w:sz="8" w:color="E7417A"/>
            </w:tcBorders>
            <w:gridSpan w:val="2"/>
          </w:tcPr>
          <w:p>
            <w:pPr>
              <w:spacing w:after="0" w:line="31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Shaul Shani </w:t>
            </w:r>
          </w:p>
        </w:tc>
        <w:tc>
          <w:tcPr>
            <w:tcW w:w="560" w:type="dxa"/>
            <w:vAlign w:val="bottom"/>
            <w:tcBorders>
              <w:bottom w:val="single" w:sz="8" w:color="E7417A"/>
            </w:tcBorders>
          </w:tcPr>
          <w:p>
            <w:pPr>
              <w:spacing w:after="0"/>
              <w:rPr>
                <w:sz w:val="24"/>
                <w:szCs w:val="24"/>
                <w:color w:val="auto"/>
              </w:rPr>
            </w:pPr>
          </w:p>
        </w:tc>
        <w:tc>
          <w:tcPr>
            <w:tcW w:w="240" w:type="dxa"/>
            <w:vAlign w:val="bottom"/>
            <w:tcBorders>
              <w:bottom w:val="single" w:sz="8" w:color="E7417A"/>
            </w:tcBorders>
          </w:tcPr>
          <w:p>
            <w:pPr>
              <w:spacing w:after="0"/>
              <w:rPr>
                <w:sz w:val="24"/>
                <w:szCs w:val="24"/>
                <w:color w:val="auto"/>
              </w:rPr>
            </w:pPr>
          </w:p>
        </w:tc>
        <w:tc>
          <w:tcPr>
            <w:tcW w:w="30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7417A"/>
            </w:tcBorders>
          </w:tcPr>
          <w:p>
            <w:pPr>
              <w:jc w:val="right"/>
              <w:ind w:right="14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7417A"/>
            </w:tcBorders>
          </w:tcPr>
          <w:p>
            <w:pPr>
              <w:spacing w:after="0"/>
              <w:rPr>
                <w:sz w:val="24"/>
                <w:szCs w:val="24"/>
                <w:color w:val="auto"/>
              </w:rPr>
            </w:pPr>
          </w:p>
        </w:tc>
        <w:tc>
          <w:tcPr>
            <w:tcW w:w="360" w:type="dxa"/>
            <w:vAlign w:val="bottom"/>
            <w:tcBorders>
              <w:bottom w:val="single" w:sz="8" w:color="E7417A"/>
            </w:tcBorders>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7417A"/>
            </w:tcBorders>
          </w:tcPr>
          <w:p>
            <w:pPr>
              <w:spacing w:after="0"/>
              <w:rPr>
                <w:sz w:val="24"/>
                <w:szCs w:val="24"/>
                <w:color w:val="auto"/>
              </w:rPr>
            </w:pPr>
          </w:p>
        </w:tc>
        <w:tc>
          <w:tcPr>
            <w:tcW w:w="380" w:type="dxa"/>
            <w:vAlign w:val="bottom"/>
            <w:tcBorders>
              <w:bottom w:val="single" w:sz="8" w:color="E7417A"/>
            </w:tcBorders>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E7417A"/>
            </w:tcBorders>
          </w:tcPr>
          <w:p>
            <w:pPr>
              <w:spacing w:after="0"/>
              <w:rPr>
                <w:sz w:val="24"/>
                <w:szCs w:val="24"/>
                <w:color w:val="auto"/>
              </w:rPr>
            </w:pPr>
          </w:p>
        </w:tc>
        <w:tc>
          <w:tcPr>
            <w:tcW w:w="2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7417A"/>
            </w:tcBorders>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auto"/>
              </w:rPr>
              <w:t>​Louis Silver</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40" w:type="dxa"/>
            <w:vAlign w:val="bottom"/>
            <w:tcBorders>
              <w:bottom w:val="single" w:sz="8" w:color="E7417A"/>
            </w:tcBorders>
          </w:tcPr>
          <w:p>
            <w:pPr>
              <w:spacing w:after="0"/>
              <w:rPr>
                <w:sz w:val="4"/>
                <w:szCs w:val="4"/>
                <w:color w:val="auto"/>
              </w:rPr>
            </w:pPr>
          </w:p>
        </w:tc>
        <w:tc>
          <w:tcPr>
            <w:tcW w:w="1800" w:type="dxa"/>
            <w:vAlign w:val="bottom"/>
            <w:tcBorders>
              <w:bottom w:val="single" w:sz="8" w:color="E7417A"/>
            </w:tcBorders>
            <w:gridSpan w:val="3"/>
          </w:tcPr>
          <w:p>
            <w:pPr>
              <w:spacing w:after="0"/>
              <w:rPr>
                <w:sz w:val="4"/>
                <w:szCs w:val="4"/>
                <w:color w:val="auto"/>
              </w:rPr>
            </w:pPr>
          </w:p>
        </w:tc>
        <w:tc>
          <w:tcPr>
            <w:tcW w:w="240" w:type="dxa"/>
            <w:vAlign w:val="bottom"/>
            <w:tcBorders>
              <w:bottom w:val="single" w:sz="8" w:color="E7417A"/>
            </w:tcBorders>
          </w:tcPr>
          <w:p>
            <w:pPr>
              <w:spacing w:after="0"/>
              <w:rPr>
                <w:sz w:val="4"/>
                <w:szCs w:val="4"/>
                <w:color w:val="auto"/>
              </w:rPr>
            </w:pPr>
          </w:p>
        </w:tc>
        <w:tc>
          <w:tcPr>
            <w:tcW w:w="300" w:type="dxa"/>
            <w:vAlign w:val="bottom"/>
            <w:tcBorders>
              <w:bottom w:val="single" w:sz="8" w:color="E7417A"/>
            </w:tcBorders>
          </w:tcPr>
          <w:p>
            <w:pPr>
              <w:spacing w:after="0"/>
              <w:rPr>
                <w:sz w:val="4"/>
                <w:szCs w:val="4"/>
                <w:color w:val="auto"/>
              </w:rPr>
            </w:pPr>
          </w:p>
        </w:tc>
        <w:tc>
          <w:tcPr>
            <w:tcW w:w="480" w:type="dxa"/>
            <w:vAlign w:val="bottom"/>
            <w:tcBorders>
              <w:bottom w:val="single" w:sz="8" w:color="E7417A"/>
            </w:tcBorders>
          </w:tcPr>
          <w:p>
            <w:pPr>
              <w:spacing w:after="0"/>
              <w:rPr>
                <w:sz w:val="4"/>
                <w:szCs w:val="4"/>
                <w:color w:val="auto"/>
              </w:rPr>
            </w:pPr>
          </w:p>
        </w:tc>
        <w:tc>
          <w:tcPr>
            <w:tcW w:w="600" w:type="dxa"/>
            <w:vAlign w:val="bottom"/>
            <w:tcBorders>
              <w:bottom w:val="single" w:sz="8" w:color="E7417A"/>
            </w:tcBorders>
          </w:tcPr>
          <w:p>
            <w:pPr>
              <w:spacing w:after="0"/>
              <w:rPr>
                <w:sz w:val="4"/>
                <w:szCs w:val="4"/>
                <w:color w:val="auto"/>
              </w:rPr>
            </w:pPr>
          </w:p>
        </w:tc>
        <w:tc>
          <w:tcPr>
            <w:tcW w:w="140" w:type="dxa"/>
            <w:vAlign w:val="bottom"/>
            <w:tcBorders>
              <w:bottom w:val="single" w:sz="8" w:color="E7417A"/>
            </w:tcBorders>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54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tcPr>
          <w:p>
            <w:pPr>
              <w:spacing w:after="0"/>
              <w:rPr>
                <w:sz w:val="4"/>
                <w:szCs w:val="4"/>
                <w:color w:val="auto"/>
              </w:rPr>
            </w:pPr>
          </w:p>
        </w:tc>
        <w:tc>
          <w:tcPr>
            <w:tcW w:w="160" w:type="dxa"/>
            <w:vAlign w:val="bottom"/>
            <w:tcBorders>
              <w:bottom w:val="single" w:sz="8" w:color="E7417A"/>
            </w:tcBorders>
          </w:tcPr>
          <w:p>
            <w:pPr>
              <w:spacing w:after="0"/>
              <w:rPr>
                <w:sz w:val="4"/>
                <w:szCs w:val="4"/>
                <w:color w:val="auto"/>
              </w:rPr>
            </w:pPr>
          </w:p>
        </w:tc>
        <w:tc>
          <w:tcPr>
            <w:tcW w:w="360" w:type="dxa"/>
            <w:vAlign w:val="bottom"/>
            <w:tcBorders>
              <w:bottom w:val="single" w:sz="8" w:color="E7417A"/>
            </w:tcBorders>
          </w:tcPr>
          <w:p>
            <w:pPr>
              <w:spacing w:after="0"/>
              <w:rPr>
                <w:sz w:val="4"/>
                <w:szCs w:val="4"/>
                <w:color w:val="auto"/>
              </w:rPr>
            </w:pPr>
          </w:p>
        </w:tc>
        <w:tc>
          <w:tcPr>
            <w:tcW w:w="360" w:type="dxa"/>
            <w:vAlign w:val="bottom"/>
            <w:tcBorders>
              <w:bottom w:val="single" w:sz="8" w:color="E7417A"/>
            </w:tcBorders>
          </w:tcPr>
          <w:p>
            <w:pPr>
              <w:spacing w:after="0"/>
              <w:rPr>
                <w:sz w:val="4"/>
                <w:szCs w:val="4"/>
                <w:color w:val="auto"/>
              </w:rPr>
            </w:pPr>
          </w:p>
        </w:tc>
        <w:tc>
          <w:tcPr>
            <w:tcW w:w="120" w:type="dxa"/>
            <w:vAlign w:val="bottom"/>
            <w:tcBorders>
              <w:bottom w:val="single" w:sz="8" w:color="E7417A"/>
            </w:tcBorders>
          </w:tcPr>
          <w:p>
            <w:pPr>
              <w:spacing w:after="0"/>
              <w:rPr>
                <w:sz w:val="4"/>
                <w:szCs w:val="4"/>
                <w:color w:val="auto"/>
              </w:rPr>
            </w:pPr>
          </w:p>
        </w:tc>
        <w:tc>
          <w:tcPr>
            <w:tcW w:w="380" w:type="dxa"/>
            <w:vAlign w:val="bottom"/>
            <w:tcBorders>
              <w:bottom w:val="single" w:sz="8" w:color="E7417A"/>
            </w:tcBorders>
          </w:tcPr>
          <w:p>
            <w:pPr>
              <w:spacing w:after="0"/>
              <w:rPr>
                <w:sz w:val="4"/>
                <w:szCs w:val="4"/>
                <w:color w:val="auto"/>
              </w:rPr>
            </w:pPr>
          </w:p>
        </w:tc>
        <w:tc>
          <w:tcPr>
            <w:tcW w:w="260" w:type="dxa"/>
            <w:vAlign w:val="bottom"/>
            <w:tcBorders>
              <w:bottom w:val="single" w:sz="8" w:color="E7417A"/>
            </w:tcBorders>
          </w:tcPr>
          <w:p>
            <w:pPr>
              <w:spacing w:after="0"/>
              <w:rPr>
                <w:sz w:val="4"/>
                <w:szCs w:val="4"/>
                <w:color w:val="auto"/>
              </w:rPr>
            </w:pPr>
          </w:p>
        </w:tc>
        <w:tc>
          <w:tcPr>
            <w:tcW w:w="640" w:type="dxa"/>
            <w:vAlign w:val="bottom"/>
            <w:tcBorders>
              <w:bottom w:val="single" w:sz="8" w:color="E7417A"/>
            </w:tcBorders>
          </w:tcPr>
          <w:p>
            <w:pPr>
              <w:spacing w:after="0"/>
              <w:rPr>
                <w:sz w:val="4"/>
                <w:szCs w:val="4"/>
                <w:color w:val="auto"/>
              </w:rPr>
            </w:pPr>
          </w:p>
        </w:tc>
        <w:tc>
          <w:tcPr>
            <w:tcW w:w="620" w:type="dxa"/>
            <w:vAlign w:val="bottom"/>
            <w:tcBorders>
              <w:bottom w:val="single" w:sz="8" w:color="E7417A"/>
            </w:tcBorders>
          </w:tcPr>
          <w:p>
            <w:pPr>
              <w:spacing w:after="0"/>
              <w:rPr>
                <w:sz w:val="4"/>
                <w:szCs w:val="4"/>
                <w:color w:val="auto"/>
              </w:rPr>
            </w:pPr>
          </w:p>
        </w:tc>
        <w:tc>
          <w:tcPr>
            <w:tcW w:w="200" w:type="dxa"/>
            <w:vAlign w:val="bottom"/>
            <w:tcBorders>
              <w:bottom w:val="single" w:sz="8" w:color="E7417A"/>
            </w:tcBorders>
          </w:tcPr>
          <w:p>
            <w:pPr>
              <w:spacing w:after="0"/>
              <w:rPr>
                <w:sz w:val="4"/>
                <w:szCs w:val="4"/>
                <w:color w:val="auto"/>
              </w:rPr>
            </w:pPr>
          </w:p>
        </w:tc>
        <w:tc>
          <w:tcPr>
            <w:tcW w:w="160" w:type="dxa"/>
            <w:vAlign w:val="bottom"/>
            <w:tcBorders>
              <w:bottom w:val="single" w:sz="8" w:color="E7417A"/>
            </w:tcBorders>
          </w:tcPr>
          <w:p>
            <w:pPr>
              <w:spacing w:after="0"/>
              <w:rPr>
                <w:sz w:val="4"/>
                <w:szCs w:val="4"/>
                <w:color w:val="auto"/>
              </w:rPr>
            </w:pPr>
          </w:p>
        </w:tc>
        <w:tc>
          <w:tcPr>
            <w:tcW w:w="1080" w:type="dxa"/>
            <w:vAlign w:val="bottom"/>
            <w:tcBorders>
              <w:bottom w:val="single" w:sz="8" w:color="E7417A"/>
            </w:tcBorders>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4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6"/>
                <w:szCs w:val="16"/>
                <w:color w:val="auto"/>
              </w:rPr>
              <w:t>​Richard W. Smith</w:t>
            </w:r>
          </w:p>
        </w:tc>
        <w:tc>
          <w:tcPr>
            <w:tcW w:w="2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ind w:left="100"/>
              <w:spacing w:after="0"/>
              <w:rPr>
                <w:sz w:val="20"/>
                <w:szCs w:val="20"/>
                <w:color w:val="auto"/>
              </w:rPr>
            </w:pPr>
            <w:r>
              <w:rPr>
                <w:rFonts w:ascii="Arial" w:cs="Arial" w:eastAsia="Arial" w:hAnsi="Arial"/>
                <w:sz w:val="16"/>
                <w:szCs w:val="16"/>
                <w:color w:val="auto"/>
              </w:rPr>
              <w:t>​</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40" w:type="dxa"/>
            <w:vAlign w:val="bottom"/>
            <w:tcBorders>
              <w:bottom w:val="single" w:sz="8" w:color="E7417A"/>
            </w:tcBorders>
          </w:tcPr>
          <w:p>
            <w:pPr>
              <w:spacing w:after="0"/>
              <w:rPr>
                <w:sz w:val="8"/>
                <w:szCs w:val="8"/>
                <w:color w:val="auto"/>
              </w:rPr>
            </w:pPr>
          </w:p>
        </w:tc>
        <w:tc>
          <w:tcPr>
            <w:tcW w:w="1240" w:type="dxa"/>
            <w:vAlign w:val="bottom"/>
            <w:tcBorders>
              <w:bottom w:val="single" w:sz="8" w:color="E7417A"/>
            </w:tcBorders>
            <w:gridSpan w:val="2"/>
          </w:tcPr>
          <w:p>
            <w:pPr>
              <w:spacing w:after="0"/>
              <w:rPr>
                <w:sz w:val="8"/>
                <w:szCs w:val="8"/>
                <w:color w:val="auto"/>
              </w:rPr>
            </w:pPr>
          </w:p>
        </w:tc>
        <w:tc>
          <w:tcPr>
            <w:tcW w:w="560" w:type="dxa"/>
            <w:vAlign w:val="bottom"/>
            <w:tcBorders>
              <w:bottom w:val="single" w:sz="8" w:color="E7417A"/>
            </w:tcBorders>
          </w:tcPr>
          <w:p>
            <w:pPr>
              <w:spacing w:after="0"/>
              <w:rPr>
                <w:sz w:val="8"/>
                <w:szCs w:val="8"/>
                <w:color w:val="auto"/>
              </w:rPr>
            </w:pPr>
          </w:p>
        </w:tc>
        <w:tc>
          <w:tcPr>
            <w:tcW w:w="240" w:type="dxa"/>
            <w:vAlign w:val="bottom"/>
            <w:tcBorders>
              <w:bottom w:val="single" w:sz="8" w:color="E7417A"/>
            </w:tcBorders>
          </w:tcPr>
          <w:p>
            <w:pPr>
              <w:spacing w:after="0"/>
              <w:rPr>
                <w:sz w:val="8"/>
                <w:szCs w:val="8"/>
                <w:color w:val="auto"/>
              </w:rPr>
            </w:pPr>
          </w:p>
        </w:tc>
        <w:tc>
          <w:tcPr>
            <w:tcW w:w="300" w:type="dxa"/>
            <w:vAlign w:val="bottom"/>
            <w:tcBorders>
              <w:bottom w:val="single" w:sz="8" w:color="E7417A"/>
            </w:tcBorders>
          </w:tcPr>
          <w:p>
            <w:pPr>
              <w:spacing w:after="0"/>
              <w:rPr>
                <w:sz w:val="8"/>
                <w:szCs w:val="8"/>
                <w:color w:val="auto"/>
              </w:rPr>
            </w:pPr>
          </w:p>
        </w:tc>
        <w:tc>
          <w:tcPr>
            <w:tcW w:w="480" w:type="dxa"/>
            <w:vAlign w:val="bottom"/>
            <w:tcBorders>
              <w:bottom w:val="single" w:sz="8" w:color="E7417A"/>
            </w:tcBorders>
          </w:tcPr>
          <w:p>
            <w:pPr>
              <w:spacing w:after="0"/>
              <w:rPr>
                <w:sz w:val="8"/>
                <w:szCs w:val="8"/>
                <w:color w:val="auto"/>
              </w:rPr>
            </w:pPr>
          </w:p>
        </w:tc>
        <w:tc>
          <w:tcPr>
            <w:tcW w:w="600" w:type="dxa"/>
            <w:vAlign w:val="bottom"/>
            <w:tcBorders>
              <w:bottom w:val="single" w:sz="8" w:color="E7417A"/>
            </w:tcBorders>
          </w:tcPr>
          <w:p>
            <w:pPr>
              <w:spacing w:after="0"/>
              <w:rPr>
                <w:sz w:val="8"/>
                <w:szCs w:val="8"/>
                <w:color w:val="auto"/>
              </w:rPr>
            </w:pPr>
          </w:p>
        </w:tc>
        <w:tc>
          <w:tcPr>
            <w:tcW w:w="14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540" w:type="dxa"/>
            <w:vAlign w:val="bottom"/>
            <w:tcBorders>
              <w:bottom w:val="single" w:sz="8" w:color="E7417A"/>
            </w:tcBorders>
          </w:tcPr>
          <w:p>
            <w:pPr>
              <w:spacing w:after="0"/>
              <w:rPr>
                <w:sz w:val="8"/>
                <w:szCs w:val="8"/>
                <w:color w:val="auto"/>
              </w:rPr>
            </w:pPr>
          </w:p>
        </w:tc>
        <w:tc>
          <w:tcPr>
            <w:tcW w:w="180" w:type="dxa"/>
            <w:vAlign w:val="bottom"/>
            <w:tcBorders>
              <w:bottom w:val="single" w:sz="8" w:color="E7417A"/>
            </w:tcBorders>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360" w:type="dxa"/>
            <w:vAlign w:val="bottom"/>
            <w:tcBorders>
              <w:bottom w:val="single" w:sz="8" w:color="E7417A"/>
            </w:tcBorders>
          </w:tcPr>
          <w:p>
            <w:pPr>
              <w:spacing w:after="0"/>
              <w:rPr>
                <w:sz w:val="8"/>
                <w:szCs w:val="8"/>
                <w:color w:val="auto"/>
              </w:rPr>
            </w:pPr>
          </w:p>
        </w:tc>
        <w:tc>
          <w:tcPr>
            <w:tcW w:w="360" w:type="dxa"/>
            <w:vAlign w:val="bottom"/>
            <w:tcBorders>
              <w:bottom w:val="single" w:sz="8" w:color="E7417A"/>
            </w:tcBorders>
          </w:tcPr>
          <w:p>
            <w:pPr>
              <w:spacing w:after="0"/>
              <w:rPr>
                <w:sz w:val="8"/>
                <w:szCs w:val="8"/>
                <w:color w:val="auto"/>
              </w:rPr>
            </w:pPr>
          </w:p>
        </w:tc>
        <w:tc>
          <w:tcPr>
            <w:tcW w:w="120" w:type="dxa"/>
            <w:vAlign w:val="bottom"/>
            <w:tcBorders>
              <w:bottom w:val="single" w:sz="8" w:color="E7417A"/>
            </w:tcBorders>
          </w:tcPr>
          <w:p>
            <w:pPr>
              <w:spacing w:after="0"/>
              <w:rPr>
                <w:sz w:val="8"/>
                <w:szCs w:val="8"/>
                <w:color w:val="auto"/>
              </w:rPr>
            </w:pPr>
          </w:p>
        </w:tc>
        <w:tc>
          <w:tcPr>
            <w:tcW w:w="380" w:type="dxa"/>
            <w:vAlign w:val="bottom"/>
            <w:tcBorders>
              <w:bottom w:val="single" w:sz="8" w:color="E7417A"/>
            </w:tcBorders>
          </w:tcPr>
          <w:p>
            <w:pPr>
              <w:spacing w:after="0"/>
              <w:rPr>
                <w:sz w:val="8"/>
                <w:szCs w:val="8"/>
                <w:color w:val="auto"/>
              </w:rPr>
            </w:pPr>
          </w:p>
        </w:tc>
        <w:tc>
          <w:tcPr>
            <w:tcW w:w="260" w:type="dxa"/>
            <w:vAlign w:val="bottom"/>
            <w:tcBorders>
              <w:bottom w:val="single" w:sz="8" w:color="E7417A"/>
            </w:tcBorders>
          </w:tcPr>
          <w:p>
            <w:pPr>
              <w:spacing w:after="0"/>
              <w:rPr>
                <w:sz w:val="8"/>
                <w:szCs w:val="8"/>
                <w:color w:val="auto"/>
              </w:rPr>
            </w:pPr>
          </w:p>
        </w:tc>
        <w:tc>
          <w:tcPr>
            <w:tcW w:w="640" w:type="dxa"/>
            <w:vAlign w:val="bottom"/>
            <w:tcBorders>
              <w:bottom w:val="single" w:sz="8" w:color="E7417A"/>
            </w:tcBorders>
          </w:tcPr>
          <w:p>
            <w:pPr>
              <w:spacing w:after="0"/>
              <w:rPr>
                <w:sz w:val="8"/>
                <w:szCs w:val="8"/>
                <w:color w:val="auto"/>
              </w:rPr>
            </w:pPr>
          </w:p>
        </w:tc>
        <w:tc>
          <w:tcPr>
            <w:tcW w:w="620" w:type="dxa"/>
            <w:vAlign w:val="bottom"/>
            <w:tcBorders>
              <w:bottom w:val="single" w:sz="8" w:color="E7417A"/>
            </w:tcBorders>
          </w:tcPr>
          <w:p>
            <w:pPr>
              <w:spacing w:after="0"/>
              <w:rPr>
                <w:sz w:val="8"/>
                <w:szCs w:val="8"/>
                <w:color w:val="auto"/>
              </w:rPr>
            </w:pPr>
          </w:p>
        </w:tc>
        <w:tc>
          <w:tcPr>
            <w:tcW w:w="200" w:type="dxa"/>
            <w:vAlign w:val="bottom"/>
            <w:tcBorders>
              <w:bottom w:val="single" w:sz="8" w:color="E7417A"/>
            </w:tcBorders>
          </w:tcPr>
          <w:p>
            <w:pPr>
              <w:spacing w:after="0"/>
              <w:rPr>
                <w:sz w:val="8"/>
                <w:szCs w:val="8"/>
                <w:color w:val="auto"/>
              </w:rPr>
            </w:pPr>
          </w:p>
        </w:tc>
        <w:tc>
          <w:tcPr>
            <w:tcW w:w="160" w:type="dxa"/>
            <w:vAlign w:val="bottom"/>
            <w:tcBorders>
              <w:bottom w:val="single" w:sz="8" w:color="E7417A"/>
            </w:tcBorders>
          </w:tcPr>
          <w:p>
            <w:pPr>
              <w:spacing w:after="0"/>
              <w:rPr>
                <w:sz w:val="8"/>
                <w:szCs w:val="8"/>
                <w:color w:val="auto"/>
              </w:rPr>
            </w:pPr>
          </w:p>
        </w:tc>
        <w:tc>
          <w:tcPr>
            <w:tcW w:w="1080" w:type="dxa"/>
            <w:vAlign w:val="bottom"/>
            <w:tcBorders>
              <w:bottom w:val="single" w:sz="8" w:color="E7417A"/>
            </w:tcBorders>
          </w:tcPr>
          <w:p>
            <w:pPr>
              <w:spacing w:after="0"/>
              <w:rPr>
                <w:sz w:val="8"/>
                <w:szCs w:val="8"/>
                <w:color w:val="auto"/>
              </w:rPr>
            </w:pPr>
          </w:p>
        </w:tc>
        <w:tc>
          <w:tcPr>
            <w:tcW w:w="100" w:type="dxa"/>
            <w:vAlign w:val="bottom"/>
            <w:tcBorders>
              <w:bottom w:val="single" w:sz="8" w:color="E7417A"/>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6"/>
                <w:szCs w:val="16"/>
                <w:color w:val="auto"/>
              </w:rPr>
              <w:t>​Tanya Tamone</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color w:val="auto"/>
              </w:rPr>
              <w:t>​</w:t>
            </w:r>
          </w:p>
        </w:tc>
        <w:tc>
          <w:tcPr>
            <w:tcW w:w="480" w:type="dxa"/>
            <w:vAlign w:val="bottom"/>
          </w:tcPr>
          <w:p>
            <w:pPr>
              <w:ind w:left="4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ind w:left="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color w:val="auto"/>
              </w:rPr>
              <w:t>​</w:t>
            </w:r>
          </w:p>
        </w:tc>
        <w:tc>
          <w:tcPr>
            <w:tcW w:w="260" w:type="dxa"/>
            <w:vAlign w:val="bottom"/>
          </w:tcPr>
          <w:p>
            <w:pPr>
              <w:ind w:left="4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6"/>
        </w:trPr>
        <w:tc>
          <w:tcPr>
            <w:tcW w:w="40" w:type="dxa"/>
            <w:vAlign w:val="bottom"/>
            <w:tcBorders>
              <w:bottom w:val="single" w:sz="8" w:color="E7417A"/>
            </w:tcBorders>
          </w:tcPr>
          <w:p>
            <w:pPr>
              <w:spacing w:after="0"/>
              <w:rPr>
                <w:sz w:val="4"/>
                <w:szCs w:val="4"/>
                <w:color w:val="auto"/>
              </w:rPr>
            </w:pPr>
          </w:p>
        </w:tc>
        <w:tc>
          <w:tcPr>
            <w:tcW w:w="1800" w:type="dxa"/>
            <w:vAlign w:val="bottom"/>
            <w:tcBorders>
              <w:bottom w:val="single" w:sz="8" w:color="E7417A"/>
            </w:tcBorders>
            <w:gridSpan w:val="3"/>
          </w:tcPr>
          <w:p>
            <w:pPr>
              <w:spacing w:after="0"/>
              <w:rPr>
                <w:sz w:val="4"/>
                <w:szCs w:val="4"/>
                <w:color w:val="auto"/>
              </w:rPr>
            </w:pPr>
          </w:p>
        </w:tc>
        <w:tc>
          <w:tcPr>
            <w:tcW w:w="240" w:type="dxa"/>
            <w:vAlign w:val="bottom"/>
            <w:tcBorders>
              <w:bottom w:val="single" w:sz="8" w:color="E7417A"/>
            </w:tcBorders>
          </w:tcPr>
          <w:p>
            <w:pPr>
              <w:spacing w:after="0"/>
              <w:rPr>
                <w:sz w:val="4"/>
                <w:szCs w:val="4"/>
                <w:color w:val="auto"/>
              </w:rPr>
            </w:pPr>
          </w:p>
        </w:tc>
        <w:tc>
          <w:tcPr>
            <w:tcW w:w="300" w:type="dxa"/>
            <w:vAlign w:val="bottom"/>
            <w:tcBorders>
              <w:bottom w:val="single" w:sz="8" w:color="E7417A"/>
            </w:tcBorders>
          </w:tcPr>
          <w:p>
            <w:pPr>
              <w:spacing w:after="0"/>
              <w:rPr>
                <w:sz w:val="4"/>
                <w:szCs w:val="4"/>
                <w:color w:val="auto"/>
              </w:rPr>
            </w:pPr>
          </w:p>
        </w:tc>
        <w:tc>
          <w:tcPr>
            <w:tcW w:w="1080" w:type="dxa"/>
            <w:vAlign w:val="bottom"/>
            <w:tcBorders>
              <w:bottom w:val="single" w:sz="8" w:color="E7417A"/>
            </w:tcBorders>
            <w:gridSpan w:val="2"/>
          </w:tcPr>
          <w:p>
            <w:pPr>
              <w:spacing w:after="0"/>
              <w:rPr>
                <w:sz w:val="4"/>
                <w:szCs w:val="4"/>
                <w:color w:val="auto"/>
              </w:rPr>
            </w:pPr>
          </w:p>
        </w:tc>
        <w:tc>
          <w:tcPr>
            <w:tcW w:w="140" w:type="dxa"/>
            <w:vAlign w:val="bottom"/>
            <w:tcBorders>
              <w:bottom w:val="single" w:sz="8" w:color="E7417A"/>
            </w:tcBorders>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54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tcPr>
          <w:p>
            <w:pPr>
              <w:spacing w:after="0"/>
              <w:rPr>
                <w:sz w:val="4"/>
                <w:szCs w:val="4"/>
                <w:color w:val="auto"/>
              </w:rPr>
            </w:pPr>
          </w:p>
        </w:tc>
        <w:tc>
          <w:tcPr>
            <w:tcW w:w="160" w:type="dxa"/>
            <w:vAlign w:val="bottom"/>
            <w:tcBorders>
              <w:bottom w:val="single" w:sz="8" w:color="E7417A"/>
            </w:tcBorders>
          </w:tcPr>
          <w:p>
            <w:pPr>
              <w:spacing w:after="0"/>
              <w:rPr>
                <w:sz w:val="4"/>
                <w:szCs w:val="4"/>
                <w:color w:val="auto"/>
              </w:rPr>
            </w:pPr>
          </w:p>
        </w:tc>
        <w:tc>
          <w:tcPr>
            <w:tcW w:w="360" w:type="dxa"/>
            <w:vAlign w:val="bottom"/>
            <w:tcBorders>
              <w:bottom w:val="single" w:sz="8" w:color="E7417A"/>
            </w:tcBorders>
          </w:tcPr>
          <w:p>
            <w:pPr>
              <w:spacing w:after="0"/>
              <w:rPr>
                <w:sz w:val="4"/>
                <w:szCs w:val="4"/>
                <w:color w:val="auto"/>
              </w:rPr>
            </w:pPr>
          </w:p>
        </w:tc>
        <w:tc>
          <w:tcPr>
            <w:tcW w:w="360" w:type="dxa"/>
            <w:vAlign w:val="bottom"/>
            <w:tcBorders>
              <w:bottom w:val="single" w:sz="8" w:color="E7417A"/>
            </w:tcBorders>
          </w:tcPr>
          <w:p>
            <w:pPr>
              <w:spacing w:after="0"/>
              <w:rPr>
                <w:sz w:val="4"/>
                <w:szCs w:val="4"/>
                <w:color w:val="auto"/>
              </w:rPr>
            </w:pPr>
          </w:p>
        </w:tc>
        <w:tc>
          <w:tcPr>
            <w:tcW w:w="120" w:type="dxa"/>
            <w:vAlign w:val="bottom"/>
            <w:tcBorders>
              <w:bottom w:val="single" w:sz="8" w:color="E7417A"/>
            </w:tcBorders>
          </w:tcPr>
          <w:p>
            <w:pPr>
              <w:spacing w:after="0"/>
              <w:rPr>
                <w:sz w:val="4"/>
                <w:szCs w:val="4"/>
                <w:color w:val="auto"/>
              </w:rPr>
            </w:pPr>
          </w:p>
        </w:tc>
        <w:tc>
          <w:tcPr>
            <w:tcW w:w="380" w:type="dxa"/>
            <w:vAlign w:val="bottom"/>
            <w:tcBorders>
              <w:bottom w:val="single" w:sz="8" w:color="E7417A"/>
            </w:tcBorders>
          </w:tcPr>
          <w:p>
            <w:pPr>
              <w:spacing w:after="0"/>
              <w:rPr>
                <w:sz w:val="4"/>
                <w:szCs w:val="4"/>
                <w:color w:val="auto"/>
              </w:rPr>
            </w:pPr>
          </w:p>
        </w:tc>
        <w:tc>
          <w:tcPr>
            <w:tcW w:w="260" w:type="dxa"/>
            <w:vAlign w:val="bottom"/>
            <w:tcBorders>
              <w:bottom w:val="single" w:sz="8" w:color="E7417A"/>
            </w:tcBorders>
          </w:tcPr>
          <w:p>
            <w:pPr>
              <w:spacing w:after="0"/>
              <w:rPr>
                <w:sz w:val="4"/>
                <w:szCs w:val="4"/>
                <w:color w:val="auto"/>
              </w:rPr>
            </w:pPr>
          </w:p>
        </w:tc>
        <w:tc>
          <w:tcPr>
            <w:tcW w:w="640" w:type="dxa"/>
            <w:vAlign w:val="bottom"/>
            <w:tcBorders>
              <w:bottom w:val="single" w:sz="8" w:color="E7417A"/>
            </w:tcBorders>
          </w:tcPr>
          <w:p>
            <w:pPr>
              <w:spacing w:after="0"/>
              <w:rPr>
                <w:sz w:val="4"/>
                <w:szCs w:val="4"/>
                <w:color w:val="auto"/>
              </w:rPr>
            </w:pPr>
          </w:p>
        </w:tc>
        <w:tc>
          <w:tcPr>
            <w:tcW w:w="620" w:type="dxa"/>
            <w:vAlign w:val="bottom"/>
            <w:tcBorders>
              <w:bottom w:val="single" w:sz="8" w:color="E7417A"/>
            </w:tcBorders>
          </w:tcPr>
          <w:p>
            <w:pPr>
              <w:spacing w:after="0"/>
              <w:rPr>
                <w:sz w:val="4"/>
                <w:szCs w:val="4"/>
                <w:color w:val="auto"/>
              </w:rPr>
            </w:pPr>
          </w:p>
        </w:tc>
        <w:tc>
          <w:tcPr>
            <w:tcW w:w="200" w:type="dxa"/>
            <w:vAlign w:val="bottom"/>
            <w:tcBorders>
              <w:bottom w:val="single" w:sz="8" w:color="E7417A"/>
            </w:tcBorders>
          </w:tcPr>
          <w:p>
            <w:pPr>
              <w:spacing w:after="0"/>
              <w:rPr>
                <w:sz w:val="4"/>
                <w:szCs w:val="4"/>
                <w:color w:val="auto"/>
              </w:rPr>
            </w:pPr>
          </w:p>
        </w:tc>
        <w:tc>
          <w:tcPr>
            <w:tcW w:w="160" w:type="dxa"/>
            <w:vAlign w:val="bottom"/>
            <w:tcBorders>
              <w:bottom w:val="single" w:sz="8" w:color="E7417A"/>
            </w:tcBorders>
          </w:tcPr>
          <w:p>
            <w:pPr>
              <w:spacing w:after="0"/>
              <w:rPr>
                <w:sz w:val="4"/>
                <w:szCs w:val="4"/>
                <w:color w:val="auto"/>
              </w:rPr>
            </w:pPr>
          </w:p>
        </w:tc>
        <w:tc>
          <w:tcPr>
            <w:tcW w:w="1080" w:type="dxa"/>
            <w:vAlign w:val="bottom"/>
            <w:tcBorders>
              <w:bottom w:val="single" w:sz="8" w:color="E7417A"/>
            </w:tcBorders>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1800" w:type="dxa"/>
            <w:vAlign w:val="bottom"/>
            <w:gridSpan w:val="3"/>
          </w:tcPr>
          <w:p>
            <w:pPr>
              <w:spacing w:after="0" w:line="304" w:lineRule="exact"/>
              <w:rPr>
                <w:sz w:val="20"/>
                <w:szCs w:val="20"/>
                <w:color w:val="auto"/>
              </w:rPr>
            </w:pPr>
            <w:r>
              <w:rPr>
                <w:rFonts w:ascii="Arial" w:cs="Arial" w:eastAsia="Arial" w:hAnsi="Arial"/>
                <w:sz w:val="32"/>
                <w:szCs w:val="32"/>
                <w:i w:val="1"/>
                <w:iCs w:val="1"/>
                <w:color w:val="auto"/>
                <w:vertAlign w:val="subscript"/>
              </w:rPr>
              <w:t>​</w:t>
            </w:r>
            <w:r>
              <w:rPr>
                <w:rFonts w:ascii="Arial" w:cs="Arial" w:eastAsia="Arial" w:hAnsi="Arial"/>
                <w:sz w:val="16"/>
                <w:szCs w:val="16"/>
                <w:i w:val="1"/>
                <w:iCs w:val="1"/>
                <w:color w:val="auto"/>
              </w:rPr>
              <w:t>Number of Meetings in</w:t>
            </w:r>
          </w:p>
        </w:tc>
        <w:tc>
          <w:tcPr>
            <w:tcW w:w="240" w:type="dxa"/>
            <w:vAlign w:val="bottom"/>
          </w:tcPr>
          <w:p>
            <w:pPr>
              <w:spacing w:after="0"/>
              <w:rPr>
                <w:sz w:val="24"/>
                <w:szCs w:val="24"/>
                <w:color w:val="auto"/>
              </w:rPr>
            </w:pPr>
          </w:p>
        </w:tc>
        <w:tc>
          <w:tcPr>
            <w:tcW w:w="300" w:type="dxa"/>
            <w:vAlign w:val="bottom"/>
          </w:tcPr>
          <w:p>
            <w:pPr>
              <w:ind w:left="200"/>
              <w:spacing w:after="0"/>
              <w:rPr>
                <w:sz w:val="20"/>
                <w:szCs w:val="20"/>
                <w:color w:val="auto"/>
              </w:rPr>
            </w:pPr>
            <w:r>
              <w:rPr>
                <w:rFonts w:ascii="Arial" w:cs="Arial" w:eastAsia="Arial" w:hAnsi="Arial"/>
                <w:sz w:val="16"/>
                <w:szCs w:val="16"/>
                <w:i w:val="1"/>
                <w:iCs w:val="1"/>
                <w:color w:val="auto"/>
              </w:rPr>
              <w:t>​</w:t>
            </w:r>
          </w:p>
        </w:tc>
        <w:tc>
          <w:tcPr>
            <w:tcW w:w="1080" w:type="dxa"/>
            <w:vAlign w:val="bottom"/>
            <w:gridSpan w:val="2"/>
          </w:tcPr>
          <w:p>
            <w:pPr>
              <w:ind w:left="40"/>
              <w:spacing w:after="0" w:line="304" w:lineRule="exact"/>
              <w:rPr>
                <w:sz w:val="20"/>
                <w:szCs w:val="20"/>
                <w:color w:val="auto"/>
              </w:rPr>
            </w:pPr>
            <w:r>
              <w:rPr>
                <w:rFonts w:ascii="Arial" w:cs="Arial" w:eastAsia="Arial" w:hAnsi="Arial"/>
                <w:sz w:val="32"/>
                <w:szCs w:val="32"/>
                <w:i w:val="1"/>
                <w:iCs w:val="1"/>
                <w:color w:val="auto"/>
                <w:vertAlign w:val="superscript"/>
              </w:rPr>
              <w:t>​</w:t>
            </w:r>
            <w:r>
              <w:rPr>
                <w:rFonts w:ascii="Arial" w:cs="Arial" w:eastAsia="Arial" w:hAnsi="Arial"/>
                <w:sz w:val="16"/>
                <w:szCs w:val="16"/>
                <w:i w:val="1"/>
                <w:iCs w:val="1"/>
                <w:color w:val="auto"/>
              </w:rPr>
              <w:t xml:space="preserve"> Board — 5</w:t>
            </w:r>
          </w:p>
        </w:tc>
        <w:tc>
          <w:tcPr>
            <w:tcW w:w="14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10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540" w:type="dxa"/>
            <w:vAlign w:val="bottom"/>
          </w:tcPr>
          <w:p>
            <w:pPr>
              <w:jc w:val="right"/>
              <w:ind w:right="141"/>
              <w:spacing w:after="0"/>
              <w:rPr>
                <w:sz w:val="20"/>
                <w:szCs w:val="20"/>
                <w:color w:val="auto"/>
              </w:rPr>
            </w:pPr>
            <w:r>
              <w:rPr>
                <w:rFonts w:ascii="Arial" w:cs="Arial" w:eastAsia="Arial" w:hAnsi="Arial"/>
                <w:sz w:val="16"/>
                <w:szCs w:val="16"/>
                <w:i w:val="1"/>
                <w:iCs w:val="1"/>
                <w:color w:val="auto"/>
              </w:rPr>
              <w:t>9</w:t>
            </w:r>
          </w:p>
        </w:tc>
        <w:tc>
          <w:tcPr>
            <w:tcW w:w="180" w:type="dxa"/>
            <w:vAlign w:val="bottom"/>
          </w:tcPr>
          <w:p>
            <w:pPr>
              <w:ind w:left="80"/>
              <w:spacing w:after="0"/>
              <w:rPr>
                <w:sz w:val="20"/>
                <w:szCs w:val="20"/>
                <w:color w:val="auto"/>
              </w:rPr>
            </w:pPr>
            <w:r>
              <w:rPr>
                <w:rFonts w:ascii="Arial" w:cs="Arial" w:eastAsia="Arial" w:hAnsi="Arial"/>
                <w:sz w:val="16"/>
                <w:szCs w:val="16"/>
                <w:i w:val="1"/>
                <w:iCs w:val="1"/>
                <w:color w:val="auto"/>
              </w:rPr>
              <w:t>​</w:t>
            </w:r>
          </w:p>
        </w:tc>
        <w:tc>
          <w:tcPr>
            <w:tcW w:w="16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360" w:type="dxa"/>
            <w:vAlign w:val="bottom"/>
          </w:tcPr>
          <w:p>
            <w:pPr>
              <w:spacing w:after="0"/>
              <w:rPr>
                <w:sz w:val="24"/>
                <w:szCs w:val="24"/>
                <w:color w:val="auto"/>
              </w:rPr>
            </w:pPr>
          </w:p>
        </w:tc>
        <w:tc>
          <w:tcPr>
            <w:tcW w:w="360" w:type="dxa"/>
            <w:vAlign w:val="bottom"/>
          </w:tcPr>
          <w:p>
            <w:pPr>
              <w:jc w:val="right"/>
              <w:ind w:right="100"/>
              <w:spacing w:after="0"/>
              <w:rPr>
                <w:sz w:val="20"/>
                <w:szCs w:val="20"/>
                <w:color w:val="auto"/>
              </w:rPr>
            </w:pPr>
            <w:r>
              <w:rPr>
                <w:rFonts w:ascii="Arial" w:cs="Arial" w:eastAsia="Arial" w:hAnsi="Arial"/>
                <w:sz w:val="16"/>
                <w:szCs w:val="16"/>
                <w:i w:val="1"/>
                <w:iCs w:val="1"/>
                <w:color w:val="auto"/>
              </w:rPr>
              <w:t>6</w:t>
            </w:r>
          </w:p>
        </w:tc>
        <w:tc>
          <w:tcPr>
            <w:tcW w:w="120" w:type="dxa"/>
            <w:vAlign w:val="bottom"/>
          </w:tcPr>
          <w:p>
            <w:pPr>
              <w:spacing w:after="0"/>
              <w:rPr>
                <w:sz w:val="24"/>
                <w:szCs w:val="24"/>
                <w:color w:val="auto"/>
              </w:rPr>
            </w:pPr>
          </w:p>
        </w:tc>
        <w:tc>
          <w:tcPr>
            <w:tcW w:w="380" w:type="dxa"/>
            <w:vAlign w:val="bottom"/>
          </w:tcPr>
          <w:p>
            <w:pPr>
              <w:jc w:val="center"/>
              <w:ind w:left="141"/>
              <w:spacing w:after="0"/>
              <w:rPr>
                <w:sz w:val="20"/>
                <w:szCs w:val="20"/>
                <w:color w:val="auto"/>
              </w:rPr>
            </w:pPr>
            <w:r>
              <w:rPr>
                <w:rFonts w:ascii="Arial" w:cs="Arial" w:eastAsia="Arial" w:hAnsi="Arial"/>
                <w:sz w:val="16"/>
                <w:szCs w:val="16"/>
                <w:i w:val="1"/>
                <w:iCs w:val="1"/>
                <w:color w:val="auto"/>
              </w:rPr>
              <w:t>​</w:t>
            </w:r>
          </w:p>
        </w:tc>
        <w:tc>
          <w:tcPr>
            <w:tcW w:w="26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640" w:type="dxa"/>
            <w:vAlign w:val="bottom"/>
          </w:tcPr>
          <w:p>
            <w:pPr>
              <w:jc w:val="right"/>
              <w:spacing w:after="0"/>
              <w:rPr>
                <w:sz w:val="20"/>
                <w:szCs w:val="20"/>
                <w:color w:val="auto"/>
              </w:rPr>
            </w:pPr>
            <w:r>
              <w:rPr>
                <w:rFonts w:ascii="Arial" w:cs="Arial" w:eastAsia="Arial" w:hAnsi="Arial"/>
                <w:sz w:val="16"/>
                <w:szCs w:val="16"/>
                <w:i w:val="1"/>
                <w:iCs w:val="1"/>
                <w:color w:val="auto"/>
              </w:rPr>
              <w:t>4</w:t>
            </w:r>
          </w:p>
        </w:tc>
        <w:tc>
          <w:tcPr>
            <w:tcW w:w="620" w:type="dxa"/>
            <w:vAlign w:val="bottom"/>
          </w:tcPr>
          <w:p>
            <w:pPr>
              <w:spacing w:after="0"/>
              <w:rPr>
                <w:sz w:val="24"/>
                <w:szCs w:val="24"/>
                <w:color w:val="auto"/>
              </w:rPr>
            </w:pPr>
          </w:p>
        </w:tc>
        <w:tc>
          <w:tcPr>
            <w:tcW w:w="200" w:type="dxa"/>
            <w:vAlign w:val="bottom"/>
          </w:tcPr>
          <w:p>
            <w:pPr>
              <w:jc w:val="center"/>
              <w:spacing w:after="0"/>
              <w:rPr>
                <w:sz w:val="20"/>
                <w:szCs w:val="20"/>
                <w:color w:val="auto"/>
              </w:rPr>
            </w:pPr>
            <w:r>
              <w:rPr>
                <w:rFonts w:ascii="Arial" w:cs="Arial" w:eastAsia="Arial" w:hAnsi="Arial"/>
                <w:sz w:val="16"/>
                <w:szCs w:val="16"/>
                <w:i w:val="1"/>
                <w:iCs w:val="1"/>
                <w:color w:val="auto"/>
              </w:rPr>
              <w:t>​</w:t>
            </w:r>
          </w:p>
        </w:tc>
        <w:tc>
          <w:tcPr>
            <w:tcW w:w="160" w:type="dxa"/>
            <w:vAlign w:val="bottom"/>
          </w:tcPr>
          <w:p>
            <w:pPr>
              <w:ind w:left="40"/>
              <w:spacing w:after="0"/>
              <w:rPr>
                <w:sz w:val="20"/>
                <w:szCs w:val="20"/>
                <w:color w:val="auto"/>
              </w:rPr>
            </w:pPr>
            <w:r>
              <w:rPr>
                <w:rFonts w:ascii="Arial" w:cs="Arial" w:eastAsia="Arial" w:hAnsi="Arial"/>
                <w:sz w:val="16"/>
                <w:szCs w:val="16"/>
                <w:i w:val="1"/>
                <w:iCs w:val="1"/>
                <w:color w:val="auto"/>
              </w:rPr>
              <w:t>​</w:t>
            </w:r>
          </w:p>
        </w:tc>
        <w:tc>
          <w:tcPr>
            <w:tcW w:w="1080" w:type="dxa"/>
            <w:vAlign w:val="bottom"/>
          </w:tcPr>
          <w:p>
            <w:pPr>
              <w:jc w:val="right"/>
              <w:ind w:right="440"/>
              <w:spacing w:after="0"/>
              <w:rPr>
                <w:sz w:val="20"/>
                <w:szCs w:val="20"/>
                <w:color w:val="auto"/>
              </w:rPr>
            </w:pPr>
            <w:r>
              <w:rPr>
                <w:rFonts w:ascii="Arial" w:cs="Arial" w:eastAsia="Arial" w:hAnsi="Arial"/>
                <w:sz w:val="16"/>
                <w:szCs w:val="16"/>
                <w:i w:val="1"/>
                <w:iCs w:val="1"/>
                <w:color w:val="auto"/>
              </w:rPr>
              <w:t>4</w:t>
            </w:r>
          </w:p>
        </w:tc>
        <w:tc>
          <w:tcPr>
            <w:tcW w:w="100" w:type="dxa"/>
            <w:vAlign w:val="bottom"/>
          </w:tcPr>
          <w:p>
            <w:pPr>
              <w:ind w:left="60"/>
              <w:spacing w:after="0"/>
              <w:rPr>
                <w:sz w:val="20"/>
                <w:szCs w:val="20"/>
                <w:color w:val="auto"/>
              </w:rPr>
            </w:pPr>
            <w:r>
              <w:rPr>
                <w:rFonts w:ascii="Arial" w:cs="Arial" w:eastAsia="Arial" w:hAnsi="Arial"/>
                <w:sz w:val="16"/>
                <w:szCs w:val="16"/>
                <w:i w:val="1"/>
                <w:iCs w:val="1"/>
                <w:color w:val="auto"/>
              </w:rPr>
              <w:t>​</w:t>
            </w:r>
          </w:p>
        </w:tc>
        <w:tc>
          <w:tcPr>
            <w:tcW w:w="0" w:type="dxa"/>
            <w:vAlign w:val="bottom"/>
          </w:tcPr>
          <w:p>
            <w:pPr>
              <w:spacing w:after="0"/>
              <w:rPr>
                <w:sz w:val="1"/>
                <w:szCs w:val="1"/>
                <w:color w:val="auto"/>
              </w:rPr>
            </w:pPr>
          </w:p>
        </w:tc>
      </w:tr>
      <w:tr>
        <w:trPr>
          <w:trHeight w:val="135"/>
        </w:trPr>
        <w:tc>
          <w:tcPr>
            <w:tcW w:w="40" w:type="dxa"/>
            <w:vAlign w:val="bottom"/>
            <w:tcBorders>
              <w:bottom w:val="single" w:sz="8" w:color="62259D"/>
            </w:tcBorders>
          </w:tcPr>
          <w:p>
            <w:pPr>
              <w:spacing w:after="0"/>
              <w:rPr>
                <w:sz w:val="11"/>
                <w:szCs w:val="11"/>
                <w:color w:val="auto"/>
              </w:rPr>
            </w:pPr>
          </w:p>
        </w:tc>
        <w:tc>
          <w:tcPr>
            <w:tcW w:w="1240" w:type="dxa"/>
            <w:vAlign w:val="bottom"/>
            <w:tcBorders>
              <w:bottom w:val="single" w:sz="8" w:color="62259D"/>
            </w:tcBorders>
            <w:gridSpan w:val="2"/>
          </w:tcPr>
          <w:p>
            <w:pPr>
              <w:ind w:left="40"/>
              <w:spacing w:after="0" w:line="135" w:lineRule="exact"/>
              <w:rPr>
                <w:sz w:val="20"/>
                <w:szCs w:val="20"/>
                <w:color w:val="auto"/>
              </w:rPr>
            </w:pPr>
            <w:r>
              <w:rPr>
                <w:rFonts w:ascii="Arial" w:cs="Arial" w:eastAsia="Arial" w:hAnsi="Arial"/>
                <w:sz w:val="15"/>
                <w:szCs w:val="15"/>
                <w:i w:val="1"/>
                <w:iCs w:val="1"/>
                <w:color w:val="auto"/>
              </w:rPr>
              <w:t>2025</w:t>
            </w:r>
          </w:p>
        </w:tc>
        <w:tc>
          <w:tcPr>
            <w:tcW w:w="560" w:type="dxa"/>
            <w:vAlign w:val="bottom"/>
            <w:tcBorders>
              <w:bottom w:val="single" w:sz="8" w:color="62259D"/>
            </w:tcBorders>
          </w:tcPr>
          <w:p>
            <w:pPr>
              <w:spacing w:after="0"/>
              <w:rPr>
                <w:sz w:val="11"/>
                <w:szCs w:val="11"/>
                <w:color w:val="auto"/>
              </w:rPr>
            </w:pPr>
          </w:p>
        </w:tc>
        <w:tc>
          <w:tcPr>
            <w:tcW w:w="240" w:type="dxa"/>
            <w:vAlign w:val="bottom"/>
            <w:tcBorders>
              <w:bottom w:val="single" w:sz="8" w:color="62259D"/>
            </w:tcBorders>
          </w:tcPr>
          <w:p>
            <w:pPr>
              <w:spacing w:after="0"/>
              <w:rPr>
                <w:sz w:val="11"/>
                <w:szCs w:val="11"/>
                <w:color w:val="auto"/>
              </w:rPr>
            </w:pPr>
          </w:p>
        </w:tc>
        <w:tc>
          <w:tcPr>
            <w:tcW w:w="300" w:type="dxa"/>
            <w:vAlign w:val="bottom"/>
            <w:tcBorders>
              <w:bottom w:val="single" w:sz="8" w:color="62259D"/>
            </w:tcBorders>
          </w:tcPr>
          <w:p>
            <w:pPr>
              <w:spacing w:after="0"/>
              <w:rPr>
                <w:sz w:val="11"/>
                <w:szCs w:val="11"/>
                <w:color w:val="auto"/>
              </w:rPr>
            </w:pPr>
          </w:p>
        </w:tc>
        <w:tc>
          <w:tcPr>
            <w:tcW w:w="480" w:type="dxa"/>
            <w:vAlign w:val="bottom"/>
            <w:tcBorders>
              <w:bottom w:val="single" w:sz="8" w:color="62259D"/>
            </w:tcBorders>
          </w:tcPr>
          <w:p>
            <w:pPr>
              <w:spacing w:after="0"/>
              <w:rPr>
                <w:sz w:val="11"/>
                <w:szCs w:val="11"/>
                <w:color w:val="auto"/>
              </w:rPr>
            </w:pPr>
          </w:p>
        </w:tc>
        <w:tc>
          <w:tcPr>
            <w:tcW w:w="600" w:type="dxa"/>
            <w:vAlign w:val="bottom"/>
            <w:tcBorders>
              <w:bottom w:val="single" w:sz="8" w:color="62259D"/>
            </w:tcBorders>
          </w:tcPr>
          <w:p>
            <w:pPr>
              <w:spacing w:after="0"/>
              <w:rPr>
                <w:sz w:val="11"/>
                <w:szCs w:val="11"/>
                <w:color w:val="auto"/>
              </w:rPr>
            </w:pPr>
          </w:p>
        </w:tc>
        <w:tc>
          <w:tcPr>
            <w:tcW w:w="140" w:type="dxa"/>
            <w:vAlign w:val="bottom"/>
            <w:tcBorders>
              <w:bottom w:val="single" w:sz="8" w:color="62259D"/>
            </w:tcBorders>
          </w:tcPr>
          <w:p>
            <w:pPr>
              <w:spacing w:after="0"/>
              <w:rPr>
                <w:sz w:val="11"/>
                <w:szCs w:val="11"/>
                <w:color w:val="auto"/>
              </w:rPr>
            </w:pPr>
          </w:p>
        </w:tc>
        <w:tc>
          <w:tcPr>
            <w:tcW w:w="100" w:type="dxa"/>
            <w:vAlign w:val="bottom"/>
            <w:tcBorders>
              <w:bottom w:val="single" w:sz="8" w:color="62259D"/>
            </w:tcBorders>
          </w:tcPr>
          <w:p>
            <w:pPr>
              <w:spacing w:after="0"/>
              <w:rPr>
                <w:sz w:val="11"/>
                <w:szCs w:val="11"/>
                <w:color w:val="auto"/>
              </w:rPr>
            </w:pPr>
          </w:p>
        </w:tc>
        <w:tc>
          <w:tcPr>
            <w:tcW w:w="540" w:type="dxa"/>
            <w:vAlign w:val="bottom"/>
            <w:tcBorders>
              <w:bottom w:val="single" w:sz="8" w:color="62259D"/>
            </w:tcBorders>
          </w:tcPr>
          <w:p>
            <w:pPr>
              <w:spacing w:after="0"/>
              <w:rPr>
                <w:sz w:val="11"/>
                <w:szCs w:val="11"/>
                <w:color w:val="auto"/>
              </w:rPr>
            </w:pPr>
          </w:p>
        </w:tc>
        <w:tc>
          <w:tcPr>
            <w:tcW w:w="180" w:type="dxa"/>
            <w:vAlign w:val="bottom"/>
            <w:tcBorders>
              <w:bottom w:val="single" w:sz="8" w:color="62259D"/>
            </w:tcBorders>
          </w:tcPr>
          <w:p>
            <w:pPr>
              <w:spacing w:after="0"/>
              <w:rPr>
                <w:sz w:val="11"/>
                <w:szCs w:val="11"/>
                <w:color w:val="auto"/>
              </w:rPr>
            </w:pPr>
          </w:p>
        </w:tc>
        <w:tc>
          <w:tcPr>
            <w:tcW w:w="160" w:type="dxa"/>
            <w:vAlign w:val="bottom"/>
            <w:tcBorders>
              <w:bottom w:val="single" w:sz="8" w:color="62259D"/>
            </w:tcBorders>
          </w:tcPr>
          <w:p>
            <w:pPr>
              <w:spacing w:after="0"/>
              <w:rPr>
                <w:sz w:val="11"/>
                <w:szCs w:val="11"/>
                <w:color w:val="auto"/>
              </w:rPr>
            </w:pPr>
          </w:p>
        </w:tc>
        <w:tc>
          <w:tcPr>
            <w:tcW w:w="360" w:type="dxa"/>
            <w:vAlign w:val="bottom"/>
            <w:tcBorders>
              <w:bottom w:val="single" w:sz="8" w:color="62259D"/>
            </w:tcBorders>
          </w:tcPr>
          <w:p>
            <w:pPr>
              <w:spacing w:after="0"/>
              <w:rPr>
                <w:sz w:val="11"/>
                <w:szCs w:val="11"/>
                <w:color w:val="auto"/>
              </w:rPr>
            </w:pPr>
          </w:p>
        </w:tc>
        <w:tc>
          <w:tcPr>
            <w:tcW w:w="360" w:type="dxa"/>
            <w:vAlign w:val="bottom"/>
            <w:tcBorders>
              <w:bottom w:val="single" w:sz="8" w:color="62259D"/>
            </w:tcBorders>
          </w:tcPr>
          <w:p>
            <w:pPr>
              <w:spacing w:after="0"/>
              <w:rPr>
                <w:sz w:val="11"/>
                <w:szCs w:val="11"/>
                <w:color w:val="auto"/>
              </w:rPr>
            </w:pPr>
          </w:p>
        </w:tc>
        <w:tc>
          <w:tcPr>
            <w:tcW w:w="120" w:type="dxa"/>
            <w:vAlign w:val="bottom"/>
            <w:tcBorders>
              <w:bottom w:val="single" w:sz="8" w:color="62259D"/>
            </w:tcBorders>
          </w:tcPr>
          <w:p>
            <w:pPr>
              <w:spacing w:after="0"/>
              <w:rPr>
                <w:sz w:val="11"/>
                <w:szCs w:val="11"/>
                <w:color w:val="auto"/>
              </w:rPr>
            </w:pPr>
          </w:p>
        </w:tc>
        <w:tc>
          <w:tcPr>
            <w:tcW w:w="380" w:type="dxa"/>
            <w:vAlign w:val="bottom"/>
            <w:tcBorders>
              <w:bottom w:val="single" w:sz="8" w:color="62259D"/>
            </w:tcBorders>
          </w:tcPr>
          <w:p>
            <w:pPr>
              <w:spacing w:after="0"/>
              <w:rPr>
                <w:sz w:val="11"/>
                <w:szCs w:val="11"/>
                <w:color w:val="auto"/>
              </w:rPr>
            </w:pPr>
          </w:p>
        </w:tc>
        <w:tc>
          <w:tcPr>
            <w:tcW w:w="260" w:type="dxa"/>
            <w:vAlign w:val="bottom"/>
            <w:tcBorders>
              <w:bottom w:val="single" w:sz="8" w:color="62259D"/>
            </w:tcBorders>
          </w:tcPr>
          <w:p>
            <w:pPr>
              <w:spacing w:after="0"/>
              <w:rPr>
                <w:sz w:val="11"/>
                <w:szCs w:val="11"/>
                <w:color w:val="auto"/>
              </w:rPr>
            </w:pPr>
          </w:p>
        </w:tc>
        <w:tc>
          <w:tcPr>
            <w:tcW w:w="640" w:type="dxa"/>
            <w:vAlign w:val="bottom"/>
            <w:tcBorders>
              <w:bottom w:val="single" w:sz="8" w:color="62259D"/>
            </w:tcBorders>
          </w:tcPr>
          <w:p>
            <w:pPr>
              <w:spacing w:after="0"/>
              <w:rPr>
                <w:sz w:val="11"/>
                <w:szCs w:val="11"/>
                <w:color w:val="auto"/>
              </w:rPr>
            </w:pPr>
          </w:p>
        </w:tc>
        <w:tc>
          <w:tcPr>
            <w:tcW w:w="620" w:type="dxa"/>
            <w:vAlign w:val="bottom"/>
            <w:tcBorders>
              <w:bottom w:val="single" w:sz="8" w:color="62259D"/>
            </w:tcBorders>
          </w:tcPr>
          <w:p>
            <w:pPr>
              <w:spacing w:after="0"/>
              <w:rPr>
                <w:sz w:val="11"/>
                <w:szCs w:val="11"/>
                <w:color w:val="auto"/>
              </w:rPr>
            </w:pPr>
          </w:p>
        </w:tc>
        <w:tc>
          <w:tcPr>
            <w:tcW w:w="200" w:type="dxa"/>
            <w:vAlign w:val="bottom"/>
            <w:tcBorders>
              <w:bottom w:val="single" w:sz="8" w:color="62259D"/>
            </w:tcBorders>
          </w:tcPr>
          <w:p>
            <w:pPr>
              <w:spacing w:after="0"/>
              <w:rPr>
                <w:sz w:val="11"/>
                <w:szCs w:val="11"/>
                <w:color w:val="auto"/>
              </w:rPr>
            </w:pPr>
          </w:p>
        </w:tc>
        <w:tc>
          <w:tcPr>
            <w:tcW w:w="160" w:type="dxa"/>
            <w:vAlign w:val="bottom"/>
            <w:tcBorders>
              <w:bottom w:val="single" w:sz="8" w:color="62259D"/>
            </w:tcBorders>
          </w:tcPr>
          <w:p>
            <w:pPr>
              <w:spacing w:after="0"/>
              <w:rPr>
                <w:sz w:val="11"/>
                <w:szCs w:val="11"/>
                <w:color w:val="auto"/>
              </w:rPr>
            </w:pPr>
          </w:p>
        </w:tc>
        <w:tc>
          <w:tcPr>
            <w:tcW w:w="1080" w:type="dxa"/>
            <w:vAlign w:val="bottom"/>
            <w:tcBorders>
              <w:bottom w:val="single" w:sz="8" w:color="62259D"/>
            </w:tcBorders>
          </w:tcPr>
          <w:p>
            <w:pPr>
              <w:spacing w:after="0"/>
              <w:rPr>
                <w:sz w:val="11"/>
                <w:szCs w:val="11"/>
                <w:color w:val="auto"/>
              </w:rPr>
            </w:pPr>
          </w:p>
        </w:tc>
        <w:tc>
          <w:tcPr>
            <w:tcW w:w="100" w:type="dxa"/>
            <w:vAlign w:val="bottom"/>
            <w:tcBorders>
              <w:bottom w:val="single" w:sz="8" w:color="62259D"/>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0" w:type="dxa"/>
            <w:vAlign w:val="bottom"/>
          </w:tcPr>
          <w:p>
            <w:pPr>
              <w:ind w:left="460"/>
              <w:spacing w:after="0"/>
              <w:rPr>
                <w:sz w:val="20"/>
                <w:szCs w:val="20"/>
                <w:color w:val="auto"/>
              </w:rPr>
            </w:pPr>
            <w:r>
              <w:rPr>
                <w:rFonts w:ascii="Arial" w:cs="Arial" w:eastAsia="Arial" w:hAnsi="Arial"/>
                <w:sz w:val="14"/>
                <w:szCs w:val="14"/>
                <w:color w:val="auto"/>
              </w:rPr>
              <w:t>Committee</w:t>
            </w: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Committee</w:t>
            </w: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color w:val="auto"/>
              </w:rPr>
              <w:t>Chairman of</w:t>
            </w: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Lead Independent</w:t>
            </w: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color w:val="auto"/>
              </w:rPr>
              <w:t>Audit Committee</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6"/>
        </w:trPr>
        <w:tc>
          <w:tcPr>
            <w:tcW w:w="40" w:type="dxa"/>
            <w:vAlign w:val="bottom"/>
          </w:tcPr>
          <w:p>
            <w:pPr>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1200" w:type="dxa"/>
            <w:vAlign w:val="bottom"/>
          </w:tcPr>
          <w:p>
            <w:pPr>
              <w:ind w:left="240"/>
              <w:spacing w:after="0"/>
              <w:rPr>
                <w:sz w:val="20"/>
                <w:szCs w:val="20"/>
                <w:color w:val="auto"/>
              </w:rPr>
            </w:pPr>
            <w:r>
              <w:rPr>
                <w:rFonts w:ascii="Arial" w:cs="Arial" w:eastAsia="Arial" w:hAnsi="Arial"/>
                <w:sz w:val="28"/>
                <w:szCs w:val="28"/>
                <w:color w:val="auto"/>
                <w:vertAlign w:val="superscript"/>
              </w:rPr>
              <w:t>​ ​</w:t>
            </w:r>
            <w:r>
              <w:rPr>
                <w:rFonts w:ascii="Arial" w:cs="Arial" w:eastAsia="Arial" w:hAnsi="Arial"/>
                <w:sz w:val="14"/>
                <w:szCs w:val="14"/>
                <w:color w:val="auto"/>
              </w:rPr>
              <w:t xml:space="preserve"> Chair</w:t>
            </w:r>
          </w:p>
        </w:tc>
        <w:tc>
          <w:tcPr>
            <w:tcW w:w="560" w:type="dxa"/>
            <w:vAlign w:val="bottom"/>
          </w:tcPr>
          <w:p>
            <w:pPr>
              <w:ind w:left="40"/>
              <w:spacing w:after="0"/>
              <w:rPr>
                <w:sz w:val="20"/>
                <w:szCs w:val="20"/>
                <w:color w:val="auto"/>
              </w:rPr>
            </w:pPr>
            <w:r>
              <w:rPr>
                <w:rFonts w:ascii="Arial" w:cs="Arial" w:eastAsia="Arial" w:hAnsi="Arial"/>
                <w:sz w:val="14"/>
                <w:szCs w:val="14"/>
                <w:color w:val="auto"/>
              </w:rPr>
              <w:t>​  ​</w:t>
            </w:r>
          </w:p>
        </w:tc>
        <w:tc>
          <w:tcPr>
            <w:tcW w:w="240" w:type="dxa"/>
            <w:vAlign w:val="bottom"/>
          </w:tcPr>
          <w:p>
            <w:pPr>
              <w:ind w:left="60"/>
              <w:spacing w:after="0"/>
              <w:rPr>
                <w:sz w:val="20"/>
                <w:szCs w:val="20"/>
                <w:color w:val="auto"/>
              </w:rPr>
            </w:pPr>
            <w:r>
              <w:rPr>
                <w:rFonts w:ascii="Arial" w:cs="Arial" w:eastAsia="Arial" w:hAnsi="Arial"/>
                <w:sz w:val="14"/>
                <w:szCs w:val="14"/>
                <w:color w:val="auto"/>
              </w:rPr>
              <w:t>​ ​</w:t>
            </w:r>
          </w:p>
        </w:tc>
        <w:tc>
          <w:tcPr>
            <w:tcW w:w="780" w:type="dxa"/>
            <w:vAlign w:val="bottom"/>
            <w:gridSpan w:val="2"/>
          </w:tcPr>
          <w:p>
            <w:pPr>
              <w:ind w:left="40"/>
              <w:spacing w:after="0"/>
              <w:rPr>
                <w:sz w:val="20"/>
                <w:szCs w:val="20"/>
                <w:color w:val="auto"/>
              </w:rPr>
            </w:pPr>
            <w:r>
              <w:rPr>
                <w:rFonts w:ascii="Arial" w:cs="Arial" w:eastAsia="Arial" w:hAnsi="Arial"/>
                <w:sz w:val="14"/>
                <w:szCs w:val="14"/>
                <w:color w:val="auto"/>
              </w:rPr>
              <w:t>Member</w:t>
            </w:r>
          </w:p>
        </w:tc>
        <w:tc>
          <w:tcPr>
            <w:tcW w:w="600" w:type="dxa"/>
            <w:vAlign w:val="bottom"/>
          </w:tcPr>
          <w:p>
            <w:pPr>
              <w:ind w:left="40"/>
              <w:spacing w:after="0"/>
              <w:rPr>
                <w:sz w:val="20"/>
                <w:szCs w:val="20"/>
                <w:color w:val="auto"/>
              </w:rPr>
            </w:pPr>
            <w:r>
              <w:rPr>
                <w:rFonts w:ascii="Arial" w:cs="Arial" w:eastAsia="Arial" w:hAnsi="Arial"/>
                <w:sz w:val="14"/>
                <w:szCs w:val="14"/>
                <w:color w:val="auto"/>
              </w:rPr>
              <w:t>​  ​</w:t>
            </w:r>
          </w:p>
        </w:tc>
        <w:tc>
          <w:tcPr>
            <w:tcW w:w="140" w:type="dxa"/>
            <w:vAlign w:val="bottom"/>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the Board</w:t>
            </w:r>
          </w:p>
        </w:tc>
        <w:tc>
          <w:tcPr>
            <w:tcW w:w="160" w:type="dxa"/>
            <w:vAlign w:val="bottom"/>
          </w:tcPr>
          <w:p>
            <w:pPr>
              <w:spacing w:after="0"/>
              <w:rPr>
                <w:sz w:val="24"/>
                <w:szCs w:val="24"/>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  ​</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ind w:left="4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center"/>
              <w:ind w:right="1"/>
              <w:spacing w:after="0"/>
              <w:rPr>
                <w:sz w:val="20"/>
                <w:szCs w:val="20"/>
                <w:color w:val="auto"/>
              </w:rPr>
            </w:pPr>
            <w:r>
              <w:rPr>
                <w:rFonts w:ascii="Arial" w:cs="Arial" w:eastAsia="Arial" w:hAnsi="Arial"/>
                <w:sz w:val="14"/>
                <w:szCs w:val="14"/>
                <w:color w:val="auto"/>
              </w:rPr>
              <w:t>Director</w:t>
            </w:r>
          </w:p>
        </w:tc>
        <w:tc>
          <w:tcPr>
            <w:tcW w:w="640" w:type="dxa"/>
            <w:vAlign w:val="bottom"/>
          </w:tcPr>
          <w:p>
            <w:pPr>
              <w:spacing w:after="0"/>
              <w:rPr>
                <w:sz w:val="24"/>
                <w:szCs w:val="24"/>
                <w:color w:val="auto"/>
              </w:rPr>
            </w:pPr>
          </w:p>
        </w:tc>
        <w:tc>
          <w:tcPr>
            <w:tcW w:w="620" w:type="dxa"/>
            <w:vAlign w:val="bottom"/>
          </w:tcPr>
          <w:p>
            <w:pPr>
              <w:ind w:left="40"/>
              <w:spacing w:after="0"/>
              <w:rPr>
                <w:sz w:val="20"/>
                <w:szCs w:val="20"/>
                <w:color w:val="auto"/>
              </w:rPr>
            </w:pPr>
            <w:r>
              <w:rPr>
                <w:rFonts w:ascii="Arial" w:cs="Arial" w:eastAsia="Arial" w:hAnsi="Arial"/>
                <w:sz w:val="14"/>
                <w:szCs w:val="14"/>
                <w:color w:val="auto"/>
              </w:rPr>
              <w:t>​  ​</w:t>
            </w:r>
          </w:p>
        </w:tc>
        <w:tc>
          <w:tcPr>
            <w:tcW w:w="200" w:type="dxa"/>
            <w:vAlign w:val="bottom"/>
          </w:tcPr>
          <w:p>
            <w:pPr>
              <w:jc w:val="center"/>
              <w:spacing w:after="0"/>
              <w:rPr>
                <w:sz w:val="20"/>
                <w:szCs w:val="20"/>
                <w:color w:val="auto"/>
              </w:rPr>
            </w:pPr>
            <w:r>
              <w:rPr>
                <w:rFonts w:ascii="Arial" w:cs="Arial" w:eastAsia="Arial" w:hAnsi="Arial"/>
                <w:sz w:val="14"/>
                <w:szCs w:val="14"/>
                <w:color w:val="auto"/>
              </w:rPr>
              <w:t>​ ​</w:t>
            </w:r>
          </w:p>
        </w:tc>
        <w:tc>
          <w:tcPr>
            <w:tcW w:w="1240" w:type="dxa"/>
            <w:vAlign w:val="bottom"/>
            <w:gridSpan w:val="2"/>
          </w:tcPr>
          <w:p>
            <w:pPr>
              <w:ind w:left="40"/>
              <w:spacing w:after="0"/>
              <w:rPr>
                <w:sz w:val="20"/>
                <w:szCs w:val="20"/>
                <w:color w:val="auto"/>
              </w:rPr>
            </w:pPr>
            <w:r>
              <w:rPr>
                <w:rFonts w:ascii="Arial" w:cs="Arial" w:eastAsia="Arial" w:hAnsi="Arial"/>
                <w:sz w:val="14"/>
                <w:szCs w:val="14"/>
                <w:color w:val="auto"/>
              </w:rPr>
              <w:t>financial expert</w:t>
            </w:r>
          </w:p>
        </w:tc>
        <w:tc>
          <w:tcPr>
            <w:tcW w:w="100" w:type="dxa"/>
            <w:vAlign w:val="bottom"/>
          </w:tcPr>
          <w:p>
            <w:pPr>
              <w:ind w:lef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2951480</wp:posOffset>
            </wp:positionH>
            <wp:positionV relativeFrom="paragraph">
              <wp:posOffset>-2893060</wp:posOffset>
            </wp:positionV>
            <wp:extent cx="317500" cy="16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7500" cy="162560"/>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-2610485</wp:posOffset>
            </wp:positionV>
            <wp:extent cx="13716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2960370</wp:posOffset>
            </wp:positionH>
            <wp:positionV relativeFrom="paragraph">
              <wp:posOffset>-2395855</wp:posOffset>
            </wp:positionV>
            <wp:extent cx="291465" cy="1625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91465" cy="162560"/>
                    </a:xfrm>
                    <a:prstGeom prst="rect">
                      <a:avLst/>
                    </a:prstGeom>
                    <a:noFill/>
                  </pic:spPr>
                </pic:pic>
              </a:graphicData>
            </a:graphic>
          </wp:anchor>
        </w:drawing>
        <w:drawing>
          <wp:anchor simplePos="0" relativeHeight="251657728" behindDoc="1" locked="0" layoutInCell="0" allowOverlap="1">
            <wp:simplePos x="0" y="0"/>
            <wp:positionH relativeFrom="column">
              <wp:posOffset>1297305</wp:posOffset>
            </wp:positionH>
            <wp:positionV relativeFrom="paragraph">
              <wp:posOffset>-1616075</wp:posOffset>
            </wp:positionV>
            <wp:extent cx="145415"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5415" cy="12001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-2850515</wp:posOffset>
            </wp:positionV>
            <wp:extent cx="111760"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-2858770</wp:posOffset>
            </wp:positionV>
            <wp:extent cx="111760" cy="1117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-2601595</wp:posOffset>
            </wp:positionV>
            <wp:extent cx="111760"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-2601595</wp:posOffset>
            </wp:positionV>
            <wp:extent cx="111125" cy="1111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-2618740</wp:posOffset>
            </wp:positionV>
            <wp:extent cx="13716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-2353310</wp:posOffset>
            </wp:positionV>
            <wp:extent cx="111760" cy="1028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-2378710</wp:posOffset>
            </wp:positionV>
            <wp:extent cx="13716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5737860</wp:posOffset>
            </wp:positionH>
            <wp:positionV relativeFrom="paragraph">
              <wp:posOffset>-2361565</wp:posOffset>
            </wp:positionV>
            <wp:extent cx="111760" cy="1117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-1838960</wp:posOffset>
            </wp:positionV>
            <wp:extent cx="111760"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-1838960</wp:posOffset>
            </wp:positionV>
            <wp:extent cx="111125" cy="1111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5720715</wp:posOffset>
            </wp:positionH>
            <wp:positionV relativeFrom="paragraph">
              <wp:posOffset>-1856105</wp:posOffset>
            </wp:positionV>
            <wp:extent cx="137160" cy="146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-1384300</wp:posOffset>
            </wp:positionV>
            <wp:extent cx="111760" cy="102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2411730</wp:posOffset>
            </wp:positionH>
            <wp:positionV relativeFrom="paragraph">
              <wp:posOffset>-878840</wp:posOffset>
            </wp:positionV>
            <wp:extent cx="111760"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760" cy="102870"/>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-887095</wp:posOffset>
            </wp:positionV>
            <wp:extent cx="111125" cy="1117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-887095</wp:posOffset>
            </wp:positionV>
            <wp:extent cx="111760" cy="111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760" cy="11176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-295910</wp:posOffset>
            </wp:positionV>
            <wp:extent cx="13716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1665605</wp:posOffset>
            </wp:positionH>
            <wp:positionV relativeFrom="paragraph">
              <wp:posOffset>-278765</wp:posOffset>
            </wp:positionV>
            <wp:extent cx="111125" cy="1111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2668905</wp:posOffset>
            </wp:positionH>
            <wp:positionV relativeFrom="paragraph">
              <wp:posOffset>-287020</wp:posOffset>
            </wp:positionV>
            <wp:extent cx="146050" cy="1289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6050" cy="128905"/>
                    </a:xfrm>
                    <a:prstGeom prst="rect">
                      <a:avLst/>
                    </a:prstGeom>
                    <a:noFill/>
                  </pic:spPr>
                </pic:pic>
              </a:graphicData>
            </a:graphic>
          </wp:anchor>
        </w:drawing>
        <w:drawing>
          <wp:anchor simplePos="0" relativeHeight="251657728" behindDoc="1" locked="0" layoutInCell="0" allowOverlap="1">
            <wp:simplePos x="0" y="0"/>
            <wp:positionH relativeFrom="column">
              <wp:posOffset>3757295</wp:posOffset>
            </wp:positionH>
            <wp:positionV relativeFrom="paragraph">
              <wp:posOffset>-287020</wp:posOffset>
            </wp:positionV>
            <wp:extent cx="13716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5111750</wp:posOffset>
            </wp:positionH>
            <wp:positionV relativeFrom="paragraph">
              <wp:posOffset>-304165</wp:posOffset>
            </wp:positionV>
            <wp:extent cx="128905"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1625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0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159"/>
        <w:spacing w:after="0" w:line="252" w:lineRule="auto"/>
        <w:rPr>
          <w:sz w:val="20"/>
          <w:szCs w:val="20"/>
          <w:color w:val="auto"/>
        </w:rPr>
      </w:pPr>
      <w:r>
        <w:rPr>
          <w:rFonts w:ascii="Arial" w:cs="Arial" w:eastAsia="Arial" w:hAnsi="Arial"/>
          <w:sz w:val="18"/>
          <w:szCs w:val="18"/>
          <w:color w:val="auto"/>
        </w:rPr>
        <w:t>Under the Stockholders Agreement and subject to the Company’s obligation to comply with any applicable independence requirements under the Nasdaq rules and the rules of the SEC, or unless waived by the JPM Stockholders, for so long as the JPM Stockholders have the right to nominate at least two directors to the Board:</w:t>
      </w:r>
    </w:p>
    <w:p>
      <w:pPr>
        <w:spacing w:after="0" w:line="103" w:lineRule="exact"/>
        <w:rPr>
          <w:sz w:val="20"/>
          <w:szCs w:val="20"/>
          <w:color w:val="auto"/>
        </w:rPr>
      </w:pPr>
    </w:p>
    <w:p>
      <w:pPr>
        <w:ind w:left="1640" w:right="339" w:hanging="356"/>
        <w:spacing w:after="0" w:line="261" w:lineRule="auto"/>
        <w:tabs>
          <w:tab w:leader="none" w:pos="1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Nominating, Sustainability and Corporate Governance Committee will be comprised of three “independent directors” under the Stockholders Agreement, at least one of whom must be a designee of JPM Stockholders;</w:t>
      </w:r>
    </w:p>
    <w:p>
      <w:pPr>
        <w:spacing w:after="0" w:line="94" w:lineRule="exact"/>
        <w:rPr>
          <w:rFonts w:ascii="Arial" w:cs="Arial" w:eastAsia="Arial" w:hAnsi="Arial"/>
          <w:sz w:val="18"/>
          <w:szCs w:val="18"/>
          <w:color w:val="auto"/>
        </w:rPr>
      </w:pPr>
    </w:p>
    <w:p>
      <w:pPr>
        <w:ind w:left="1640" w:right="579" w:hanging="356"/>
        <w:spacing w:after="0" w:line="271" w:lineRule="auto"/>
        <w:tabs>
          <w:tab w:leader="none" w:pos="1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designee of the JPM Stockholders must be the Chairman of each of the Nominating, Sustainability and Corporate Governance Committee and the Compensation Committee; and</w:t>
      </w:r>
    </w:p>
    <w:p>
      <w:pPr>
        <w:spacing w:after="0" w:line="86" w:lineRule="exact"/>
        <w:rPr>
          <w:rFonts w:ascii="Arial" w:cs="Arial" w:eastAsia="Arial" w:hAnsi="Arial"/>
          <w:sz w:val="18"/>
          <w:szCs w:val="18"/>
          <w:color w:val="auto"/>
        </w:rPr>
      </w:pPr>
    </w:p>
    <w:p>
      <w:pPr>
        <w:ind w:left="1640" w:right="659" w:hanging="356"/>
        <w:spacing w:after="0" w:line="271" w:lineRule="auto"/>
        <w:tabs>
          <w:tab w:leader="none" w:pos="1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only in the case that Swarth does not have the right to nominate at least two directors to the Board, a designee of the JPM Stockholders must be the Chairman of the Audit Committee.</w:t>
      </w:r>
    </w:p>
    <w:p>
      <w:pPr>
        <w:spacing w:after="0" w:line="86" w:lineRule="exact"/>
        <w:rPr>
          <w:sz w:val="20"/>
          <w:szCs w:val="20"/>
          <w:color w:val="auto"/>
        </w:rPr>
      </w:pPr>
    </w:p>
    <w:p>
      <w:pPr>
        <w:ind w:left="920" w:right="159"/>
        <w:spacing w:after="0" w:line="261" w:lineRule="auto"/>
        <w:rPr>
          <w:sz w:val="20"/>
          <w:szCs w:val="20"/>
          <w:color w:val="auto"/>
        </w:rPr>
      </w:pPr>
      <w:r>
        <w:rPr>
          <w:rFonts w:ascii="Arial" w:cs="Arial" w:eastAsia="Arial" w:hAnsi="Arial"/>
          <w:sz w:val="18"/>
          <w:szCs w:val="18"/>
          <w:color w:val="auto"/>
        </w:rPr>
        <w:t>Also under the Stockholders Agreement and subject to the Company’s obligation to comply with any applicable independence requirements under the Nasdaq rules and the rules of the SEC, or unless waived by Swarth, for so long as Swarth has the right to nominate at least two directors to the Board:</w:t>
      </w:r>
    </w:p>
    <w:p>
      <w:pPr>
        <w:spacing w:after="0" w:line="94" w:lineRule="exact"/>
        <w:rPr>
          <w:sz w:val="20"/>
          <w:szCs w:val="20"/>
          <w:color w:val="auto"/>
        </w:rPr>
      </w:pPr>
    </w:p>
    <w:p>
      <w:pPr>
        <w:ind w:left="1640" w:right="199" w:hanging="356"/>
        <w:spacing w:after="0" w:line="261" w:lineRule="auto"/>
        <w:tabs>
          <w:tab w:leader="none" w:pos="1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Nominating, Sustainability and Corporate Governance Committee must be comprised of three “independent directors” under the Stockholders Agreement, at least one of whom must be a designee of Swarth,</w:t>
      </w:r>
    </w:p>
    <w:p>
      <w:pPr>
        <w:spacing w:after="0" w:line="94" w:lineRule="exact"/>
        <w:rPr>
          <w:rFonts w:ascii="Arial" w:cs="Arial" w:eastAsia="Arial" w:hAnsi="Arial"/>
          <w:sz w:val="18"/>
          <w:szCs w:val="18"/>
          <w:color w:val="auto"/>
        </w:rPr>
      </w:pPr>
    </w:p>
    <w:p>
      <w:pPr>
        <w:ind w:left="1640" w:hanging="356"/>
        <w:spacing w:after="0"/>
        <w:tabs>
          <w:tab w:leader="none" w:pos="1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designee of Swarth must be the Chairman of the Audit Committee; and</w:t>
      </w:r>
    </w:p>
    <w:p>
      <w:pPr>
        <w:spacing w:after="0" w:line="130" w:lineRule="exact"/>
        <w:rPr>
          <w:rFonts w:ascii="Arial" w:cs="Arial" w:eastAsia="Arial" w:hAnsi="Arial"/>
          <w:sz w:val="18"/>
          <w:szCs w:val="18"/>
          <w:color w:val="auto"/>
        </w:rPr>
      </w:pPr>
    </w:p>
    <w:p>
      <w:pPr>
        <w:ind w:left="1640" w:right="139" w:hanging="356"/>
        <w:spacing w:after="0" w:line="261" w:lineRule="auto"/>
        <w:tabs>
          <w:tab w:leader="none" w:pos="1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only in the case that the JPM Stockholders do not have the right to nominate at least two directors to the Board, a designee of Swarth must be the Chairman of each of the Nominating, Sustainability and Corporate Governance Committee and the Compensation Committee.</w:t>
      </w:r>
    </w:p>
    <w:p>
      <w:pPr>
        <w:spacing w:after="0" w:line="94" w:lineRule="exact"/>
        <w:rPr>
          <w:sz w:val="20"/>
          <w:szCs w:val="20"/>
          <w:color w:val="auto"/>
        </w:rPr>
      </w:pPr>
    </w:p>
    <w:p>
      <w:pPr>
        <w:ind w:left="920" w:right="99"/>
        <w:spacing w:after="0" w:line="261" w:lineRule="auto"/>
        <w:rPr>
          <w:sz w:val="20"/>
          <w:szCs w:val="20"/>
          <w:color w:val="auto"/>
        </w:rPr>
      </w:pPr>
      <w:r>
        <w:rPr>
          <w:rFonts w:ascii="Arial" w:cs="Arial" w:eastAsia="Arial" w:hAnsi="Arial"/>
          <w:sz w:val="18"/>
          <w:szCs w:val="18"/>
          <w:color w:val="auto"/>
        </w:rPr>
        <w:t>The Nominating, Sustainability and Corporate Governance Committee determines the size and membership of each of the Audit Committee, the Compensation Committee, the Technology and Innovation Committee and all other committees established by the Board, provided that:</w:t>
      </w:r>
    </w:p>
    <w:p>
      <w:pPr>
        <w:spacing w:after="0" w:line="94" w:lineRule="exact"/>
        <w:rPr>
          <w:sz w:val="20"/>
          <w:szCs w:val="20"/>
          <w:color w:val="auto"/>
        </w:rPr>
      </w:pPr>
    </w:p>
    <w:p>
      <w:pPr>
        <w:ind w:left="1640" w:hanging="356"/>
        <w:spacing w:after="0"/>
        <w:tabs>
          <w:tab w:leader="none" w:pos="1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determination will comply with mandatory legal and listing requirements;</w:t>
      </w:r>
    </w:p>
    <w:p>
      <w:pPr>
        <w:spacing w:after="0" w:line="144" w:lineRule="exact"/>
        <w:rPr>
          <w:rFonts w:ascii="Arial" w:cs="Arial" w:eastAsia="Arial" w:hAnsi="Arial"/>
          <w:sz w:val="18"/>
          <w:szCs w:val="18"/>
          <w:color w:val="auto"/>
        </w:rPr>
      </w:pPr>
    </w:p>
    <w:p>
      <w:pPr>
        <w:ind w:left="1640" w:right="159" w:hanging="356"/>
        <w:spacing w:after="0" w:line="253" w:lineRule="auto"/>
        <w:tabs>
          <w:tab w:leader="none" w:pos="1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as long as the JPM Stockholders have the right to nominate at least one director to the Board who is eligible to serve on such committee, at least one member of each such committee will be a designee of the JPM Stockholders; and</w:t>
      </w:r>
    </w:p>
    <w:p>
      <w:pPr>
        <w:spacing w:after="0" w:line="101" w:lineRule="exact"/>
        <w:rPr>
          <w:rFonts w:ascii="Arial" w:cs="Arial" w:eastAsia="Arial" w:hAnsi="Arial"/>
          <w:sz w:val="18"/>
          <w:szCs w:val="18"/>
          <w:color w:val="auto"/>
        </w:rPr>
      </w:pPr>
    </w:p>
    <w:p>
      <w:pPr>
        <w:ind w:left="1640" w:right="159" w:hanging="356"/>
        <w:spacing w:after="0" w:line="261" w:lineRule="auto"/>
        <w:tabs>
          <w:tab w:leader="none" w:pos="1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so long as Swarth has the right to nominate at least one director to the Board who is eligible to serve on such committee, at least one member of each such committee must be a designee of Swarth.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40" w:lineRule="exact"/>
        <w:rPr>
          <w:sz w:val="20"/>
          <w:szCs w:val="20"/>
          <w:color w:val="auto"/>
        </w:rPr>
      </w:pPr>
    </w:p>
    <w:tbl>
      <w:tblPr>
        <w:tblLayout w:type="fixed"/>
        <w:tblInd w:w="920" w:type="dxa"/>
        <w:tblCellMar>
          <w:top w:w="0" w:type="dxa"/>
          <w:left w:w="0" w:type="dxa"/>
          <w:bottom w:w="0" w:type="dxa"/>
          <w:right w:w="0" w:type="dxa"/>
        </w:tblCellMar>
      </w:tblPr>
      <w:tr>
        <w:trPr>
          <w:trHeight w:val="344"/>
        </w:trPr>
        <w:tc>
          <w:tcPr>
            <w:tcW w:w="1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2540" w:type="dxa"/>
            <w:vAlign w:val="bottom"/>
            <w:tcBorders>
              <w:bottom w:val="single" w:sz="8" w:color="E7417A"/>
            </w:tcBorders>
            <w:shd w:val="clear" w:color="auto" w:fill="E7417A"/>
          </w:tcPr>
          <w:p>
            <w:pPr>
              <w:ind w:left="100"/>
              <w:spacing w:after="0"/>
              <w:rPr>
                <w:sz w:val="20"/>
                <w:szCs w:val="20"/>
                <w:color w:val="auto"/>
              </w:rPr>
            </w:pPr>
            <w:r>
              <w:rPr>
                <w:rFonts w:ascii="Arial" w:cs="Arial" w:eastAsia="Arial" w:hAnsi="Arial"/>
                <w:sz w:val="21"/>
                <w:szCs w:val="21"/>
                <w:b w:val="1"/>
                <w:bCs w:val="1"/>
                <w:color w:val="FEFEFE"/>
              </w:rPr>
              <w:t>AUDIT COMMITTEE</w:t>
            </w:r>
          </w:p>
        </w:tc>
        <w:tc>
          <w:tcPr>
            <w:tcW w:w="2000" w:type="dxa"/>
            <w:vAlign w:val="bottom"/>
            <w:tcBorders>
              <w:bottom w:val="single" w:sz="8" w:color="E7417A"/>
            </w:tcBorders>
            <w:shd w:val="clear" w:color="auto" w:fill="E7417A"/>
          </w:tcPr>
          <w:p>
            <w:pPr>
              <w:spacing w:after="0"/>
              <w:rPr>
                <w:sz w:val="24"/>
                <w:szCs w:val="24"/>
                <w:color w:val="auto"/>
              </w:rPr>
            </w:pPr>
          </w:p>
        </w:tc>
        <w:tc>
          <w:tcPr>
            <w:tcW w:w="3980" w:type="dxa"/>
            <w:vAlign w:val="bottom"/>
            <w:tcBorders>
              <w:bottom w:val="single" w:sz="8" w:color="E7417A"/>
            </w:tcBorders>
            <w:shd w:val="clear" w:color="auto" w:fill="E7417A"/>
          </w:tcPr>
          <w:p>
            <w:pPr>
              <w:ind w:left="1060"/>
              <w:spacing w:after="0"/>
              <w:rPr>
                <w:sz w:val="20"/>
                <w:szCs w:val="20"/>
                <w:color w:val="auto"/>
              </w:rPr>
            </w:pPr>
            <w:r>
              <w:rPr>
                <w:rFonts w:ascii="Arial" w:cs="Arial" w:eastAsia="Arial" w:hAnsi="Arial"/>
                <w:sz w:val="21"/>
                <w:szCs w:val="21"/>
                <w:b w:val="1"/>
                <w:bCs w:val="1"/>
                <w:color w:val="FEFEFE"/>
              </w:rPr>
              <w:t>​ ​</w:t>
            </w:r>
          </w:p>
        </w:tc>
        <w:tc>
          <w:tcPr>
            <w:tcW w:w="2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0" w:type="dxa"/>
            <w:vAlign w:val="bottom"/>
          </w:tcPr>
          <w:p>
            <w:pPr>
              <w:spacing w:after="0"/>
              <w:rPr>
                <w:sz w:val="1"/>
                <w:szCs w:val="1"/>
                <w:color w:val="auto"/>
              </w:rPr>
            </w:pPr>
          </w:p>
        </w:tc>
      </w:tr>
      <w:tr>
        <w:trPr>
          <w:trHeight w:val="242"/>
        </w:trPr>
        <w:tc>
          <w:tcPr>
            <w:tcW w:w="1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540" w:type="dxa"/>
            <w:vAlign w:val="bottom"/>
            <w:shd w:val="clear" w:color="auto" w:fill="F2F2F2"/>
          </w:tcPr>
          <w:p>
            <w:pPr>
              <w:spacing w:after="0"/>
              <w:rPr>
                <w:sz w:val="20"/>
                <w:szCs w:val="20"/>
                <w:color w:val="auto"/>
              </w:rPr>
            </w:pPr>
            <w:r>
              <w:rPr>
                <w:rFonts w:ascii="Arial" w:cs="Arial" w:eastAsia="Arial" w:hAnsi="Arial"/>
                <w:sz w:val="16"/>
                <w:szCs w:val="16"/>
                <w:b w:val="1"/>
                <w:bCs w:val="1"/>
                <w:color w:val="62259D"/>
              </w:rPr>
              <w:t>CURRENT COMMITTEE</w:t>
            </w:r>
          </w:p>
        </w:tc>
        <w:tc>
          <w:tcPr>
            <w:tcW w:w="2000" w:type="dxa"/>
            <w:vAlign w:val="bottom"/>
            <w:shd w:val="clear" w:color="auto" w:fill="F2F2F2"/>
          </w:tcPr>
          <w:p>
            <w:pPr>
              <w:ind w:left="160"/>
              <w:spacing w:after="0"/>
              <w:rPr>
                <w:sz w:val="20"/>
                <w:szCs w:val="20"/>
                <w:color w:val="auto"/>
              </w:rPr>
            </w:pPr>
            <w:r>
              <w:rPr>
                <w:rFonts w:ascii="Arial" w:cs="Arial" w:eastAsia="Arial" w:hAnsi="Arial"/>
                <w:sz w:val="16"/>
                <w:szCs w:val="16"/>
                <w:color w:val="auto"/>
              </w:rPr>
              <w:t>​ ​</w:t>
            </w:r>
          </w:p>
        </w:tc>
        <w:tc>
          <w:tcPr>
            <w:tcW w:w="3980" w:type="dxa"/>
            <w:vAlign w:val="bottom"/>
            <w:vMerge w:val="restart"/>
            <w:shd w:val="clear" w:color="auto" w:fill="F2F2F2"/>
          </w:tcPr>
          <w:p>
            <w:pPr>
              <w:ind w:left="2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All members of the committee are independent</w:t>
            </w:r>
          </w:p>
        </w:tc>
        <w:tc>
          <w:tcPr>
            <w:tcW w:w="2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20" w:type="dxa"/>
            <w:vAlign w:val="bottom"/>
            <w:shd w:val="clear" w:color="auto" w:fill="F2F2F2"/>
          </w:tcPr>
          <w:p>
            <w:pPr>
              <w:spacing w:after="0"/>
              <w:rPr>
                <w:sz w:val="9"/>
                <w:szCs w:val="9"/>
                <w:color w:val="auto"/>
              </w:rPr>
            </w:pPr>
          </w:p>
        </w:tc>
        <w:tc>
          <w:tcPr>
            <w:tcW w:w="2540" w:type="dxa"/>
            <w:vAlign w:val="bottom"/>
            <w:vMerge w:val="restart"/>
            <w:shd w:val="clear" w:color="auto" w:fill="F2F2F2"/>
          </w:tcPr>
          <w:p>
            <w:pPr>
              <w:spacing w:after="0"/>
              <w:rPr>
                <w:sz w:val="20"/>
                <w:szCs w:val="20"/>
                <w:color w:val="auto"/>
              </w:rPr>
            </w:pPr>
            <w:r>
              <w:rPr>
                <w:rFonts w:ascii="Arial" w:cs="Arial" w:eastAsia="Arial" w:hAnsi="Arial"/>
                <w:sz w:val="16"/>
                <w:szCs w:val="16"/>
                <w:b w:val="1"/>
                <w:bCs w:val="1"/>
                <w:color w:val="62259D"/>
              </w:rPr>
              <w:t>MEMBERS</w:t>
            </w:r>
          </w:p>
        </w:tc>
        <w:tc>
          <w:tcPr>
            <w:tcW w:w="2000" w:type="dxa"/>
            <w:vAlign w:val="bottom"/>
            <w:shd w:val="clear" w:color="auto" w:fill="F2F2F2"/>
          </w:tcPr>
          <w:p>
            <w:pPr>
              <w:spacing w:after="0"/>
              <w:rPr>
                <w:sz w:val="9"/>
                <w:szCs w:val="9"/>
                <w:color w:val="auto"/>
              </w:rPr>
            </w:pPr>
          </w:p>
        </w:tc>
        <w:tc>
          <w:tcPr>
            <w:tcW w:w="3980" w:type="dxa"/>
            <w:vAlign w:val="bottom"/>
            <w:vMerge w:val="continue"/>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2540" w:type="dxa"/>
            <w:vAlign w:val="bottom"/>
            <w:vMerge w:val="continue"/>
            <w:shd w:val="clear" w:color="auto" w:fill="F2F2F2"/>
          </w:tcPr>
          <w:p>
            <w:pPr>
              <w:spacing w:after="0"/>
              <w:rPr>
                <w:sz w:val="8"/>
                <w:szCs w:val="8"/>
                <w:color w:val="auto"/>
              </w:rPr>
            </w:pPr>
          </w:p>
        </w:tc>
        <w:tc>
          <w:tcPr>
            <w:tcW w:w="2000" w:type="dxa"/>
            <w:vAlign w:val="bottom"/>
            <w:vMerge w:val="restart"/>
            <w:shd w:val="clear" w:color="auto" w:fill="F2F2F2"/>
          </w:tcPr>
          <w:p>
            <w:pPr>
              <w:ind w:left="1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Beatriz V. Infante</w:t>
            </w:r>
          </w:p>
        </w:tc>
        <w:tc>
          <w:tcPr>
            <w:tcW w:w="3980" w:type="dxa"/>
            <w:vAlign w:val="bottom"/>
            <w:vMerge w:val="restart"/>
            <w:shd w:val="clear" w:color="auto" w:fill="F2F2F2"/>
          </w:tcPr>
          <w:p>
            <w:pPr>
              <w:ind w:left="106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Scott Mair</w:t>
            </w:r>
          </w:p>
        </w:tc>
        <w:tc>
          <w:tcPr>
            <w:tcW w:w="2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20" w:type="dxa"/>
            <w:vAlign w:val="bottom"/>
            <w:vMerge w:val="continue"/>
            <w:shd w:val="clear" w:color="auto" w:fill="F2F2F2"/>
          </w:tcPr>
          <w:p>
            <w:pPr>
              <w:spacing w:after="0"/>
              <w:rPr>
                <w:sz w:val="18"/>
                <w:szCs w:val="18"/>
                <w:color w:val="auto"/>
              </w:rPr>
            </w:pPr>
          </w:p>
        </w:tc>
        <w:tc>
          <w:tcPr>
            <w:tcW w:w="2540" w:type="dxa"/>
            <w:vAlign w:val="bottom"/>
            <w:shd w:val="clear" w:color="auto" w:fill="F2F2F2"/>
          </w:tcPr>
          <w:p>
            <w:pPr>
              <w:ind w:left="16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R. Stewart Ewing, Jr.,</w:t>
            </w:r>
            <w:r>
              <w:rPr>
                <w:rFonts w:ascii="Arial" w:cs="Arial" w:eastAsia="Arial" w:hAnsi="Arial"/>
                <w:sz w:val="16"/>
                <w:szCs w:val="16"/>
                <w:color w:val="62259D"/>
              </w:rPr>
              <w:t xml:space="preserve"> </w:t>
            </w:r>
            <w:r>
              <w:rPr>
                <w:rFonts w:ascii="Arial" w:cs="Arial" w:eastAsia="Arial" w:hAnsi="Arial"/>
                <w:sz w:val="16"/>
                <w:szCs w:val="16"/>
                <w:i w:val="1"/>
                <w:iCs w:val="1"/>
                <w:color w:val="000000"/>
              </w:rPr>
              <w:t>Chair</w:t>
            </w:r>
          </w:p>
        </w:tc>
        <w:tc>
          <w:tcPr>
            <w:tcW w:w="2000" w:type="dxa"/>
            <w:vAlign w:val="bottom"/>
            <w:vMerge w:val="continue"/>
            <w:shd w:val="clear" w:color="auto" w:fill="F2F2F2"/>
          </w:tcPr>
          <w:p>
            <w:pPr>
              <w:spacing w:after="0"/>
              <w:rPr>
                <w:sz w:val="18"/>
                <w:szCs w:val="18"/>
                <w:color w:val="auto"/>
              </w:rPr>
            </w:pPr>
          </w:p>
        </w:tc>
        <w:tc>
          <w:tcPr>
            <w:tcW w:w="3980" w:type="dxa"/>
            <w:vAlign w:val="bottom"/>
            <w:vMerge w:val="continue"/>
            <w:shd w:val="clear" w:color="auto" w:fill="F2F2F2"/>
          </w:tcPr>
          <w:p>
            <w:pPr>
              <w:spacing w:after="0"/>
              <w:rPr>
                <w:sz w:val="18"/>
                <w:szCs w:val="18"/>
                <w:color w:val="auto"/>
              </w:rPr>
            </w:pPr>
          </w:p>
        </w:tc>
        <w:tc>
          <w:tcPr>
            <w:tcW w:w="22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0" w:type="dxa"/>
            <w:vAlign w:val="bottom"/>
            <w:shd w:val="clear" w:color="auto" w:fill="F2F2F2"/>
          </w:tcPr>
          <w:p>
            <w:pPr>
              <w:spacing w:after="0"/>
              <w:rPr>
                <w:sz w:val="4"/>
                <w:szCs w:val="4"/>
                <w:color w:val="auto"/>
              </w:rPr>
            </w:pPr>
          </w:p>
        </w:tc>
        <w:tc>
          <w:tcPr>
            <w:tcW w:w="2540" w:type="dxa"/>
            <w:vAlign w:val="bottom"/>
            <w:shd w:val="clear" w:color="auto" w:fill="F2F2F2"/>
          </w:tcPr>
          <w:p>
            <w:pPr>
              <w:spacing w:after="0"/>
              <w:rPr>
                <w:sz w:val="4"/>
                <w:szCs w:val="4"/>
                <w:color w:val="auto"/>
              </w:rPr>
            </w:pPr>
          </w:p>
        </w:tc>
        <w:tc>
          <w:tcPr>
            <w:tcW w:w="2000" w:type="dxa"/>
            <w:vAlign w:val="bottom"/>
            <w:shd w:val="clear" w:color="auto" w:fill="F2F2F2"/>
          </w:tcPr>
          <w:p>
            <w:pPr>
              <w:spacing w:after="0"/>
              <w:rPr>
                <w:sz w:val="4"/>
                <w:szCs w:val="4"/>
                <w:color w:val="auto"/>
              </w:rPr>
            </w:pPr>
          </w:p>
        </w:tc>
        <w:tc>
          <w:tcPr>
            <w:tcW w:w="3980" w:type="dxa"/>
            <w:vAlign w:val="bottom"/>
            <w:shd w:val="clear" w:color="auto" w:fill="F2F2F2"/>
          </w:tcPr>
          <w:p>
            <w:pPr>
              <w:spacing w:after="0"/>
              <w:rPr>
                <w:sz w:val="4"/>
                <w:szCs w:val="4"/>
                <w:color w:val="auto"/>
              </w:rPr>
            </w:pPr>
          </w:p>
        </w:tc>
        <w:tc>
          <w:tcPr>
            <w:tcW w:w="22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-368300</wp:posOffset>
            </wp:positionV>
            <wp:extent cx="111125" cy="1028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7" w:lineRule="exact"/>
        <w:rPr>
          <w:sz w:val="20"/>
          <w:szCs w:val="20"/>
          <w:color w:val="auto"/>
        </w:rPr>
      </w:pPr>
    </w:p>
    <w:p>
      <w:pPr>
        <w:ind w:left="1040" w:hanging="116"/>
        <w:spacing w:after="0"/>
        <w:tabs>
          <w:tab w:leader="none" w:pos="104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62259D"/>
        </w:rPr>
        <w:t>KEY RESPONSIBILITIES</w:t>
      </w:r>
    </w:p>
    <w:p>
      <w:pPr>
        <w:spacing w:after="0" w:line="34" w:lineRule="exact"/>
        <w:rPr>
          <w:rFonts w:ascii="Arial" w:cs="Arial" w:eastAsia="Arial" w:hAnsi="Arial"/>
          <w:sz w:val="16"/>
          <w:szCs w:val="16"/>
          <w:color w:val="auto"/>
        </w:rPr>
      </w:pPr>
    </w:p>
    <w:p>
      <w:pPr>
        <w:ind w:left="1040" w:right="60"/>
        <w:spacing w:after="0" w:line="259" w:lineRule="auto"/>
        <w:rPr>
          <w:rFonts w:ascii="Arial" w:cs="Arial" w:eastAsia="Arial" w:hAnsi="Arial"/>
          <w:sz w:val="16"/>
          <w:szCs w:val="16"/>
          <w:color w:val="auto"/>
        </w:rPr>
      </w:pPr>
      <w:r>
        <w:rPr>
          <w:rFonts w:ascii="Arial" w:cs="Arial" w:eastAsia="Arial" w:hAnsi="Arial"/>
          <w:sz w:val="16"/>
          <w:szCs w:val="16"/>
          <w:color w:val="auto"/>
        </w:rPr>
        <w:t>As described more fully in its charter, the Audit Committee’s responsibilities include, among other things:</w:t>
      </w:r>
    </w:p>
    <w:p>
      <w:pPr>
        <w:spacing w:after="0" w:line="21" w:lineRule="exact"/>
        <w:rPr>
          <w:rFonts w:ascii="Arial" w:cs="Arial" w:eastAsia="Arial" w:hAnsi="Arial"/>
          <w:sz w:val="16"/>
          <w:szCs w:val="16"/>
          <w:color w:val="auto"/>
        </w:rPr>
      </w:pPr>
    </w:p>
    <w:p>
      <w:pPr>
        <w:ind w:left="1340" w:hanging="308"/>
        <w:spacing w:after="0" w:line="234" w:lineRule="auto"/>
        <w:tabs>
          <w:tab w:leader="none" w:pos="13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appointing, evaluating, retaining, compensating or setting the compensation of, and overseeing the work of and, if appropriate, terminating the appointment of the independent auditor;</w:t>
      </w:r>
    </w:p>
    <w:p>
      <w:pPr>
        <w:spacing w:after="0" w:line="38" w:lineRule="exact"/>
        <w:rPr>
          <w:rFonts w:ascii="Arial" w:cs="Arial" w:eastAsia="Arial" w:hAnsi="Arial"/>
          <w:sz w:val="16"/>
          <w:szCs w:val="16"/>
          <w:color w:val="auto"/>
        </w:rPr>
      </w:pPr>
    </w:p>
    <w:p>
      <w:pPr>
        <w:ind w:left="1340" w:right="20" w:hanging="308"/>
        <w:spacing w:after="0" w:line="229" w:lineRule="auto"/>
        <w:tabs>
          <w:tab w:leader="none" w:pos="13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overseeing the Company’s financial reporting, including reviewing and discussing with management, the independent auditor and a member of the internal audit function, prior to public release, the Company’s annual and quarterly financial statements to be filed with the SEC;</w:t>
      </w:r>
    </w:p>
    <w:p>
      <w:pPr>
        <w:spacing w:after="0" w:line="40" w:lineRule="exact"/>
        <w:rPr>
          <w:rFonts w:ascii="Arial" w:cs="Arial" w:eastAsia="Arial" w:hAnsi="Arial"/>
          <w:sz w:val="16"/>
          <w:szCs w:val="16"/>
          <w:color w:val="auto"/>
        </w:rPr>
      </w:pPr>
    </w:p>
    <w:p>
      <w:pPr>
        <w:ind w:left="1340" w:right="140" w:hanging="308"/>
        <w:spacing w:after="0" w:line="234" w:lineRule="auto"/>
        <w:tabs>
          <w:tab w:leader="none" w:pos="13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overseeing management’s design and maintenance of the Company’s internal control over financial reporting and disclosure controls and procedures; and</w:t>
      </w:r>
    </w:p>
    <w:p>
      <w:pPr>
        <w:spacing w:after="0" w:line="38" w:lineRule="exact"/>
        <w:rPr>
          <w:rFonts w:ascii="Arial" w:cs="Arial" w:eastAsia="Arial" w:hAnsi="Arial"/>
          <w:sz w:val="16"/>
          <w:szCs w:val="16"/>
          <w:color w:val="auto"/>
        </w:rPr>
      </w:pPr>
    </w:p>
    <w:p>
      <w:pPr>
        <w:ind w:left="1340" w:right="100" w:hanging="308"/>
        <w:spacing w:after="0" w:line="229" w:lineRule="auto"/>
        <w:tabs>
          <w:tab w:leader="none" w:pos="1340" w:val="left"/>
        </w:tabs>
        <w:numPr>
          <w:ilvl w:val="1"/>
          <w:numId w:val="78"/>
        </w:numPr>
        <w:rPr>
          <w:rFonts w:ascii="Arial" w:cs="Arial" w:eastAsia="Arial" w:hAnsi="Arial"/>
          <w:sz w:val="16"/>
          <w:szCs w:val="16"/>
          <w:color w:val="auto"/>
        </w:rPr>
      </w:pPr>
      <w:r>
        <w:rPr>
          <w:rFonts w:ascii="Arial" w:cs="Arial" w:eastAsia="Arial" w:hAnsi="Arial"/>
          <w:sz w:val="16"/>
          <w:szCs w:val="16"/>
          <w:color w:val="auto"/>
        </w:rPr>
        <w:t>reviewing and discussing with management and the independent auditor the Company’s financial, enterprise, cybersecurity and AI risk exposures and assessing the policies and procedures management has implemented to monitor and control such exposures.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tabs>
          <w:tab w:leader="none" w:pos="442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62259D"/>
        </w:rPr>
        <w:t>CHARTER</w:t>
      </w:r>
      <w:r>
        <w:rPr>
          <w:sz w:val="20"/>
          <w:szCs w:val="20"/>
          <w:color w:val="auto"/>
        </w:rPr>
        <w:tab/>
      </w:r>
      <w:r>
        <w:rPr>
          <w:rFonts w:ascii="Arial" w:cs="Arial" w:eastAsia="Arial" w:hAnsi="Arial"/>
          <w:sz w:val="16"/>
          <w:szCs w:val="16"/>
          <w:color w:val="auto"/>
        </w:rPr>
        <w:t>​</w:t>
      </w:r>
    </w:p>
    <w:p>
      <w:pPr>
        <w:spacing w:after="0" w:line="34" w:lineRule="exact"/>
        <w:rPr>
          <w:sz w:val="20"/>
          <w:szCs w:val="20"/>
          <w:color w:val="auto"/>
        </w:rPr>
      </w:pPr>
    </w:p>
    <w:p>
      <w:pPr>
        <w:ind w:left="220" w:right="279"/>
        <w:spacing w:after="0" w:line="235" w:lineRule="auto"/>
        <w:rPr>
          <w:sz w:val="20"/>
          <w:szCs w:val="20"/>
          <w:color w:val="auto"/>
        </w:rPr>
      </w:pPr>
      <w:r>
        <w:rPr>
          <w:rFonts w:ascii="Arial" w:cs="Arial" w:eastAsia="Arial" w:hAnsi="Arial"/>
          <w:sz w:val="16"/>
          <w:szCs w:val="16"/>
          <w:color w:val="auto"/>
        </w:rPr>
        <w:t>The Audit Committee operates pursuant to a written charter adopted by the Board that reflects standards and requirements adopted by the SEC and Nasdaq, a current</w:t>
      </w:r>
    </w:p>
    <w:p>
      <w:pPr>
        <w:ind w:left="220" w:right="419"/>
        <w:spacing w:after="0" w:line="220" w:lineRule="auto"/>
        <w:rPr>
          <w:sz w:val="20"/>
          <w:szCs w:val="20"/>
          <w:color w:val="auto"/>
        </w:rPr>
      </w:pPr>
      <w:r>
        <w:rPr>
          <w:rFonts w:ascii="Arial" w:cs="Arial" w:eastAsia="Arial" w:hAnsi="Arial"/>
          <w:sz w:val="16"/>
          <w:szCs w:val="16"/>
          <w:color w:val="auto"/>
        </w:rPr>
        <w:t xml:space="preserve">copy of which is available at </w:t>
      </w:r>
      <w:r>
        <w:rPr>
          <w:rFonts w:ascii="Arial" w:cs="Arial" w:eastAsia="Arial" w:hAnsi="Arial"/>
          <w:sz w:val="16"/>
          <w:szCs w:val="16"/>
          <w:color w:val="E7417A"/>
        </w:rPr>
        <w:t xml:space="preserve">investors.ribboncommunications.com </w:t>
      </w:r>
      <w:r>
        <w:rPr>
          <w:rFonts w:ascii="Arial" w:cs="Arial" w:eastAsia="Arial" w:hAnsi="Arial"/>
          <w:sz w:val="16"/>
          <w:szCs w:val="16"/>
          <w:color w:val="000000"/>
        </w:rPr>
        <w:t>under</w:t>
      </w:r>
      <w:r>
        <w:rPr>
          <w:rFonts w:ascii="Arial" w:cs="Arial" w:eastAsia="Arial" w:hAnsi="Arial"/>
          <w:sz w:val="16"/>
          <w:szCs w:val="16"/>
          <w:color w:val="E7417A"/>
        </w:rPr>
        <w:t xml:space="preserve"> </w:t>
      </w:r>
      <w:r>
        <w:rPr>
          <w:rFonts w:ascii="Arial" w:cs="Arial" w:eastAsia="Arial" w:hAnsi="Arial"/>
          <w:sz w:val="16"/>
          <w:szCs w:val="16"/>
          <w:i w:val="1"/>
          <w:iCs w:val="1"/>
          <w:color w:val="000000"/>
        </w:rPr>
        <w:t>“Corporate</w:t>
      </w:r>
    </w:p>
    <w:p>
      <w:pPr>
        <w:ind w:left="220"/>
        <w:spacing w:after="0"/>
        <w:rPr>
          <w:sz w:val="20"/>
          <w:szCs w:val="20"/>
          <w:color w:val="auto"/>
        </w:rPr>
      </w:pPr>
      <w:r>
        <w:rPr>
          <w:rFonts w:ascii="Arial" w:cs="Arial" w:eastAsia="Arial" w:hAnsi="Arial"/>
          <w:sz w:val="16"/>
          <w:szCs w:val="16"/>
          <w:i w:val="1"/>
          <w:iCs w:val="1"/>
          <w:color w:val="auto"/>
        </w:rPr>
        <w:t>Governance — Governance Highlights.”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62259D"/>
        </w:rPr>
        <w:t>QUALIFICATIONS</w:t>
      </w:r>
    </w:p>
    <w:p>
      <w:pPr>
        <w:spacing w:after="0" w:line="34" w:lineRule="exact"/>
        <w:rPr>
          <w:sz w:val="20"/>
          <w:szCs w:val="20"/>
          <w:color w:val="auto"/>
        </w:rPr>
      </w:pPr>
    </w:p>
    <w:p>
      <w:pPr>
        <w:ind w:left="220" w:right="379"/>
        <w:spacing w:after="0" w:line="235" w:lineRule="auto"/>
        <w:rPr>
          <w:sz w:val="20"/>
          <w:szCs w:val="20"/>
          <w:color w:val="auto"/>
        </w:rPr>
      </w:pPr>
      <w:r>
        <w:rPr>
          <w:rFonts w:ascii="Arial" w:cs="Arial" w:eastAsia="Arial" w:hAnsi="Arial"/>
          <w:sz w:val="16"/>
          <w:szCs w:val="16"/>
          <w:color w:val="auto"/>
        </w:rPr>
        <w:t>Our Board has determined that Mr. Ewing is an “audit committee financial expert” as defined in Item 407(d)(5) of Regulation S-K. This designation is a disclosure</w:t>
      </w:r>
    </w:p>
    <w:p>
      <w:pPr>
        <w:ind w:left="220" w:right="239"/>
        <w:spacing w:after="0" w:line="220" w:lineRule="auto"/>
        <w:rPr>
          <w:sz w:val="20"/>
          <w:szCs w:val="20"/>
          <w:color w:val="auto"/>
        </w:rPr>
      </w:pPr>
      <w:r>
        <w:rPr>
          <w:rFonts w:ascii="Arial" w:cs="Arial" w:eastAsia="Arial" w:hAnsi="Arial"/>
          <w:sz w:val="16"/>
          <w:szCs w:val="16"/>
          <w:color w:val="auto"/>
        </w:rPr>
        <w:t>requirement of the SEC related to Mr. Ewing’s experience and understanding with respect to certain accounting and</w:t>
      </w:r>
    </w:p>
    <w:p>
      <w:pPr>
        <w:ind w:left="220"/>
        <w:spacing w:after="0" w:line="229" w:lineRule="auto"/>
        <w:rPr>
          <w:sz w:val="20"/>
          <w:szCs w:val="20"/>
          <w:color w:val="auto"/>
        </w:rPr>
      </w:pPr>
      <w:r>
        <w:rPr>
          <w:rFonts w:ascii="Arial" w:cs="Arial" w:eastAsia="Arial" w:hAnsi="Arial"/>
          <w:sz w:val="16"/>
          <w:szCs w:val="16"/>
          <w:color w:val="auto"/>
        </w:rPr>
        <w:t>auditing matters, but it does not impose upon Mr. Ewing</w:t>
      </w:r>
    </w:p>
    <w:p>
      <w:pPr>
        <w:ind w:left="220" w:right="219"/>
        <w:spacing w:after="0" w:line="220" w:lineRule="auto"/>
        <w:rPr>
          <w:sz w:val="20"/>
          <w:szCs w:val="20"/>
          <w:color w:val="auto"/>
        </w:rPr>
      </w:pPr>
      <w:r>
        <w:rPr>
          <w:rFonts w:ascii="Arial" w:cs="Arial" w:eastAsia="Arial" w:hAnsi="Arial"/>
          <w:sz w:val="16"/>
          <w:szCs w:val="16"/>
          <w:color w:val="auto"/>
        </w:rPr>
        <w:t>any duties, obligations or liability that are greater than are generally imposed on him as a member of the Audit</w:t>
      </w:r>
    </w:p>
    <w:p>
      <w:pPr>
        <w:ind w:left="220" w:right="559"/>
        <w:spacing w:after="0" w:line="228" w:lineRule="auto"/>
        <w:rPr>
          <w:sz w:val="20"/>
          <w:szCs w:val="20"/>
          <w:color w:val="auto"/>
        </w:rPr>
      </w:pPr>
      <w:r>
        <w:rPr>
          <w:rFonts w:ascii="Arial" w:cs="Arial" w:eastAsia="Arial" w:hAnsi="Arial"/>
          <w:sz w:val="16"/>
          <w:szCs w:val="16"/>
          <w:color w:val="auto"/>
        </w:rPr>
        <w:t>Committee and the Board, and his designation as an audit committee financial expert pursuant to this SEC</w:t>
      </w:r>
    </w:p>
    <w:p>
      <w:pPr>
        <w:spacing w:after="0" w:line="1" w:lineRule="exact"/>
        <w:rPr>
          <w:sz w:val="20"/>
          <w:szCs w:val="20"/>
          <w:color w:val="auto"/>
        </w:rPr>
      </w:pPr>
    </w:p>
    <w:p>
      <w:pPr>
        <w:ind w:left="220" w:right="439"/>
        <w:spacing w:after="0" w:line="220" w:lineRule="auto"/>
        <w:rPr>
          <w:sz w:val="20"/>
          <w:szCs w:val="20"/>
          <w:color w:val="auto"/>
        </w:rPr>
      </w:pPr>
      <w:r>
        <w:rPr>
          <w:rFonts w:ascii="Arial" w:cs="Arial" w:eastAsia="Arial" w:hAnsi="Arial"/>
          <w:sz w:val="16"/>
          <w:szCs w:val="16"/>
          <w:color w:val="auto"/>
        </w:rPr>
        <w:t>requirement does not affect the duties, obligations or liability of any other member of the Audit Committee or</w:t>
      </w:r>
    </w:p>
    <w:p>
      <w:pPr>
        <w:ind w:left="220"/>
        <w:spacing w:after="0"/>
        <w:rPr>
          <w:sz w:val="20"/>
          <w:szCs w:val="20"/>
          <w:color w:val="auto"/>
        </w:rPr>
      </w:pPr>
      <w:r>
        <w:rPr>
          <w:rFonts w:ascii="Arial" w:cs="Arial" w:eastAsia="Arial" w:hAnsi="Arial"/>
          <w:sz w:val="16"/>
          <w:szCs w:val="16"/>
          <w:color w:val="auto"/>
        </w:rPr>
        <w:t>the Board.</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62259D"/>
        </w:rPr>
        <w:t>REPORT</w:t>
      </w:r>
    </w:p>
    <w:p>
      <w:pPr>
        <w:spacing w:after="0" w:line="34" w:lineRule="exact"/>
        <w:rPr>
          <w:sz w:val="20"/>
          <w:szCs w:val="20"/>
          <w:color w:val="auto"/>
        </w:rPr>
      </w:pPr>
    </w:p>
    <w:p>
      <w:pPr>
        <w:ind w:left="220" w:right="359"/>
        <w:spacing w:after="0" w:line="259" w:lineRule="auto"/>
        <w:rPr>
          <w:sz w:val="20"/>
          <w:szCs w:val="20"/>
          <w:color w:val="auto"/>
        </w:rPr>
      </w:pPr>
      <w:r>
        <w:rPr>
          <w:rFonts w:ascii="Arial" w:cs="Arial" w:eastAsia="Arial" w:hAnsi="Arial"/>
          <w:sz w:val="16"/>
          <w:szCs w:val="16"/>
          <w:color w:val="auto"/>
        </w:rPr>
        <w:t xml:space="preserve">The Audit Committee Report is on page </w:t>
      </w:r>
      <w:r>
        <w:rPr>
          <w:rFonts w:ascii="Arial" w:cs="Arial" w:eastAsia="Arial" w:hAnsi="Arial"/>
          <w:sz w:val="16"/>
          <w:szCs w:val="16"/>
          <w:u w:val="single" w:color="auto"/>
          <w:color w:val="0000EE"/>
        </w:rPr>
        <w:t>33</w:t>
      </w:r>
      <w:r>
        <w:rPr>
          <w:rFonts w:ascii="Arial" w:cs="Arial" w:eastAsia="Arial" w:hAnsi="Arial"/>
          <w:sz w:val="16"/>
          <w:szCs w:val="16"/>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1905</wp:posOffset>
            </wp:positionV>
            <wp:extent cx="56235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0"/>
            <w:col w:w="46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40" w:lineRule="exact"/>
        <w:rPr>
          <w:sz w:val="20"/>
          <w:szCs w:val="20"/>
          <w:color w:val="auto"/>
        </w:rPr>
      </w:pPr>
    </w:p>
    <w:tbl>
      <w:tblPr>
        <w:tblLayout w:type="fixed"/>
        <w:tblInd w:w="920" w:type="dxa"/>
        <w:tblCellMar>
          <w:top w:w="0" w:type="dxa"/>
          <w:left w:w="0" w:type="dxa"/>
          <w:bottom w:w="0" w:type="dxa"/>
          <w:right w:w="0" w:type="dxa"/>
        </w:tblCellMar>
      </w:tblPr>
      <w:tr>
        <w:trPr>
          <w:trHeight w:val="344"/>
        </w:trPr>
        <w:tc>
          <w:tcPr>
            <w:tcW w:w="1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4660" w:type="dxa"/>
            <w:vAlign w:val="bottom"/>
            <w:tcBorders>
              <w:bottom w:val="single" w:sz="8" w:color="E7417A"/>
            </w:tcBorders>
            <w:gridSpan w:val="3"/>
            <w:shd w:val="clear" w:color="auto" w:fill="E7417A"/>
          </w:tcPr>
          <w:p>
            <w:pPr>
              <w:ind w:left="100"/>
              <w:spacing w:after="0"/>
              <w:rPr>
                <w:sz w:val="20"/>
                <w:szCs w:val="20"/>
                <w:color w:val="auto"/>
              </w:rPr>
            </w:pPr>
            <w:r>
              <w:rPr>
                <w:rFonts w:ascii="Arial" w:cs="Arial" w:eastAsia="Arial" w:hAnsi="Arial"/>
                <w:sz w:val="21"/>
                <w:szCs w:val="21"/>
                <w:b w:val="1"/>
                <w:bCs w:val="1"/>
                <w:color w:val="FEFEFE"/>
              </w:rPr>
              <w:t>COMPENSATION COMMITTEE</w:t>
            </w:r>
          </w:p>
        </w:tc>
        <w:tc>
          <w:tcPr>
            <w:tcW w:w="3860" w:type="dxa"/>
            <w:vAlign w:val="bottom"/>
            <w:tcBorders>
              <w:bottom w:val="single" w:sz="8" w:color="E7417A"/>
            </w:tcBorders>
            <w:shd w:val="clear" w:color="auto" w:fill="E7417A"/>
          </w:tcPr>
          <w:p>
            <w:pPr>
              <w:ind w:left="940"/>
              <w:spacing w:after="0"/>
              <w:rPr>
                <w:sz w:val="20"/>
                <w:szCs w:val="20"/>
                <w:color w:val="auto"/>
              </w:rPr>
            </w:pPr>
            <w:r>
              <w:rPr>
                <w:rFonts w:ascii="Arial" w:cs="Arial" w:eastAsia="Arial" w:hAnsi="Arial"/>
                <w:sz w:val="21"/>
                <w:szCs w:val="21"/>
                <w:b w:val="1"/>
                <w:bCs w:val="1"/>
                <w:color w:val="FEFEFE"/>
              </w:rPr>
              <w:t>​ ​</w:t>
            </w:r>
          </w:p>
        </w:tc>
        <w:tc>
          <w:tcPr>
            <w:tcW w:w="2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0" w:type="dxa"/>
            <w:vAlign w:val="bottom"/>
          </w:tcPr>
          <w:p>
            <w:pPr>
              <w:spacing w:after="0"/>
              <w:rPr>
                <w:sz w:val="1"/>
                <w:szCs w:val="1"/>
                <w:color w:val="auto"/>
              </w:rPr>
            </w:pPr>
          </w:p>
        </w:tc>
      </w:tr>
      <w:tr>
        <w:trPr>
          <w:trHeight w:val="242"/>
        </w:trPr>
        <w:tc>
          <w:tcPr>
            <w:tcW w:w="1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400" w:type="dxa"/>
            <w:vAlign w:val="bottom"/>
            <w:shd w:val="clear" w:color="auto" w:fill="F2F2F2"/>
          </w:tcPr>
          <w:p>
            <w:pPr>
              <w:spacing w:after="0"/>
              <w:rPr>
                <w:sz w:val="20"/>
                <w:szCs w:val="20"/>
                <w:color w:val="auto"/>
              </w:rPr>
            </w:pPr>
            <w:r>
              <w:rPr>
                <w:rFonts w:ascii="Arial" w:cs="Arial" w:eastAsia="Arial" w:hAnsi="Arial"/>
                <w:sz w:val="16"/>
                <w:szCs w:val="16"/>
                <w:b w:val="1"/>
                <w:bCs w:val="1"/>
                <w:color w:val="62259D"/>
              </w:rPr>
              <w:t>CURRENT COMMITTEE</w:t>
            </w:r>
          </w:p>
        </w:tc>
        <w:tc>
          <w:tcPr>
            <w:tcW w:w="560" w:type="dxa"/>
            <w:vAlign w:val="bottom"/>
            <w:shd w:val="clear" w:color="auto" w:fill="F2F2F2"/>
          </w:tcPr>
          <w:p>
            <w:pPr>
              <w:ind w:left="300"/>
              <w:spacing w:after="0"/>
              <w:rPr>
                <w:sz w:val="20"/>
                <w:szCs w:val="20"/>
                <w:color w:val="auto"/>
              </w:rPr>
            </w:pPr>
            <w:r>
              <w:rPr>
                <w:rFonts w:ascii="Arial" w:cs="Arial" w:eastAsia="Arial" w:hAnsi="Arial"/>
                <w:sz w:val="16"/>
                <w:szCs w:val="16"/>
                <w:color w:val="auto"/>
              </w:rPr>
              <w:t>​ ​</w:t>
            </w:r>
          </w:p>
        </w:tc>
        <w:tc>
          <w:tcPr>
            <w:tcW w:w="1700" w:type="dxa"/>
            <w:vAlign w:val="bottom"/>
            <w:shd w:val="clear" w:color="auto" w:fill="F2F2F2"/>
          </w:tcPr>
          <w:p>
            <w:pPr>
              <w:spacing w:after="0"/>
              <w:rPr>
                <w:sz w:val="21"/>
                <w:szCs w:val="21"/>
                <w:color w:val="auto"/>
              </w:rPr>
            </w:pPr>
          </w:p>
        </w:tc>
        <w:tc>
          <w:tcPr>
            <w:tcW w:w="3860" w:type="dxa"/>
            <w:vAlign w:val="bottom"/>
            <w:vMerge w:val="restart"/>
            <w:shd w:val="clear" w:color="auto" w:fill="F2F2F2"/>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All members of the committee are independent</w:t>
            </w:r>
          </w:p>
        </w:tc>
        <w:tc>
          <w:tcPr>
            <w:tcW w:w="2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20" w:type="dxa"/>
            <w:vAlign w:val="bottom"/>
            <w:shd w:val="clear" w:color="auto" w:fill="F2F2F2"/>
          </w:tcPr>
          <w:p>
            <w:pPr>
              <w:spacing w:after="0"/>
              <w:rPr>
                <w:sz w:val="9"/>
                <w:szCs w:val="9"/>
                <w:color w:val="auto"/>
              </w:rPr>
            </w:pPr>
          </w:p>
        </w:tc>
        <w:tc>
          <w:tcPr>
            <w:tcW w:w="2400" w:type="dxa"/>
            <w:vAlign w:val="bottom"/>
            <w:vMerge w:val="restart"/>
            <w:shd w:val="clear" w:color="auto" w:fill="F2F2F2"/>
          </w:tcPr>
          <w:p>
            <w:pPr>
              <w:spacing w:after="0"/>
              <w:rPr>
                <w:sz w:val="20"/>
                <w:szCs w:val="20"/>
                <w:color w:val="auto"/>
              </w:rPr>
            </w:pPr>
            <w:r>
              <w:rPr>
                <w:rFonts w:ascii="Arial" w:cs="Arial" w:eastAsia="Arial" w:hAnsi="Arial"/>
                <w:sz w:val="16"/>
                <w:szCs w:val="16"/>
                <w:b w:val="1"/>
                <w:bCs w:val="1"/>
                <w:color w:val="62259D"/>
              </w:rPr>
              <w:t>MEMBERS</w:t>
            </w:r>
          </w:p>
        </w:tc>
        <w:tc>
          <w:tcPr>
            <w:tcW w:w="560" w:type="dxa"/>
            <w:vAlign w:val="bottom"/>
            <w:shd w:val="clear" w:color="auto" w:fill="F2F2F2"/>
          </w:tcPr>
          <w:p>
            <w:pPr>
              <w:spacing w:after="0"/>
              <w:rPr>
                <w:sz w:val="9"/>
                <w:szCs w:val="9"/>
                <w:color w:val="auto"/>
              </w:rPr>
            </w:pPr>
          </w:p>
        </w:tc>
        <w:tc>
          <w:tcPr>
            <w:tcW w:w="1700" w:type="dxa"/>
            <w:vAlign w:val="bottom"/>
            <w:shd w:val="clear" w:color="auto" w:fill="F2F2F2"/>
          </w:tcPr>
          <w:p>
            <w:pPr>
              <w:spacing w:after="0"/>
              <w:rPr>
                <w:sz w:val="9"/>
                <w:szCs w:val="9"/>
                <w:color w:val="auto"/>
              </w:rPr>
            </w:pPr>
          </w:p>
        </w:tc>
        <w:tc>
          <w:tcPr>
            <w:tcW w:w="3860" w:type="dxa"/>
            <w:vAlign w:val="bottom"/>
            <w:vMerge w:val="continue"/>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2400" w:type="dxa"/>
            <w:vAlign w:val="bottom"/>
            <w:vMerge w:val="continue"/>
            <w:shd w:val="clear" w:color="auto" w:fill="F2F2F2"/>
          </w:tcPr>
          <w:p>
            <w:pPr>
              <w:spacing w:after="0"/>
              <w:rPr>
                <w:sz w:val="8"/>
                <w:szCs w:val="8"/>
                <w:color w:val="auto"/>
              </w:rPr>
            </w:pPr>
          </w:p>
        </w:tc>
        <w:tc>
          <w:tcPr>
            <w:tcW w:w="560" w:type="dxa"/>
            <w:vAlign w:val="bottom"/>
            <w:vMerge w:val="restart"/>
            <w:shd w:val="clear" w:color="auto" w:fill="F2F2F2"/>
          </w:tcPr>
          <w:p>
            <w:pPr>
              <w:ind w:left="300"/>
              <w:spacing w:after="0"/>
              <w:rPr>
                <w:sz w:val="20"/>
                <w:szCs w:val="20"/>
                <w:color w:val="auto"/>
              </w:rPr>
            </w:pPr>
            <w:r>
              <w:rPr>
                <w:rFonts w:ascii="Arial" w:cs="Arial" w:eastAsia="Arial" w:hAnsi="Arial"/>
                <w:sz w:val="16"/>
                <w:szCs w:val="16"/>
                <w:color w:val="auto"/>
              </w:rPr>
              <w:t>​ ​</w:t>
            </w:r>
          </w:p>
        </w:tc>
        <w:tc>
          <w:tcPr>
            <w:tcW w:w="1700" w:type="dxa"/>
            <w:vAlign w:val="bottom"/>
            <w:shd w:val="clear" w:color="auto" w:fill="F2F2F2"/>
          </w:tcPr>
          <w:p>
            <w:pPr>
              <w:spacing w:after="0"/>
              <w:rPr>
                <w:sz w:val="8"/>
                <w:szCs w:val="8"/>
                <w:color w:val="auto"/>
              </w:rPr>
            </w:pPr>
          </w:p>
        </w:tc>
        <w:tc>
          <w:tcPr>
            <w:tcW w:w="3860" w:type="dxa"/>
            <w:vAlign w:val="bottom"/>
            <w:vMerge w:val="restart"/>
            <w:shd w:val="clear" w:color="auto" w:fill="F2F2F2"/>
          </w:tcPr>
          <w:p>
            <w:pPr>
              <w:ind w:left="94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Tanya Tamone</w:t>
            </w:r>
          </w:p>
        </w:tc>
        <w:tc>
          <w:tcPr>
            <w:tcW w:w="2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20" w:type="dxa"/>
            <w:vAlign w:val="bottom"/>
            <w:vMerge w:val="continue"/>
            <w:shd w:val="clear" w:color="auto" w:fill="F2F2F2"/>
          </w:tcPr>
          <w:p>
            <w:pPr>
              <w:spacing w:after="0"/>
              <w:rPr>
                <w:sz w:val="18"/>
                <w:szCs w:val="18"/>
                <w:color w:val="auto"/>
              </w:rPr>
            </w:pPr>
          </w:p>
        </w:tc>
        <w:tc>
          <w:tcPr>
            <w:tcW w:w="2400" w:type="dxa"/>
            <w:vAlign w:val="bottom"/>
            <w:shd w:val="clear" w:color="auto" w:fill="F2F2F2"/>
          </w:tcPr>
          <w:p>
            <w:pPr>
              <w:ind w:left="16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Beatriz V. Infante,</w:t>
            </w:r>
            <w:r>
              <w:rPr>
                <w:rFonts w:ascii="Arial" w:cs="Arial" w:eastAsia="Arial" w:hAnsi="Arial"/>
                <w:sz w:val="16"/>
                <w:szCs w:val="16"/>
                <w:color w:val="62259D"/>
              </w:rPr>
              <w:t xml:space="preserve"> </w:t>
            </w:r>
            <w:r>
              <w:rPr>
                <w:rFonts w:ascii="Arial" w:cs="Arial" w:eastAsia="Arial" w:hAnsi="Arial"/>
                <w:sz w:val="16"/>
                <w:szCs w:val="16"/>
                <w:i w:val="1"/>
                <w:iCs w:val="1"/>
                <w:color w:val="000000"/>
              </w:rPr>
              <w:t>Chair</w:t>
            </w:r>
          </w:p>
        </w:tc>
        <w:tc>
          <w:tcPr>
            <w:tcW w:w="560" w:type="dxa"/>
            <w:vAlign w:val="bottom"/>
            <w:vMerge w:val="continue"/>
            <w:shd w:val="clear" w:color="auto" w:fill="F2F2F2"/>
          </w:tcPr>
          <w:p>
            <w:pPr>
              <w:spacing w:after="0"/>
              <w:rPr>
                <w:sz w:val="18"/>
                <w:szCs w:val="18"/>
                <w:color w:val="auto"/>
              </w:rPr>
            </w:pPr>
          </w:p>
        </w:tc>
        <w:tc>
          <w:tcPr>
            <w:tcW w:w="1700" w:type="dxa"/>
            <w:vAlign w:val="bottom"/>
            <w:shd w:val="clear" w:color="auto" w:fill="F2F2F2"/>
          </w:tcPr>
          <w:p>
            <w:pPr>
              <w:ind w:left="1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Bruns H. Grayson</w:t>
            </w:r>
          </w:p>
        </w:tc>
        <w:tc>
          <w:tcPr>
            <w:tcW w:w="3860" w:type="dxa"/>
            <w:vAlign w:val="bottom"/>
            <w:vMerge w:val="continue"/>
            <w:shd w:val="clear" w:color="auto" w:fill="F2F2F2"/>
          </w:tcPr>
          <w:p>
            <w:pPr>
              <w:spacing w:after="0"/>
              <w:rPr>
                <w:sz w:val="18"/>
                <w:szCs w:val="18"/>
                <w:color w:val="auto"/>
              </w:rPr>
            </w:pPr>
          </w:p>
        </w:tc>
        <w:tc>
          <w:tcPr>
            <w:tcW w:w="22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0" w:type="dxa"/>
            <w:vAlign w:val="bottom"/>
            <w:shd w:val="clear" w:color="auto" w:fill="F2F2F2"/>
          </w:tcPr>
          <w:p>
            <w:pPr>
              <w:spacing w:after="0"/>
              <w:rPr>
                <w:sz w:val="4"/>
                <w:szCs w:val="4"/>
                <w:color w:val="auto"/>
              </w:rPr>
            </w:pPr>
          </w:p>
        </w:tc>
        <w:tc>
          <w:tcPr>
            <w:tcW w:w="2400" w:type="dxa"/>
            <w:vAlign w:val="bottom"/>
            <w:shd w:val="clear" w:color="auto" w:fill="F2F2F2"/>
          </w:tcPr>
          <w:p>
            <w:pPr>
              <w:spacing w:after="0"/>
              <w:rPr>
                <w:sz w:val="4"/>
                <w:szCs w:val="4"/>
                <w:color w:val="auto"/>
              </w:rPr>
            </w:pPr>
          </w:p>
        </w:tc>
        <w:tc>
          <w:tcPr>
            <w:tcW w:w="560" w:type="dxa"/>
            <w:vAlign w:val="bottom"/>
            <w:shd w:val="clear" w:color="auto" w:fill="F2F2F2"/>
          </w:tcPr>
          <w:p>
            <w:pPr>
              <w:spacing w:after="0"/>
              <w:rPr>
                <w:sz w:val="4"/>
                <w:szCs w:val="4"/>
                <w:color w:val="auto"/>
              </w:rPr>
            </w:pPr>
          </w:p>
        </w:tc>
        <w:tc>
          <w:tcPr>
            <w:tcW w:w="1700" w:type="dxa"/>
            <w:vAlign w:val="bottom"/>
            <w:shd w:val="clear" w:color="auto" w:fill="F2F2F2"/>
          </w:tcPr>
          <w:p>
            <w:pPr>
              <w:spacing w:after="0"/>
              <w:rPr>
                <w:sz w:val="4"/>
                <w:szCs w:val="4"/>
                <w:color w:val="auto"/>
              </w:rPr>
            </w:pPr>
          </w:p>
        </w:tc>
        <w:tc>
          <w:tcPr>
            <w:tcW w:w="3860" w:type="dxa"/>
            <w:vAlign w:val="bottom"/>
            <w:shd w:val="clear" w:color="auto" w:fill="F2F2F2"/>
          </w:tcPr>
          <w:p>
            <w:pPr>
              <w:spacing w:after="0"/>
              <w:rPr>
                <w:sz w:val="4"/>
                <w:szCs w:val="4"/>
                <w:color w:val="auto"/>
              </w:rPr>
            </w:pPr>
          </w:p>
        </w:tc>
        <w:tc>
          <w:tcPr>
            <w:tcW w:w="22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-368300</wp:posOffset>
            </wp:positionV>
            <wp:extent cx="111125" cy="1028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24" w:lineRule="exact"/>
        <w:rPr>
          <w:sz w:val="20"/>
          <w:szCs w:val="20"/>
          <w:color w:val="auto"/>
        </w:rPr>
      </w:pPr>
    </w:p>
    <w:p>
      <w:pPr>
        <w:ind w:left="1040" w:hanging="116"/>
        <w:spacing w:after="0"/>
        <w:tabs>
          <w:tab w:leader="none" w:pos="1040"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62259D"/>
        </w:rPr>
        <w:t>KEY RESPONSIBILITIES</w:t>
      </w:r>
    </w:p>
    <w:p>
      <w:pPr>
        <w:spacing w:after="0" w:line="47" w:lineRule="exact"/>
        <w:rPr>
          <w:rFonts w:ascii="Arial" w:cs="Arial" w:eastAsia="Arial" w:hAnsi="Arial"/>
          <w:sz w:val="16"/>
          <w:szCs w:val="16"/>
          <w:color w:val="auto"/>
        </w:rPr>
      </w:pPr>
    </w:p>
    <w:p>
      <w:pPr>
        <w:ind w:left="1040" w:right="20"/>
        <w:spacing w:after="0" w:line="241" w:lineRule="auto"/>
        <w:rPr>
          <w:rFonts w:ascii="Arial" w:cs="Arial" w:eastAsia="Arial" w:hAnsi="Arial"/>
          <w:sz w:val="16"/>
          <w:szCs w:val="16"/>
          <w:color w:val="auto"/>
        </w:rPr>
      </w:pPr>
      <w:r>
        <w:rPr>
          <w:rFonts w:ascii="Arial" w:cs="Arial" w:eastAsia="Arial" w:hAnsi="Arial"/>
          <w:sz w:val="16"/>
          <w:szCs w:val="16"/>
          <w:color w:val="auto"/>
        </w:rPr>
        <w:t>As described more fully in its charter, the Compensation Committee’s responsibilities include, among other things:</w:t>
      </w:r>
    </w:p>
    <w:p>
      <w:pPr>
        <w:spacing w:after="0" w:line="35" w:lineRule="exact"/>
        <w:rPr>
          <w:rFonts w:ascii="Arial" w:cs="Arial" w:eastAsia="Arial" w:hAnsi="Arial"/>
          <w:sz w:val="16"/>
          <w:szCs w:val="16"/>
          <w:color w:val="auto"/>
        </w:rPr>
      </w:pPr>
    </w:p>
    <w:p>
      <w:pPr>
        <w:ind w:left="1340" w:hanging="308"/>
        <w:spacing w:after="0" w:line="232" w:lineRule="auto"/>
        <w:tabs>
          <w:tab w:leader="none" w:pos="13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reviewing and approving the Company’s compensation plans, practices and policies for directors and executive officers, including a review of any risks arising from compensation practices and policies for employees that are reasonably likely to have a material adverse effect on the Company;</w:t>
      </w:r>
    </w:p>
    <w:p>
      <w:pPr>
        <w:spacing w:after="0" w:line="26" w:lineRule="exact"/>
        <w:rPr>
          <w:rFonts w:ascii="Arial" w:cs="Arial" w:eastAsia="Arial" w:hAnsi="Arial"/>
          <w:sz w:val="16"/>
          <w:szCs w:val="16"/>
          <w:color w:val="auto"/>
        </w:rPr>
      </w:pPr>
    </w:p>
    <w:p>
      <w:pPr>
        <w:ind w:left="1340" w:right="140" w:hanging="308"/>
        <w:spacing w:after="0" w:line="244" w:lineRule="auto"/>
        <w:tabs>
          <w:tab w:leader="none" w:pos="13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reviewing the Company’s succession plans for executive officers, where requested to do so by the Board;</w:t>
      </w:r>
    </w:p>
    <w:p>
      <w:pPr>
        <w:spacing w:after="0" w:line="32" w:lineRule="exact"/>
        <w:rPr>
          <w:rFonts w:ascii="Arial" w:cs="Arial" w:eastAsia="Arial" w:hAnsi="Arial"/>
          <w:sz w:val="16"/>
          <w:szCs w:val="16"/>
          <w:color w:val="auto"/>
        </w:rPr>
      </w:pPr>
    </w:p>
    <w:p>
      <w:pPr>
        <w:ind w:left="1340" w:right="20" w:hanging="308"/>
        <w:spacing w:after="0" w:line="234" w:lineRule="auto"/>
        <w:tabs>
          <w:tab w:leader="none" w:pos="13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making recommendations to the Board regarding the establishment and terms of any incentive compensation or equity-based plans and monitoring their administration;</w:t>
      </w:r>
    </w:p>
    <w:p>
      <w:pPr>
        <w:spacing w:after="0" w:line="24" w:lineRule="exact"/>
        <w:rPr>
          <w:rFonts w:ascii="Arial" w:cs="Arial" w:eastAsia="Arial" w:hAnsi="Arial"/>
          <w:sz w:val="16"/>
          <w:szCs w:val="16"/>
          <w:color w:val="auto"/>
        </w:rPr>
      </w:pPr>
    </w:p>
    <w:p>
      <w:pPr>
        <w:ind w:left="1340" w:right="140" w:hanging="308"/>
        <w:spacing w:after="0" w:line="239" w:lineRule="auto"/>
        <w:tabs>
          <w:tab w:leader="none" w:pos="13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before selecting or receiving advice from a compensation advisor (other than in-house legal counsel), considering various factors relating to the independence of such advisor; and</w:t>
      </w:r>
    </w:p>
    <w:p>
      <w:pPr>
        <w:spacing w:after="0" w:line="23" w:lineRule="exact"/>
        <w:rPr>
          <w:rFonts w:ascii="Arial" w:cs="Arial" w:eastAsia="Arial" w:hAnsi="Arial"/>
          <w:sz w:val="16"/>
          <w:szCs w:val="16"/>
          <w:color w:val="auto"/>
        </w:rPr>
      </w:pPr>
    </w:p>
    <w:p>
      <w:pPr>
        <w:ind w:left="1340" w:right="240" w:hanging="308"/>
        <w:spacing w:after="0" w:line="233" w:lineRule="auto"/>
        <w:tabs>
          <w:tab w:leader="none" w:pos="13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reviewing the Company’s culture and policies and strategies related to human capital management, including with respect to diversity and inclusion initiatives, pay equity, talent and performance management and employee engagement.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 The Compensation Committee may delegate its authority ​</w:t>
      </w:r>
    </w:p>
    <w:p>
      <w:pPr>
        <w:spacing w:after="0" w:line="6" w:lineRule="exact"/>
        <w:rPr>
          <w:sz w:val="20"/>
          <w:szCs w:val="20"/>
          <w:color w:val="auto"/>
        </w:rPr>
      </w:pPr>
    </w:p>
    <w:p>
      <w:pPr>
        <w:ind w:left="220" w:right="299"/>
        <w:spacing w:after="0" w:line="220" w:lineRule="auto"/>
        <w:rPr>
          <w:sz w:val="20"/>
          <w:szCs w:val="20"/>
          <w:color w:val="auto"/>
        </w:rPr>
      </w:pPr>
      <w:r>
        <w:rPr>
          <w:rFonts w:ascii="Arial" w:cs="Arial" w:eastAsia="Arial" w:hAnsi="Arial"/>
          <w:sz w:val="16"/>
          <w:szCs w:val="16"/>
          <w:color w:val="auto"/>
        </w:rPr>
        <w:t>under its charter to one or more subcommittees or members of management, consistent with applicable law</w:t>
      </w:r>
    </w:p>
    <w:p>
      <w:pPr>
        <w:ind w:left="220" w:right="379"/>
        <w:spacing w:after="0" w:line="228" w:lineRule="auto"/>
        <w:rPr>
          <w:sz w:val="20"/>
          <w:szCs w:val="20"/>
          <w:color w:val="auto"/>
        </w:rPr>
      </w:pPr>
      <w:r>
        <w:rPr>
          <w:rFonts w:ascii="Arial" w:cs="Arial" w:eastAsia="Arial" w:hAnsi="Arial"/>
          <w:sz w:val="16"/>
          <w:szCs w:val="16"/>
          <w:color w:val="auto"/>
        </w:rPr>
        <w:t>and SEC and Nasdaq rules. Specifically, the Compensation Committee may delegate to one or more</w:t>
      </w:r>
    </w:p>
    <w:p>
      <w:pPr>
        <w:spacing w:after="0" w:line="1" w:lineRule="exact"/>
        <w:rPr>
          <w:sz w:val="20"/>
          <w:szCs w:val="20"/>
          <w:color w:val="auto"/>
        </w:rPr>
      </w:pPr>
    </w:p>
    <w:p>
      <w:pPr>
        <w:ind w:left="220" w:right="219"/>
        <w:spacing w:after="0" w:line="220" w:lineRule="auto"/>
        <w:rPr>
          <w:sz w:val="20"/>
          <w:szCs w:val="20"/>
          <w:color w:val="auto"/>
        </w:rPr>
      </w:pPr>
      <w:r>
        <w:rPr>
          <w:rFonts w:ascii="Arial" w:cs="Arial" w:eastAsia="Arial" w:hAnsi="Arial"/>
          <w:sz w:val="16"/>
          <w:szCs w:val="16"/>
          <w:color w:val="auto"/>
        </w:rPr>
        <w:t>executive officers of the Company the power to grant options or other equity awards pursuant to the Company’s</w:t>
      </w:r>
    </w:p>
    <w:p>
      <w:pPr>
        <w:ind w:left="220"/>
        <w:spacing w:after="0"/>
        <w:rPr>
          <w:sz w:val="20"/>
          <w:szCs w:val="20"/>
          <w:color w:val="auto"/>
        </w:rPr>
      </w:pPr>
      <w:r>
        <w:rPr>
          <w:rFonts w:ascii="Arial" w:cs="Arial" w:eastAsia="Arial" w:hAnsi="Arial"/>
          <w:sz w:val="16"/>
          <w:szCs w:val="16"/>
          <w:color w:val="auto"/>
        </w:rPr>
        <w:t>equity plans to certain employees of the Company.</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62259D"/>
        </w:rPr>
        <w:t>CHARTER</w:t>
      </w:r>
    </w:p>
    <w:p>
      <w:pPr>
        <w:spacing w:after="0" w:line="34" w:lineRule="exact"/>
        <w:rPr>
          <w:sz w:val="20"/>
          <w:szCs w:val="20"/>
          <w:color w:val="auto"/>
        </w:rPr>
      </w:pPr>
    </w:p>
    <w:p>
      <w:pPr>
        <w:ind w:left="220" w:right="519"/>
        <w:spacing w:after="0" w:line="235" w:lineRule="auto"/>
        <w:rPr>
          <w:sz w:val="20"/>
          <w:szCs w:val="20"/>
          <w:color w:val="auto"/>
        </w:rPr>
      </w:pPr>
      <w:r>
        <w:rPr>
          <w:rFonts w:ascii="Arial" w:cs="Arial" w:eastAsia="Arial" w:hAnsi="Arial"/>
          <w:sz w:val="16"/>
          <w:szCs w:val="16"/>
          <w:color w:val="auto"/>
        </w:rPr>
        <w:t>The Compensation Committee operates pursuant to a written charter adopted by the Board that reflects standards and requirements adopted by Nasdaq, a</w:t>
      </w:r>
    </w:p>
    <w:p>
      <w:pPr>
        <w:ind w:left="220" w:right="419"/>
        <w:spacing w:after="0" w:line="220" w:lineRule="auto"/>
        <w:rPr>
          <w:sz w:val="20"/>
          <w:szCs w:val="20"/>
          <w:color w:val="auto"/>
        </w:rPr>
      </w:pPr>
      <w:r>
        <w:rPr>
          <w:rFonts w:ascii="Arial" w:cs="Arial" w:eastAsia="Arial" w:hAnsi="Arial"/>
          <w:sz w:val="16"/>
          <w:szCs w:val="16"/>
          <w:color w:val="auto"/>
        </w:rPr>
        <w:t xml:space="preserve">current copy of which is available at </w:t>
      </w:r>
      <w:r>
        <w:rPr>
          <w:rFonts w:ascii="Arial" w:cs="Arial" w:eastAsia="Arial" w:hAnsi="Arial"/>
          <w:sz w:val="16"/>
          <w:szCs w:val="16"/>
          <w:color w:val="E7417A"/>
        </w:rPr>
        <w:t xml:space="preserve">investors.ribboncommunications.com </w:t>
      </w:r>
      <w:r>
        <w:rPr>
          <w:rFonts w:ascii="Arial" w:cs="Arial" w:eastAsia="Arial" w:hAnsi="Arial"/>
          <w:sz w:val="16"/>
          <w:szCs w:val="16"/>
          <w:color w:val="000000"/>
        </w:rPr>
        <w:t>under</w:t>
      </w:r>
      <w:r>
        <w:rPr>
          <w:rFonts w:ascii="Arial" w:cs="Arial" w:eastAsia="Arial" w:hAnsi="Arial"/>
          <w:sz w:val="16"/>
          <w:szCs w:val="16"/>
          <w:color w:val="E7417A"/>
        </w:rPr>
        <w:t xml:space="preserve"> </w:t>
      </w:r>
      <w:r>
        <w:rPr>
          <w:rFonts w:ascii="Arial" w:cs="Arial" w:eastAsia="Arial" w:hAnsi="Arial"/>
          <w:sz w:val="16"/>
          <w:szCs w:val="16"/>
          <w:i w:val="1"/>
          <w:iCs w:val="1"/>
          <w:color w:val="000000"/>
        </w:rPr>
        <w:t>“Corporate</w:t>
      </w:r>
    </w:p>
    <w:p>
      <w:pPr>
        <w:ind w:left="220"/>
        <w:spacing w:after="0"/>
        <w:rPr>
          <w:sz w:val="20"/>
          <w:szCs w:val="20"/>
          <w:color w:val="auto"/>
        </w:rPr>
      </w:pPr>
      <w:r>
        <w:rPr>
          <w:rFonts w:ascii="Arial" w:cs="Arial" w:eastAsia="Arial" w:hAnsi="Arial"/>
          <w:sz w:val="16"/>
          <w:szCs w:val="16"/>
          <w:i w:val="1"/>
          <w:iCs w:val="1"/>
          <w:color w:val="auto"/>
        </w:rPr>
        <w:t>Governance — Governance Highlights.”</w:t>
      </w:r>
    </w:p>
    <w:p>
      <w:pPr>
        <w:spacing w:after="0" w:line="84"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62259D"/>
        </w:rPr>
        <w:t>REPORT</w:t>
      </w:r>
    </w:p>
    <w:p>
      <w:pPr>
        <w:spacing w:after="0" w:line="34" w:lineRule="exact"/>
        <w:rPr>
          <w:sz w:val="20"/>
          <w:szCs w:val="20"/>
          <w:color w:val="auto"/>
        </w:rPr>
      </w:pPr>
    </w:p>
    <w:p>
      <w:pPr>
        <w:ind w:left="220" w:right="439"/>
        <w:spacing w:after="0" w:line="259" w:lineRule="auto"/>
        <w:rPr>
          <w:sz w:val="20"/>
          <w:szCs w:val="20"/>
          <w:color w:val="auto"/>
        </w:rPr>
      </w:pPr>
      <w:r>
        <w:rPr>
          <w:rFonts w:ascii="Arial" w:cs="Arial" w:eastAsia="Arial" w:hAnsi="Arial"/>
          <w:sz w:val="16"/>
          <w:szCs w:val="16"/>
          <w:color w:val="auto"/>
        </w:rPr>
        <w:t xml:space="preserve">The Compensation Committee Report is on page </w:t>
      </w:r>
      <w:r>
        <w:rPr>
          <w:rFonts w:ascii="Arial" w:cs="Arial" w:eastAsia="Arial" w:hAnsi="Arial"/>
          <w:sz w:val="16"/>
          <w:szCs w:val="16"/>
          <w:u w:val="single" w:color="auto"/>
          <w:color w:val="0000EE"/>
        </w:rPr>
        <w:t>53</w:t>
      </w:r>
      <w:r>
        <w:rPr>
          <w:rFonts w:ascii="Arial" w:cs="Arial" w:eastAsia="Arial" w:hAnsi="Arial"/>
          <w:sz w:val="16"/>
          <w:szCs w:val="16"/>
          <w:color w:val="auto"/>
        </w:rPr>
        <w:t xml:space="preserv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807720</wp:posOffset>
            </wp:positionV>
            <wp:extent cx="56235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451" w:lineRule="exact"/>
        <w:rPr>
          <w:sz w:val="20"/>
          <w:szCs w:val="20"/>
          <w:color w:val="auto"/>
        </w:rPr>
      </w:pPr>
    </w:p>
    <w:p>
      <w:pPr>
        <w:sectPr>
          <w:pgSz w:w="11900" w:h="16838" w:orient="portrait"/>
          <w:cols w:equalWidth="0" w:num="2">
            <w:col w:w="5200" w:space="40"/>
            <w:col w:w="46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pacing w:after="0" w:line="240" w:lineRule="exact"/>
        <w:rPr>
          <w:sz w:val="20"/>
          <w:szCs w:val="20"/>
          <w:color w:val="auto"/>
        </w:rPr>
      </w:pPr>
    </w:p>
    <w:tbl>
      <w:tblPr>
        <w:tblLayout w:type="fixed"/>
        <w:tblInd w:w="920" w:type="dxa"/>
        <w:tblCellMar>
          <w:top w:w="0" w:type="dxa"/>
          <w:left w:w="0" w:type="dxa"/>
          <w:bottom w:w="0" w:type="dxa"/>
          <w:right w:w="0" w:type="dxa"/>
        </w:tblCellMar>
      </w:tblPr>
      <w:tr>
        <w:trPr>
          <w:trHeight w:val="344"/>
        </w:trPr>
        <w:tc>
          <w:tcPr>
            <w:tcW w:w="1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8520" w:type="dxa"/>
            <w:vAlign w:val="bottom"/>
            <w:tcBorders>
              <w:bottom w:val="single" w:sz="8" w:color="E7417A"/>
            </w:tcBorders>
            <w:gridSpan w:val="3"/>
            <w:shd w:val="clear" w:color="auto" w:fill="E7417A"/>
          </w:tcPr>
          <w:p>
            <w:pPr>
              <w:ind w:left="100"/>
              <w:spacing w:after="0"/>
              <w:rPr>
                <w:sz w:val="20"/>
                <w:szCs w:val="20"/>
                <w:color w:val="auto"/>
              </w:rPr>
            </w:pPr>
            <w:r>
              <w:rPr>
                <w:rFonts w:ascii="Arial" w:cs="Arial" w:eastAsia="Arial" w:hAnsi="Arial"/>
                <w:sz w:val="21"/>
                <w:szCs w:val="21"/>
                <w:b w:val="1"/>
                <w:bCs w:val="1"/>
                <w:color w:val="FEFEFE"/>
              </w:rPr>
              <w:t>NOMINATING, SUSTAINABILITY &amp; CORPORATE GOVERNANCE COMMITTEE</w:t>
            </w:r>
          </w:p>
        </w:tc>
        <w:tc>
          <w:tcPr>
            <w:tcW w:w="2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0" w:type="dxa"/>
            <w:vAlign w:val="bottom"/>
          </w:tcPr>
          <w:p>
            <w:pPr>
              <w:spacing w:after="0"/>
              <w:rPr>
                <w:sz w:val="1"/>
                <w:szCs w:val="1"/>
                <w:color w:val="auto"/>
              </w:rPr>
            </w:pPr>
          </w:p>
        </w:tc>
      </w:tr>
      <w:tr>
        <w:trPr>
          <w:trHeight w:val="242"/>
        </w:trPr>
        <w:tc>
          <w:tcPr>
            <w:tcW w:w="1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420" w:type="dxa"/>
            <w:vAlign w:val="bottom"/>
            <w:shd w:val="clear" w:color="auto" w:fill="F2F2F2"/>
          </w:tcPr>
          <w:p>
            <w:pPr>
              <w:spacing w:after="0"/>
              <w:rPr>
                <w:sz w:val="20"/>
                <w:szCs w:val="20"/>
                <w:color w:val="auto"/>
              </w:rPr>
            </w:pPr>
            <w:r>
              <w:rPr>
                <w:rFonts w:ascii="Arial" w:cs="Arial" w:eastAsia="Arial" w:hAnsi="Arial"/>
                <w:sz w:val="16"/>
                <w:szCs w:val="16"/>
                <w:b w:val="1"/>
                <w:bCs w:val="1"/>
                <w:color w:val="62259D"/>
              </w:rPr>
              <w:t>CURRENT COMMITTEE</w:t>
            </w:r>
          </w:p>
        </w:tc>
        <w:tc>
          <w:tcPr>
            <w:tcW w:w="2160" w:type="dxa"/>
            <w:vAlign w:val="bottom"/>
            <w:shd w:val="clear" w:color="auto" w:fill="F2F2F2"/>
          </w:tcPr>
          <w:p>
            <w:pPr>
              <w:ind w:left="280"/>
              <w:spacing w:after="0"/>
              <w:rPr>
                <w:sz w:val="20"/>
                <w:szCs w:val="20"/>
                <w:color w:val="auto"/>
              </w:rPr>
            </w:pPr>
            <w:r>
              <w:rPr>
                <w:rFonts w:ascii="Arial" w:cs="Arial" w:eastAsia="Arial" w:hAnsi="Arial"/>
                <w:sz w:val="16"/>
                <w:szCs w:val="16"/>
                <w:color w:val="auto"/>
              </w:rPr>
              <w:t>​ ​</w:t>
            </w:r>
          </w:p>
        </w:tc>
        <w:tc>
          <w:tcPr>
            <w:tcW w:w="3940" w:type="dxa"/>
            <w:vAlign w:val="bottom"/>
            <w:vMerge w:val="restart"/>
            <w:shd w:val="clear" w:color="auto" w:fill="F2F2F2"/>
          </w:tcPr>
          <w:p>
            <w:pPr>
              <w:ind w:left="16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All members of the committee are independent</w:t>
            </w:r>
          </w:p>
        </w:tc>
        <w:tc>
          <w:tcPr>
            <w:tcW w:w="2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20" w:type="dxa"/>
            <w:vAlign w:val="bottom"/>
            <w:shd w:val="clear" w:color="auto" w:fill="F2F2F2"/>
          </w:tcPr>
          <w:p>
            <w:pPr>
              <w:spacing w:after="0"/>
              <w:rPr>
                <w:sz w:val="9"/>
                <w:szCs w:val="9"/>
                <w:color w:val="auto"/>
              </w:rPr>
            </w:pPr>
          </w:p>
        </w:tc>
        <w:tc>
          <w:tcPr>
            <w:tcW w:w="2420" w:type="dxa"/>
            <w:vAlign w:val="bottom"/>
            <w:vMerge w:val="restart"/>
            <w:shd w:val="clear" w:color="auto" w:fill="F2F2F2"/>
          </w:tcPr>
          <w:p>
            <w:pPr>
              <w:spacing w:after="0"/>
              <w:rPr>
                <w:sz w:val="20"/>
                <w:szCs w:val="20"/>
                <w:color w:val="auto"/>
              </w:rPr>
            </w:pPr>
            <w:r>
              <w:rPr>
                <w:rFonts w:ascii="Arial" w:cs="Arial" w:eastAsia="Arial" w:hAnsi="Arial"/>
                <w:sz w:val="16"/>
                <w:szCs w:val="16"/>
                <w:b w:val="1"/>
                <w:bCs w:val="1"/>
                <w:color w:val="62259D"/>
              </w:rPr>
              <w:t>MEMBERS</w:t>
            </w:r>
          </w:p>
        </w:tc>
        <w:tc>
          <w:tcPr>
            <w:tcW w:w="2160" w:type="dxa"/>
            <w:vAlign w:val="bottom"/>
            <w:shd w:val="clear" w:color="auto" w:fill="F2F2F2"/>
          </w:tcPr>
          <w:p>
            <w:pPr>
              <w:spacing w:after="0"/>
              <w:rPr>
                <w:sz w:val="9"/>
                <w:szCs w:val="9"/>
                <w:color w:val="auto"/>
              </w:rPr>
            </w:pPr>
          </w:p>
        </w:tc>
        <w:tc>
          <w:tcPr>
            <w:tcW w:w="3940" w:type="dxa"/>
            <w:vAlign w:val="bottom"/>
            <w:vMerge w:val="continue"/>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1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2420" w:type="dxa"/>
            <w:vAlign w:val="bottom"/>
            <w:vMerge w:val="continue"/>
            <w:shd w:val="clear" w:color="auto" w:fill="F2F2F2"/>
          </w:tcPr>
          <w:p>
            <w:pPr>
              <w:spacing w:after="0"/>
              <w:rPr>
                <w:sz w:val="8"/>
                <w:szCs w:val="8"/>
                <w:color w:val="auto"/>
              </w:rPr>
            </w:pPr>
          </w:p>
        </w:tc>
        <w:tc>
          <w:tcPr>
            <w:tcW w:w="2160" w:type="dxa"/>
            <w:vAlign w:val="bottom"/>
            <w:vMerge w:val="restart"/>
            <w:shd w:val="clear" w:color="auto" w:fill="F2F2F2"/>
          </w:tcPr>
          <w:p>
            <w:pPr>
              <w:ind w:left="28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Stewart Ewing, Jr.</w:t>
            </w:r>
          </w:p>
        </w:tc>
        <w:tc>
          <w:tcPr>
            <w:tcW w:w="3940" w:type="dxa"/>
            <w:vAlign w:val="bottom"/>
            <w:vMerge w:val="restart"/>
            <w:shd w:val="clear" w:color="auto" w:fill="F2F2F2"/>
          </w:tcPr>
          <w:p>
            <w:pPr>
              <w:ind w:left="102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Tanya Tamone</w:t>
            </w:r>
          </w:p>
        </w:tc>
        <w:tc>
          <w:tcPr>
            <w:tcW w:w="2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20" w:type="dxa"/>
            <w:vAlign w:val="bottom"/>
            <w:vMerge w:val="continue"/>
            <w:shd w:val="clear" w:color="auto" w:fill="F2F2F2"/>
          </w:tcPr>
          <w:p>
            <w:pPr>
              <w:spacing w:after="0"/>
              <w:rPr>
                <w:sz w:val="18"/>
                <w:szCs w:val="18"/>
                <w:color w:val="auto"/>
              </w:rPr>
            </w:pPr>
          </w:p>
        </w:tc>
        <w:tc>
          <w:tcPr>
            <w:tcW w:w="2420" w:type="dxa"/>
            <w:vAlign w:val="bottom"/>
            <w:shd w:val="clear" w:color="auto" w:fill="F2F2F2"/>
          </w:tcPr>
          <w:p>
            <w:pPr>
              <w:ind w:left="16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Bruns H. Grayson,</w:t>
            </w:r>
            <w:r>
              <w:rPr>
                <w:rFonts w:ascii="Arial" w:cs="Arial" w:eastAsia="Arial" w:hAnsi="Arial"/>
                <w:sz w:val="16"/>
                <w:szCs w:val="16"/>
                <w:color w:val="62259D"/>
              </w:rPr>
              <w:t xml:space="preserve"> </w:t>
            </w:r>
            <w:r>
              <w:rPr>
                <w:rFonts w:ascii="Arial" w:cs="Arial" w:eastAsia="Arial" w:hAnsi="Arial"/>
                <w:sz w:val="16"/>
                <w:szCs w:val="16"/>
                <w:i w:val="1"/>
                <w:iCs w:val="1"/>
                <w:color w:val="000000"/>
              </w:rPr>
              <w:t>Chair</w:t>
            </w:r>
          </w:p>
        </w:tc>
        <w:tc>
          <w:tcPr>
            <w:tcW w:w="2160" w:type="dxa"/>
            <w:vAlign w:val="bottom"/>
            <w:vMerge w:val="continue"/>
            <w:shd w:val="clear" w:color="auto" w:fill="F2F2F2"/>
          </w:tcPr>
          <w:p>
            <w:pPr>
              <w:spacing w:after="0"/>
              <w:rPr>
                <w:sz w:val="18"/>
                <w:szCs w:val="18"/>
                <w:color w:val="auto"/>
              </w:rPr>
            </w:pPr>
          </w:p>
        </w:tc>
        <w:tc>
          <w:tcPr>
            <w:tcW w:w="3940" w:type="dxa"/>
            <w:vAlign w:val="bottom"/>
            <w:vMerge w:val="continue"/>
            <w:shd w:val="clear" w:color="auto" w:fill="F2F2F2"/>
          </w:tcPr>
          <w:p>
            <w:pPr>
              <w:spacing w:after="0"/>
              <w:rPr>
                <w:sz w:val="18"/>
                <w:szCs w:val="18"/>
                <w:color w:val="auto"/>
              </w:rPr>
            </w:pPr>
          </w:p>
        </w:tc>
        <w:tc>
          <w:tcPr>
            <w:tcW w:w="22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0" w:type="dxa"/>
            <w:vAlign w:val="bottom"/>
            <w:shd w:val="clear" w:color="auto" w:fill="F2F2F2"/>
          </w:tcPr>
          <w:p>
            <w:pPr>
              <w:spacing w:after="0"/>
              <w:rPr>
                <w:sz w:val="4"/>
                <w:szCs w:val="4"/>
                <w:color w:val="auto"/>
              </w:rPr>
            </w:pPr>
          </w:p>
        </w:tc>
        <w:tc>
          <w:tcPr>
            <w:tcW w:w="2420" w:type="dxa"/>
            <w:vAlign w:val="bottom"/>
            <w:shd w:val="clear" w:color="auto" w:fill="F2F2F2"/>
          </w:tcPr>
          <w:p>
            <w:pPr>
              <w:spacing w:after="0"/>
              <w:rPr>
                <w:sz w:val="4"/>
                <w:szCs w:val="4"/>
                <w:color w:val="auto"/>
              </w:rPr>
            </w:pPr>
          </w:p>
        </w:tc>
        <w:tc>
          <w:tcPr>
            <w:tcW w:w="2160" w:type="dxa"/>
            <w:vAlign w:val="bottom"/>
            <w:shd w:val="clear" w:color="auto" w:fill="F2F2F2"/>
          </w:tcPr>
          <w:p>
            <w:pPr>
              <w:spacing w:after="0"/>
              <w:rPr>
                <w:sz w:val="4"/>
                <w:szCs w:val="4"/>
                <w:color w:val="auto"/>
              </w:rPr>
            </w:pPr>
          </w:p>
        </w:tc>
        <w:tc>
          <w:tcPr>
            <w:tcW w:w="3940" w:type="dxa"/>
            <w:vAlign w:val="bottom"/>
            <w:shd w:val="clear" w:color="auto" w:fill="F2F2F2"/>
          </w:tcPr>
          <w:p>
            <w:pPr>
              <w:spacing w:after="0"/>
              <w:rPr>
                <w:sz w:val="4"/>
                <w:szCs w:val="4"/>
                <w:color w:val="auto"/>
              </w:rPr>
            </w:pPr>
          </w:p>
        </w:tc>
        <w:tc>
          <w:tcPr>
            <w:tcW w:w="22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-368300</wp:posOffset>
            </wp:positionV>
            <wp:extent cx="111125" cy="1028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24" w:lineRule="exact"/>
        <w:rPr>
          <w:sz w:val="20"/>
          <w:szCs w:val="20"/>
          <w:color w:val="auto"/>
        </w:rPr>
      </w:pPr>
    </w:p>
    <w:p>
      <w:pPr>
        <w:ind w:left="1040" w:hanging="116"/>
        <w:spacing w:after="0"/>
        <w:tabs>
          <w:tab w:leader="none" w:pos="104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62259D"/>
        </w:rPr>
        <w:t>KEY RESPONSIBILITIES</w:t>
      </w:r>
    </w:p>
    <w:p>
      <w:pPr>
        <w:spacing w:after="0" w:line="47" w:lineRule="exact"/>
        <w:rPr>
          <w:rFonts w:ascii="Arial" w:cs="Arial" w:eastAsia="Arial" w:hAnsi="Arial"/>
          <w:sz w:val="16"/>
          <w:szCs w:val="16"/>
          <w:color w:val="auto"/>
        </w:rPr>
      </w:pPr>
    </w:p>
    <w:p>
      <w:pPr>
        <w:ind w:left="1040" w:right="300"/>
        <w:spacing w:after="0" w:line="236" w:lineRule="auto"/>
        <w:rPr>
          <w:rFonts w:ascii="Arial" w:cs="Arial" w:eastAsia="Arial" w:hAnsi="Arial"/>
          <w:sz w:val="16"/>
          <w:szCs w:val="16"/>
          <w:color w:val="auto"/>
        </w:rPr>
      </w:pPr>
      <w:r>
        <w:rPr>
          <w:rFonts w:ascii="Arial" w:cs="Arial" w:eastAsia="Arial" w:hAnsi="Arial"/>
          <w:sz w:val="16"/>
          <w:szCs w:val="16"/>
          <w:color w:val="auto"/>
        </w:rPr>
        <w:t>As described more fully in its charter, the Nominating, Sustainability &amp; Corporate Governance Committee’s responsibilities include, among other things:</w:t>
      </w:r>
    </w:p>
    <w:p>
      <w:pPr>
        <w:spacing w:after="0" w:line="37" w:lineRule="exact"/>
        <w:rPr>
          <w:rFonts w:ascii="Arial" w:cs="Arial" w:eastAsia="Arial" w:hAnsi="Arial"/>
          <w:sz w:val="16"/>
          <w:szCs w:val="16"/>
          <w:color w:val="auto"/>
        </w:rPr>
      </w:pPr>
    </w:p>
    <w:p>
      <w:pPr>
        <w:ind w:left="1340" w:hanging="308"/>
        <w:spacing w:after="0" w:line="234" w:lineRule="auto"/>
        <w:tabs>
          <w:tab w:leader="none" w:pos="13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identifying, screening and reviewing individuals qualified to serve as directors, consistent with criteria approved by the Board, and recommending to the Board candidates for:</w:t>
      </w:r>
    </w:p>
    <w:p>
      <w:pPr>
        <w:spacing w:after="0" w:line="38" w:lineRule="exact"/>
        <w:rPr>
          <w:rFonts w:ascii="Arial" w:cs="Arial" w:eastAsia="Arial" w:hAnsi="Arial"/>
          <w:sz w:val="16"/>
          <w:szCs w:val="16"/>
          <w:color w:val="auto"/>
        </w:rPr>
      </w:pPr>
    </w:p>
    <w:p>
      <w:pPr>
        <w:ind w:left="1660" w:hanging="322"/>
        <w:spacing w:after="0"/>
        <w:tabs>
          <w:tab w:leader="none" w:pos="1660" w:val="left"/>
        </w:tabs>
        <w:numPr>
          <w:ilvl w:val="2"/>
          <w:numId w:val="80"/>
        </w:numPr>
        <w:rPr>
          <w:rFonts w:ascii="Arial" w:cs="Arial" w:eastAsia="Arial" w:hAnsi="Arial"/>
          <w:sz w:val="16"/>
          <w:szCs w:val="16"/>
          <w:color w:val="auto"/>
        </w:rPr>
      </w:pPr>
      <w:r>
        <w:rPr>
          <w:rFonts w:ascii="Arial" w:cs="Arial" w:eastAsia="Arial" w:hAnsi="Arial"/>
          <w:sz w:val="16"/>
          <w:szCs w:val="16"/>
          <w:color w:val="auto"/>
        </w:rPr>
        <w:t>nomination for election by the stockholders, and</w:t>
      </w:r>
    </w:p>
    <w:p>
      <w:pPr>
        <w:spacing w:after="0" w:line="45" w:lineRule="exact"/>
        <w:rPr>
          <w:rFonts w:ascii="Arial" w:cs="Arial" w:eastAsia="Arial" w:hAnsi="Arial"/>
          <w:sz w:val="16"/>
          <w:szCs w:val="16"/>
          <w:color w:val="auto"/>
        </w:rPr>
      </w:pPr>
    </w:p>
    <w:p>
      <w:pPr>
        <w:ind w:left="1660" w:right="140" w:hanging="322"/>
        <w:spacing w:after="0" w:line="233" w:lineRule="auto"/>
        <w:tabs>
          <w:tab w:leader="none" w:pos="1660" w:val="left"/>
        </w:tabs>
        <w:numPr>
          <w:ilvl w:val="2"/>
          <w:numId w:val="80"/>
        </w:numPr>
        <w:rPr>
          <w:rFonts w:ascii="Arial" w:cs="Arial" w:eastAsia="Arial" w:hAnsi="Arial"/>
          <w:sz w:val="16"/>
          <w:szCs w:val="16"/>
          <w:color w:val="auto"/>
        </w:rPr>
      </w:pPr>
      <w:r>
        <w:rPr>
          <w:rFonts w:ascii="Arial" w:cs="Arial" w:eastAsia="Arial" w:hAnsi="Arial"/>
          <w:sz w:val="16"/>
          <w:szCs w:val="16"/>
          <w:color w:val="auto"/>
        </w:rPr>
        <w:t>any Board vacancies that are to be filled by the Board, subject to any rights regarding the selection of directors by holders of preferred shares and any other contractual or other commitments of the Company;</w:t>
      </w:r>
    </w:p>
    <w:p>
      <w:pPr>
        <w:spacing w:after="0" w:line="38" w:lineRule="exact"/>
        <w:rPr>
          <w:sz w:val="20"/>
          <w:szCs w:val="20"/>
          <w:color w:val="auto"/>
        </w:rPr>
      </w:pPr>
    </w:p>
    <w:p>
      <w:pPr>
        <w:ind w:left="1340" w:hanging="308"/>
        <w:spacing w:after="0" w:line="233" w:lineRule="auto"/>
        <w:tabs>
          <w:tab w:leader="none" w:pos="1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developing and recommending to the Board, overseeing the implementation and effectiveness of, and recommending modifications as appropriate to, a set of corporate governance guidelines applicable to the Company;</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 ​ (iii) reviewing annually with the Board the composition of ​</w:t>
      </w:r>
    </w:p>
    <w:p>
      <w:pPr>
        <w:spacing w:after="0" w:line="6" w:lineRule="exact"/>
        <w:rPr>
          <w:sz w:val="20"/>
          <w:szCs w:val="20"/>
          <w:color w:val="auto"/>
        </w:rPr>
      </w:pPr>
    </w:p>
    <w:p>
      <w:pPr>
        <w:ind w:left="540" w:right="339"/>
        <w:spacing w:after="0" w:line="220" w:lineRule="auto"/>
        <w:rPr>
          <w:sz w:val="20"/>
          <w:szCs w:val="20"/>
          <w:color w:val="auto"/>
        </w:rPr>
      </w:pPr>
      <w:r>
        <w:rPr>
          <w:rFonts w:ascii="Arial" w:cs="Arial" w:eastAsia="Arial" w:hAnsi="Arial"/>
          <w:sz w:val="16"/>
          <w:szCs w:val="16"/>
          <w:color w:val="auto"/>
        </w:rPr>
        <w:t>the Board as a whole and a succession plan in the event one or more directors ceases to serve for any</w:t>
      </w:r>
    </w:p>
    <w:p>
      <w:pPr>
        <w:ind w:left="540"/>
        <w:spacing w:after="0"/>
        <w:rPr>
          <w:sz w:val="20"/>
          <w:szCs w:val="20"/>
          <w:color w:val="auto"/>
        </w:rPr>
      </w:pPr>
      <w:r>
        <w:rPr>
          <w:rFonts w:ascii="Arial" w:cs="Arial" w:eastAsia="Arial" w:hAnsi="Arial"/>
          <w:sz w:val="16"/>
          <w:szCs w:val="16"/>
          <w:color w:val="auto"/>
        </w:rPr>
        <w:t>reason;</w:t>
      </w:r>
    </w:p>
    <w:p>
      <w:pPr>
        <w:spacing w:after="0" w:line="45" w:lineRule="exact"/>
        <w:rPr>
          <w:sz w:val="20"/>
          <w:szCs w:val="20"/>
          <w:color w:val="auto"/>
        </w:rPr>
      </w:pPr>
    </w:p>
    <w:p>
      <w:pPr>
        <w:ind w:left="540" w:right="219" w:hanging="320"/>
        <w:spacing w:after="0" w:line="259" w:lineRule="auto"/>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overseeing the annual self-evaluation of the Board, its committees, individual directors and management;</w:t>
      </w:r>
    </w:p>
    <w:p>
      <w:pPr>
        <w:spacing w:after="0" w:line="7" w:lineRule="exact"/>
        <w:rPr>
          <w:rFonts w:ascii="Arial" w:cs="Arial" w:eastAsia="Arial" w:hAnsi="Arial"/>
          <w:sz w:val="16"/>
          <w:szCs w:val="16"/>
          <w:color w:val="auto"/>
        </w:rPr>
      </w:pPr>
    </w:p>
    <w:p>
      <w:pPr>
        <w:ind w:left="540" w:right="399" w:hanging="320"/>
        <w:spacing w:after="0" w:line="244" w:lineRule="auto"/>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identifying appropriate director development and continuing education opportunities and making recommendations to the Board as appropriate; and</w:t>
      </w:r>
    </w:p>
    <w:p>
      <w:pPr>
        <w:spacing w:after="0" w:line="19" w:lineRule="exact"/>
        <w:rPr>
          <w:rFonts w:ascii="Arial" w:cs="Arial" w:eastAsia="Arial" w:hAnsi="Arial"/>
          <w:sz w:val="16"/>
          <w:szCs w:val="16"/>
          <w:color w:val="auto"/>
        </w:rPr>
      </w:pPr>
    </w:p>
    <w:p>
      <w:pPr>
        <w:ind w:left="540" w:right="279" w:hanging="320"/>
        <w:spacing w:after="0" w:line="239" w:lineRule="auto"/>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reviewing the Company’s strategies, activities, policies and communications regarding sustainability matters and making recommendations to the Board as appropriate.</w:t>
      </w:r>
    </w:p>
    <w:p>
      <w:pPr>
        <w:spacing w:after="0" w:line="7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62259D"/>
        </w:rPr>
        <w:t>CHARTER</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Nominating, Sustainability and Corporate</w:t>
      </w:r>
    </w:p>
    <w:p>
      <w:pPr>
        <w:spacing w:after="0" w:line="6" w:lineRule="exact"/>
        <w:rPr>
          <w:sz w:val="20"/>
          <w:szCs w:val="20"/>
          <w:color w:val="auto"/>
        </w:rPr>
      </w:pPr>
    </w:p>
    <w:p>
      <w:pPr>
        <w:ind w:left="220" w:right="299"/>
        <w:spacing w:after="0" w:line="220" w:lineRule="auto"/>
        <w:rPr>
          <w:sz w:val="20"/>
          <w:szCs w:val="20"/>
          <w:color w:val="auto"/>
        </w:rPr>
      </w:pPr>
      <w:r>
        <w:rPr>
          <w:rFonts w:ascii="Arial" w:cs="Arial" w:eastAsia="Arial" w:hAnsi="Arial"/>
          <w:sz w:val="16"/>
          <w:szCs w:val="16"/>
          <w:color w:val="auto"/>
        </w:rPr>
        <w:t>Governance Committee operates pursuant to a written charter adopted by the Board that reflects standards and</w:t>
      </w:r>
    </w:p>
    <w:p>
      <w:pPr>
        <w:ind w:left="220" w:right="219"/>
        <w:spacing w:after="0" w:line="236" w:lineRule="auto"/>
        <w:rPr>
          <w:sz w:val="20"/>
          <w:szCs w:val="20"/>
          <w:color w:val="auto"/>
        </w:rPr>
      </w:pPr>
      <w:r>
        <w:rPr>
          <w:rFonts w:ascii="Arial" w:cs="Arial" w:eastAsia="Arial" w:hAnsi="Arial"/>
          <w:sz w:val="16"/>
          <w:szCs w:val="16"/>
          <w:color w:val="auto"/>
        </w:rPr>
        <w:t xml:space="preserve">requirements adopted by Nasdaq, a current copy of which is available at </w:t>
      </w:r>
      <w:r>
        <w:rPr>
          <w:rFonts w:ascii="Arial" w:cs="Arial" w:eastAsia="Arial" w:hAnsi="Arial"/>
          <w:sz w:val="16"/>
          <w:szCs w:val="16"/>
          <w:color w:val="E7417A"/>
        </w:rPr>
        <w:t>investors.ribboncommunications.com</w:t>
      </w:r>
      <w:r>
        <w:rPr>
          <w:rFonts w:ascii="Arial" w:cs="Arial" w:eastAsia="Arial" w:hAnsi="Arial"/>
          <w:sz w:val="16"/>
          <w:szCs w:val="16"/>
          <w:color w:val="auto"/>
        </w:rPr>
        <w:t xml:space="preserve"> under </w:t>
      </w:r>
      <w:r>
        <w:rPr>
          <w:rFonts w:ascii="Arial" w:cs="Arial" w:eastAsia="Arial" w:hAnsi="Arial"/>
          <w:sz w:val="16"/>
          <w:szCs w:val="16"/>
          <w:i w:val="1"/>
          <w:iCs w:val="1"/>
          <w:color w:val="auto"/>
        </w:rPr>
        <w:t>“Corporate Governance-Governance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3810</wp:posOffset>
            </wp:positionV>
            <wp:extent cx="56235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5220" w:space="20"/>
            <w:col w:w="4639"/>
          </w:cols>
          <w:pgMar w:left="580" w:top="97" w:right="1440" w:bottom="1440" w:gutter="0" w:footer="0" w:header="0"/>
          <w:type w:val="continuous"/>
        </w:sectPr>
      </w:pPr>
    </w:p>
    <w:tbl>
      <w:tblPr>
        <w:tblLayout w:type="fixed"/>
        <w:tblInd w:w="920" w:type="dxa"/>
        <w:tblCellMar>
          <w:top w:w="0" w:type="dxa"/>
          <w:left w:w="0" w:type="dxa"/>
          <w:bottom w:w="0" w:type="dxa"/>
          <w:right w:w="0" w:type="dxa"/>
        </w:tblCellMar>
      </w:tblPr>
      <w:tr>
        <w:trPr>
          <w:trHeight w:val="344"/>
        </w:trPr>
        <w:tc>
          <w:tcPr>
            <w:tcW w:w="1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4740" w:type="dxa"/>
            <w:vAlign w:val="bottom"/>
            <w:tcBorders>
              <w:bottom w:val="single" w:sz="8" w:color="E7417A"/>
            </w:tcBorders>
            <w:gridSpan w:val="2"/>
            <w:shd w:val="clear" w:color="auto" w:fill="E7417A"/>
          </w:tcPr>
          <w:p>
            <w:pPr>
              <w:ind w:left="100"/>
              <w:spacing w:after="0"/>
              <w:rPr>
                <w:sz w:val="20"/>
                <w:szCs w:val="20"/>
                <w:color w:val="auto"/>
              </w:rPr>
            </w:pPr>
            <w:r>
              <w:rPr>
                <w:rFonts w:ascii="Arial" w:cs="Arial" w:eastAsia="Arial" w:hAnsi="Arial"/>
                <w:sz w:val="21"/>
                <w:szCs w:val="21"/>
                <w:b w:val="1"/>
                <w:bCs w:val="1"/>
                <w:color w:val="FEFEFE"/>
              </w:rPr>
              <w:t>TECHNOLOGY &amp; INNOVATION COMMITTEE</w:t>
            </w:r>
          </w:p>
        </w:tc>
        <w:tc>
          <w:tcPr>
            <w:tcW w:w="3780" w:type="dxa"/>
            <w:vAlign w:val="bottom"/>
            <w:tcBorders>
              <w:bottom w:val="single" w:sz="8" w:color="E7417A"/>
            </w:tcBorders>
            <w:shd w:val="clear" w:color="auto" w:fill="E7417A"/>
          </w:tcPr>
          <w:p>
            <w:pPr>
              <w:spacing w:after="0"/>
              <w:rPr>
                <w:sz w:val="24"/>
                <w:szCs w:val="24"/>
                <w:color w:val="auto"/>
              </w:rPr>
            </w:pPr>
          </w:p>
        </w:tc>
        <w:tc>
          <w:tcPr>
            <w:tcW w:w="220" w:type="dxa"/>
            <w:vAlign w:val="bottom"/>
            <w:tcBorders>
              <w:bottom w:val="single" w:sz="8" w:color="E7417A"/>
            </w:tcBorders>
            <w:shd w:val="clear" w:color="auto" w:fill="E7417A"/>
          </w:tcPr>
          <w:p>
            <w:pPr>
              <w:spacing w:after="0"/>
              <w:rPr>
                <w:sz w:val="20"/>
                <w:szCs w:val="20"/>
                <w:color w:val="auto"/>
              </w:rPr>
            </w:pPr>
            <w:r>
              <w:rPr>
                <w:rFonts w:ascii="Arial" w:cs="Arial" w:eastAsia="Arial" w:hAnsi="Arial"/>
                <w:sz w:val="21"/>
                <w:szCs w:val="21"/>
                <w:b w:val="1"/>
                <w:bCs w:val="1"/>
                <w:color w:val="FEFEFE"/>
              </w:rPr>
              <w:t>​</w:t>
            </w:r>
          </w:p>
        </w:tc>
        <w:tc>
          <w:tcPr>
            <w:tcW w:w="0" w:type="dxa"/>
            <w:vAlign w:val="bottom"/>
          </w:tcPr>
          <w:p>
            <w:pPr>
              <w:spacing w:after="0"/>
              <w:rPr>
                <w:sz w:val="1"/>
                <w:szCs w:val="1"/>
                <w:color w:val="auto"/>
              </w:rPr>
            </w:pPr>
          </w:p>
        </w:tc>
      </w:tr>
      <w:tr>
        <w:trPr>
          <w:trHeight w:val="229"/>
        </w:trPr>
        <w:tc>
          <w:tcPr>
            <w:tcW w:w="1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2320" w:type="dxa"/>
            <w:vAlign w:val="bottom"/>
            <w:shd w:val="clear" w:color="auto" w:fill="F2F2F2"/>
          </w:tcPr>
          <w:p>
            <w:pPr>
              <w:spacing w:after="0"/>
              <w:rPr>
                <w:sz w:val="20"/>
                <w:szCs w:val="20"/>
                <w:color w:val="auto"/>
              </w:rPr>
            </w:pPr>
            <w:r>
              <w:rPr>
                <w:rFonts w:ascii="Arial" w:cs="Arial" w:eastAsia="Arial" w:hAnsi="Arial"/>
                <w:sz w:val="16"/>
                <w:szCs w:val="16"/>
                <w:b w:val="1"/>
                <w:bCs w:val="1"/>
                <w:color w:val="62259D"/>
              </w:rPr>
              <w:t>CURRENT COMMITTEE</w:t>
            </w:r>
          </w:p>
        </w:tc>
        <w:tc>
          <w:tcPr>
            <w:tcW w:w="2420" w:type="dxa"/>
            <w:vAlign w:val="bottom"/>
            <w:shd w:val="clear" w:color="auto" w:fill="F2F2F2"/>
          </w:tcPr>
          <w:p>
            <w:pPr>
              <w:ind w:left="380"/>
              <w:spacing w:after="0"/>
              <w:rPr>
                <w:sz w:val="20"/>
                <w:szCs w:val="20"/>
                <w:color w:val="auto"/>
              </w:rPr>
            </w:pPr>
            <w:r>
              <w:rPr>
                <w:rFonts w:ascii="Arial" w:cs="Arial" w:eastAsia="Arial" w:hAnsi="Arial"/>
                <w:sz w:val="16"/>
                <w:szCs w:val="16"/>
                <w:color w:val="auto"/>
              </w:rPr>
              <w:t>​ ​</w:t>
            </w:r>
          </w:p>
        </w:tc>
        <w:tc>
          <w:tcPr>
            <w:tcW w:w="3780" w:type="dxa"/>
            <w:vAlign w:val="bottom"/>
            <w:vMerge w:val="restart"/>
            <w:shd w:val="clear" w:color="auto" w:fill="F2F2F2"/>
          </w:tcPr>
          <w:p>
            <w:pPr>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All members of the committee are independent</w:t>
            </w:r>
          </w:p>
        </w:tc>
        <w:tc>
          <w:tcPr>
            <w:tcW w:w="220" w:type="dxa"/>
            <w:vAlign w:val="bottom"/>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9"/>
        </w:trPr>
        <w:tc>
          <w:tcPr>
            <w:tcW w:w="120" w:type="dxa"/>
            <w:vAlign w:val="bottom"/>
            <w:shd w:val="clear" w:color="auto" w:fill="F2F2F2"/>
          </w:tcPr>
          <w:p>
            <w:pPr>
              <w:spacing w:after="0"/>
              <w:rPr>
                <w:sz w:val="9"/>
                <w:szCs w:val="9"/>
                <w:color w:val="auto"/>
              </w:rPr>
            </w:pPr>
          </w:p>
        </w:tc>
        <w:tc>
          <w:tcPr>
            <w:tcW w:w="2320" w:type="dxa"/>
            <w:vAlign w:val="bottom"/>
            <w:vMerge w:val="restart"/>
            <w:shd w:val="clear" w:color="auto" w:fill="F2F2F2"/>
          </w:tcPr>
          <w:p>
            <w:pPr>
              <w:spacing w:after="0"/>
              <w:rPr>
                <w:sz w:val="20"/>
                <w:szCs w:val="20"/>
                <w:color w:val="auto"/>
              </w:rPr>
            </w:pPr>
            <w:r>
              <w:rPr>
                <w:rFonts w:ascii="Arial" w:cs="Arial" w:eastAsia="Arial" w:hAnsi="Arial"/>
                <w:sz w:val="16"/>
                <w:szCs w:val="16"/>
                <w:b w:val="1"/>
                <w:bCs w:val="1"/>
                <w:color w:val="62259D"/>
              </w:rPr>
              <w:t>MEMBERS</w:t>
            </w:r>
          </w:p>
        </w:tc>
        <w:tc>
          <w:tcPr>
            <w:tcW w:w="2420" w:type="dxa"/>
            <w:vAlign w:val="bottom"/>
            <w:shd w:val="clear" w:color="auto" w:fill="F2F2F2"/>
          </w:tcPr>
          <w:p>
            <w:pPr>
              <w:spacing w:after="0"/>
              <w:rPr>
                <w:sz w:val="9"/>
                <w:szCs w:val="9"/>
                <w:color w:val="auto"/>
              </w:rPr>
            </w:pPr>
          </w:p>
        </w:tc>
        <w:tc>
          <w:tcPr>
            <w:tcW w:w="3780" w:type="dxa"/>
            <w:vAlign w:val="bottom"/>
            <w:vMerge w:val="continue"/>
            <w:shd w:val="clear" w:color="auto" w:fill="F2F2F2"/>
          </w:tcPr>
          <w:p>
            <w:pPr>
              <w:spacing w:after="0"/>
              <w:rPr>
                <w:sz w:val="9"/>
                <w:szCs w:val="9"/>
                <w:color w:val="auto"/>
              </w:rPr>
            </w:pPr>
          </w:p>
        </w:tc>
        <w:tc>
          <w:tcPr>
            <w:tcW w:w="22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2320" w:type="dxa"/>
            <w:vAlign w:val="bottom"/>
            <w:vMerge w:val="continue"/>
            <w:shd w:val="clear" w:color="auto" w:fill="F2F2F2"/>
          </w:tcPr>
          <w:p>
            <w:pPr>
              <w:spacing w:after="0"/>
              <w:rPr>
                <w:sz w:val="9"/>
                <w:szCs w:val="9"/>
                <w:color w:val="auto"/>
              </w:rPr>
            </w:pPr>
          </w:p>
        </w:tc>
        <w:tc>
          <w:tcPr>
            <w:tcW w:w="2420" w:type="dxa"/>
            <w:vAlign w:val="bottom"/>
            <w:vMerge w:val="restart"/>
            <w:shd w:val="clear" w:color="auto" w:fill="F2F2F2"/>
          </w:tcPr>
          <w:p>
            <w:pPr>
              <w:ind w:left="38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color w:val="62259D"/>
              </w:rPr>
              <w:t>■</w:t>
            </w:r>
            <w:r>
              <w:rPr>
                <w:rFonts w:ascii="Arial" w:cs="Arial" w:eastAsia="Arial" w:hAnsi="Arial"/>
                <w:sz w:val="16"/>
                <w:szCs w:val="16"/>
                <w:color w:val="auto"/>
              </w:rPr>
              <w:t xml:space="preserve"> Beatriz V. Infante</w:t>
            </w:r>
          </w:p>
        </w:tc>
        <w:tc>
          <w:tcPr>
            <w:tcW w:w="3780" w:type="dxa"/>
            <w:vAlign w:val="bottom"/>
            <w:vMerge w:val="restart"/>
            <w:shd w:val="clear" w:color="auto" w:fill="F2F2F2"/>
          </w:tcPr>
          <w:p>
            <w:pPr>
              <w:ind w:left="860"/>
              <w:spacing w:after="0"/>
              <w:rPr>
                <w:sz w:val="20"/>
                <w:szCs w:val="20"/>
                <w:color w:val="auto"/>
              </w:rPr>
            </w:pPr>
            <w:r>
              <w:rPr>
                <w:rFonts w:ascii="Arial" w:cs="Arial" w:eastAsia="Arial" w:hAnsi="Arial"/>
                <w:sz w:val="16"/>
                <w:szCs w:val="16"/>
                <w:color w:val="auto"/>
              </w:rPr>
              <w:t>​ ​ ​</w:t>
            </w:r>
          </w:p>
        </w:tc>
        <w:tc>
          <w:tcPr>
            <w:tcW w:w="220" w:type="dxa"/>
            <w:vAlign w:val="bottom"/>
            <w:vMerge w:val="restart"/>
            <w:shd w:val="clear" w:color="auto" w:fill="F2F2F2"/>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120" w:type="dxa"/>
            <w:vAlign w:val="bottom"/>
            <w:vMerge w:val="continue"/>
            <w:shd w:val="clear" w:color="auto" w:fill="F2F2F2"/>
          </w:tcPr>
          <w:p>
            <w:pPr>
              <w:spacing w:after="0"/>
              <w:rPr>
                <w:sz w:val="18"/>
                <w:szCs w:val="18"/>
                <w:color w:val="auto"/>
              </w:rPr>
            </w:pPr>
          </w:p>
        </w:tc>
        <w:tc>
          <w:tcPr>
            <w:tcW w:w="2320" w:type="dxa"/>
            <w:vAlign w:val="bottom"/>
            <w:shd w:val="clear" w:color="auto" w:fill="F2F2F2"/>
          </w:tcPr>
          <w:p>
            <w:pPr>
              <w:ind w:left="16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Scott Mair,</w:t>
            </w:r>
            <w:r>
              <w:rPr>
                <w:rFonts w:ascii="Arial" w:cs="Arial" w:eastAsia="Arial" w:hAnsi="Arial"/>
                <w:sz w:val="16"/>
                <w:szCs w:val="16"/>
                <w:color w:val="62259D"/>
              </w:rPr>
              <w:t xml:space="preserve"> </w:t>
            </w:r>
            <w:r>
              <w:rPr>
                <w:rFonts w:ascii="Arial" w:cs="Arial" w:eastAsia="Arial" w:hAnsi="Arial"/>
                <w:sz w:val="16"/>
                <w:szCs w:val="16"/>
                <w:i w:val="1"/>
                <w:iCs w:val="1"/>
                <w:color w:val="000000"/>
              </w:rPr>
              <w:t>Chair</w:t>
            </w:r>
          </w:p>
        </w:tc>
        <w:tc>
          <w:tcPr>
            <w:tcW w:w="2420" w:type="dxa"/>
            <w:vAlign w:val="bottom"/>
            <w:vMerge w:val="continue"/>
            <w:shd w:val="clear" w:color="auto" w:fill="F2F2F2"/>
          </w:tcPr>
          <w:p>
            <w:pPr>
              <w:spacing w:after="0"/>
              <w:rPr>
                <w:sz w:val="18"/>
                <w:szCs w:val="18"/>
                <w:color w:val="auto"/>
              </w:rPr>
            </w:pPr>
          </w:p>
        </w:tc>
        <w:tc>
          <w:tcPr>
            <w:tcW w:w="3780" w:type="dxa"/>
            <w:vAlign w:val="bottom"/>
            <w:vMerge w:val="continue"/>
            <w:shd w:val="clear" w:color="auto" w:fill="F2F2F2"/>
          </w:tcPr>
          <w:p>
            <w:pPr>
              <w:spacing w:after="0"/>
              <w:rPr>
                <w:sz w:val="18"/>
                <w:szCs w:val="18"/>
                <w:color w:val="auto"/>
              </w:rPr>
            </w:pPr>
          </w:p>
        </w:tc>
        <w:tc>
          <w:tcPr>
            <w:tcW w:w="220" w:type="dxa"/>
            <w:vAlign w:val="bottom"/>
            <w:vMerge w:val="continue"/>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120" w:type="dxa"/>
            <w:vAlign w:val="bottom"/>
            <w:shd w:val="clear" w:color="auto" w:fill="F2F2F2"/>
          </w:tcPr>
          <w:p>
            <w:pPr>
              <w:spacing w:after="0"/>
              <w:rPr>
                <w:sz w:val="4"/>
                <w:szCs w:val="4"/>
                <w:color w:val="auto"/>
              </w:rPr>
            </w:pPr>
          </w:p>
        </w:tc>
        <w:tc>
          <w:tcPr>
            <w:tcW w:w="2320" w:type="dxa"/>
            <w:vAlign w:val="bottom"/>
            <w:shd w:val="clear" w:color="auto" w:fill="F2F2F2"/>
          </w:tcPr>
          <w:p>
            <w:pPr>
              <w:spacing w:after="0"/>
              <w:rPr>
                <w:sz w:val="4"/>
                <w:szCs w:val="4"/>
                <w:color w:val="auto"/>
              </w:rPr>
            </w:pPr>
          </w:p>
        </w:tc>
        <w:tc>
          <w:tcPr>
            <w:tcW w:w="2420" w:type="dxa"/>
            <w:vAlign w:val="bottom"/>
            <w:shd w:val="clear" w:color="auto" w:fill="F2F2F2"/>
          </w:tcPr>
          <w:p>
            <w:pPr>
              <w:spacing w:after="0"/>
              <w:rPr>
                <w:sz w:val="4"/>
                <w:szCs w:val="4"/>
                <w:color w:val="auto"/>
              </w:rPr>
            </w:pPr>
          </w:p>
        </w:tc>
        <w:tc>
          <w:tcPr>
            <w:tcW w:w="3780" w:type="dxa"/>
            <w:vAlign w:val="bottom"/>
            <w:shd w:val="clear" w:color="auto" w:fill="F2F2F2"/>
          </w:tcPr>
          <w:p>
            <w:pPr>
              <w:spacing w:after="0"/>
              <w:rPr>
                <w:sz w:val="4"/>
                <w:szCs w:val="4"/>
                <w:color w:val="auto"/>
              </w:rPr>
            </w:pPr>
          </w:p>
        </w:tc>
        <w:tc>
          <w:tcPr>
            <w:tcW w:w="220" w:type="dxa"/>
            <w:vAlign w:val="bottom"/>
            <w:shd w:val="clear" w:color="auto" w:fill="F2F2F2"/>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3568700</wp:posOffset>
            </wp:positionH>
            <wp:positionV relativeFrom="paragraph">
              <wp:posOffset>-376555</wp:posOffset>
            </wp:positionV>
            <wp:extent cx="111125" cy="1028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10287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111" w:lineRule="exact"/>
        <w:rPr>
          <w:sz w:val="20"/>
          <w:szCs w:val="20"/>
          <w:color w:val="auto"/>
        </w:rPr>
      </w:pPr>
    </w:p>
    <w:p>
      <w:pPr>
        <w:ind w:left="1040" w:hanging="116"/>
        <w:spacing w:after="0"/>
        <w:tabs>
          <w:tab w:leader="none" w:pos="1040" w:val="left"/>
        </w:tabs>
        <w:numPr>
          <w:ilvl w:val="0"/>
          <w:numId w:val="83"/>
        </w:numPr>
        <w:rPr>
          <w:rFonts w:ascii="Arial" w:cs="Arial" w:eastAsia="Arial" w:hAnsi="Arial"/>
          <w:sz w:val="16"/>
          <w:szCs w:val="16"/>
          <w:color w:val="auto"/>
        </w:rPr>
      </w:pPr>
      <w:r>
        <w:rPr>
          <w:rFonts w:ascii="Arial" w:cs="Arial" w:eastAsia="Arial" w:hAnsi="Arial"/>
          <w:sz w:val="16"/>
          <w:szCs w:val="16"/>
          <w:b w:val="1"/>
          <w:bCs w:val="1"/>
          <w:color w:val="62259D"/>
        </w:rPr>
        <w:t>KEY RESPONSIBILITIES</w:t>
      </w:r>
    </w:p>
    <w:p>
      <w:pPr>
        <w:spacing w:after="0" w:line="61" w:lineRule="exact"/>
        <w:rPr>
          <w:rFonts w:ascii="Arial" w:cs="Arial" w:eastAsia="Arial" w:hAnsi="Arial"/>
          <w:sz w:val="16"/>
          <w:szCs w:val="16"/>
          <w:color w:val="auto"/>
        </w:rPr>
      </w:pPr>
    </w:p>
    <w:p>
      <w:pPr>
        <w:ind w:left="1040" w:right="60"/>
        <w:spacing w:after="0" w:line="234" w:lineRule="auto"/>
        <w:rPr>
          <w:rFonts w:ascii="Arial" w:cs="Arial" w:eastAsia="Arial" w:hAnsi="Arial"/>
          <w:sz w:val="16"/>
          <w:szCs w:val="16"/>
          <w:color w:val="auto"/>
        </w:rPr>
      </w:pPr>
      <w:r>
        <w:rPr>
          <w:rFonts w:ascii="Arial" w:cs="Arial" w:eastAsia="Arial" w:hAnsi="Arial"/>
          <w:sz w:val="16"/>
          <w:szCs w:val="16"/>
          <w:color w:val="auto"/>
        </w:rPr>
        <w:t>As described more fully in its charter, the Technology &amp; Innovation Committee’s responsibilities include, among other things, reviewing and discussing with the Company’s management:</w:t>
      </w:r>
    </w:p>
    <w:p>
      <w:pPr>
        <w:spacing w:after="0" w:line="38" w:lineRule="exact"/>
        <w:rPr>
          <w:rFonts w:ascii="Arial" w:cs="Arial" w:eastAsia="Arial" w:hAnsi="Arial"/>
          <w:sz w:val="16"/>
          <w:szCs w:val="16"/>
          <w:color w:val="auto"/>
        </w:rPr>
      </w:pPr>
    </w:p>
    <w:p>
      <w:pPr>
        <w:ind w:left="1340" w:hanging="308"/>
        <w:spacing w:after="0" w:line="229" w:lineRule="auto"/>
        <w:tabs>
          <w:tab w:leader="none" w:pos="13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Company’s overall corporate strategy and approach to leverage technological and commercial innovation to accomplish the financial and market goals established by the Company including business performance, market share growth and competitive leadership;</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4420" w:val="left"/>
        </w:tabs>
        <w:rPr>
          <w:sz w:val="20"/>
          <w:szCs w:val="20"/>
          <w:color w:val="auto"/>
        </w:rPr>
      </w:pPr>
      <w:r>
        <w:rPr>
          <w:rFonts w:ascii="Arial" w:cs="Arial" w:eastAsia="Arial" w:hAnsi="Arial"/>
          <w:sz w:val="16"/>
          <w:szCs w:val="16"/>
          <w:color w:val="auto"/>
        </w:rPr>
        <w:t>​ ​ (iv) the direction and effectiveness of the Company’s</w:t>
      </w:r>
      <w:r>
        <w:rPr>
          <w:sz w:val="20"/>
          <w:szCs w:val="20"/>
          <w:color w:val="auto"/>
        </w:rPr>
        <w:tab/>
      </w:r>
      <w:r>
        <w:rPr>
          <w:rFonts w:ascii="Arial" w:cs="Arial" w:eastAsia="Arial" w:hAnsi="Arial"/>
          <w:sz w:val="16"/>
          <w:szCs w:val="16"/>
          <w:color w:val="auto"/>
        </w:rPr>
        <w:t>​</w:t>
      </w:r>
    </w:p>
    <w:p>
      <w:pPr>
        <w:spacing w:after="0" w:line="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research and development operations.</w:t>
      </w:r>
    </w:p>
    <w:p>
      <w:pPr>
        <w:spacing w:after="0" w:line="97"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62259D"/>
        </w:rPr>
        <w:t>CHARTER</w:t>
      </w:r>
    </w:p>
    <w:p>
      <w:pPr>
        <w:spacing w:after="0" w:line="3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Technology and Innovation Committee operates</w:t>
      </w:r>
    </w:p>
    <w:p>
      <w:pPr>
        <w:ind w:left="220"/>
        <w:spacing w:after="0" w:line="236" w:lineRule="auto"/>
        <w:rPr>
          <w:sz w:val="20"/>
          <w:szCs w:val="20"/>
          <w:color w:val="auto"/>
        </w:rPr>
      </w:pPr>
      <w:r>
        <w:rPr>
          <w:rFonts w:ascii="Arial" w:cs="Arial" w:eastAsia="Arial" w:hAnsi="Arial"/>
          <w:sz w:val="16"/>
          <w:szCs w:val="16"/>
          <w:color w:val="auto"/>
        </w:rPr>
        <w:t>pursuant to a written charter adopted by the Board, a</w:t>
      </w:r>
    </w:p>
    <w:p>
      <w:pPr>
        <w:ind w:left="220"/>
        <w:spacing w:after="0" w:line="229" w:lineRule="auto"/>
        <w:rPr>
          <w:sz w:val="20"/>
          <w:szCs w:val="20"/>
          <w:color w:val="auto"/>
        </w:rPr>
      </w:pPr>
      <w:r>
        <w:rPr>
          <w:rFonts w:ascii="Arial" w:cs="Arial" w:eastAsia="Arial" w:hAnsi="Arial"/>
          <w:sz w:val="16"/>
          <w:szCs w:val="16"/>
          <w:color w:val="auto"/>
        </w:rPr>
        <w:t>current copy of which is available at</w:t>
      </w:r>
    </w:p>
    <w:p>
      <w:pPr>
        <w:ind w:left="220"/>
        <w:spacing w:after="0" w:line="211" w:lineRule="auto"/>
        <w:rPr>
          <w:sz w:val="20"/>
          <w:szCs w:val="20"/>
          <w:color w:val="auto"/>
        </w:rPr>
      </w:pPr>
      <w:r>
        <w:rPr>
          <w:rFonts w:ascii="Arial" w:cs="Arial" w:eastAsia="Arial" w:hAnsi="Arial"/>
          <w:sz w:val="16"/>
          <w:szCs w:val="16"/>
          <w:color w:val="E7417A"/>
        </w:rPr>
        <w:t xml:space="preserve">investors.ribboncommunications.com </w:t>
      </w:r>
      <w:r>
        <w:rPr>
          <w:rFonts w:ascii="Arial" w:cs="Arial" w:eastAsia="Arial" w:hAnsi="Arial"/>
          <w:sz w:val="16"/>
          <w:szCs w:val="16"/>
          <w:color w:val="000000"/>
        </w:rPr>
        <w:t>under</w:t>
      </w:r>
      <w:r>
        <w:rPr>
          <w:rFonts w:ascii="Arial" w:cs="Arial" w:eastAsia="Arial" w:hAnsi="Arial"/>
          <w:sz w:val="16"/>
          <w:szCs w:val="16"/>
          <w:color w:val="E7417A"/>
        </w:rPr>
        <w:t xml:space="preserve"> </w:t>
      </w:r>
      <w:r>
        <w:rPr>
          <w:rFonts w:ascii="Arial" w:cs="Arial" w:eastAsia="Arial" w:hAnsi="Arial"/>
          <w:sz w:val="16"/>
          <w:szCs w:val="16"/>
          <w:i w:val="1"/>
          <w:iCs w:val="1"/>
          <w:color w:val="000000"/>
        </w:rPr>
        <w:t>“Corporate</w:t>
      </w:r>
    </w:p>
    <w:p>
      <w:pPr>
        <w:ind w:left="220"/>
        <w:spacing w:after="0"/>
        <w:rPr>
          <w:sz w:val="20"/>
          <w:szCs w:val="20"/>
          <w:color w:val="auto"/>
        </w:rPr>
      </w:pPr>
      <w:r>
        <w:rPr>
          <w:rFonts w:ascii="Arial" w:cs="Arial" w:eastAsia="Arial" w:hAnsi="Arial"/>
          <w:sz w:val="16"/>
          <w:szCs w:val="16"/>
          <w:i w:val="1"/>
          <w:iCs w:val="1"/>
          <w:color w:val="auto"/>
        </w:rPr>
        <w:t>Governance — Governance Highlights.”</w:t>
      </w:r>
    </w:p>
    <w:p>
      <w:pPr>
        <w:spacing w:after="0" w:line="517" w:lineRule="exact"/>
        <w:rPr>
          <w:sz w:val="20"/>
          <w:szCs w:val="20"/>
          <w:color w:val="auto"/>
        </w:rPr>
      </w:pPr>
    </w:p>
    <w:p>
      <w:pPr>
        <w:sectPr>
          <w:pgSz w:w="11900" w:h="16838" w:orient="portrait"/>
          <w:cols w:equalWidth="0" w:num="2">
            <w:col w:w="5100" w:space="140"/>
            <w:col w:w="4639"/>
          </w:cols>
          <w:pgMar w:left="580" w:top="97" w:right="1440" w:bottom="1440" w:gutter="0" w:footer="0" w:header="0"/>
          <w:type w:val="continuous"/>
        </w:sectPr>
      </w:pPr>
    </w:p>
    <w:p>
      <w:pPr>
        <w:ind w:left="1340" w:right="4659" w:hanging="308"/>
        <w:spacing w:after="0" w:line="259" w:lineRule="auto"/>
        <w:tabs>
          <w:tab w:leader="none" w:pos="1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significant investments in technology and software by the Company;</w:t>
      </w:r>
    </w:p>
    <w:p>
      <w:pPr>
        <w:spacing w:after="0" w:line="21" w:lineRule="exact"/>
        <w:rPr>
          <w:rFonts w:ascii="Arial" w:cs="Arial" w:eastAsia="Arial" w:hAnsi="Arial"/>
          <w:sz w:val="16"/>
          <w:szCs w:val="16"/>
          <w:color w:val="auto"/>
        </w:rPr>
      </w:pPr>
    </w:p>
    <w:p>
      <w:pPr>
        <w:jc w:val="both"/>
        <w:ind w:left="1340" w:right="4739" w:hanging="308"/>
        <w:spacing w:after="0" w:line="236" w:lineRule="auto"/>
        <w:tabs>
          <w:tab w:leader="none" w:pos="13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technology risks, opportunities and trends that could significantly affect the Company and the businesses in which it operates;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12700</wp:posOffset>
            </wp:positionV>
            <wp:extent cx="56235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Director Nomination Process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Nominating, Sustainability and Corporate Governance Committee screens and recommends</w:t>
      </w:r>
    </w:p>
    <w:p>
      <w:pPr>
        <w:spacing w:after="0" w:line="14"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candidates for nomination by the full Board, other than those directors designated pursuant to the Stockholders Agreement. There are no specific minimum qualifications for a recommended nominee to our</w:t>
      </w:r>
    </w:p>
    <w:p>
      <w:pPr>
        <w:spacing w:after="0" w:line="2" w:lineRule="exact"/>
        <w:rPr>
          <w:sz w:val="20"/>
          <w:szCs w:val="20"/>
          <w:color w:val="auto"/>
        </w:rPr>
      </w:pPr>
    </w:p>
    <w:p>
      <w:pPr>
        <w:ind w:left="920" w:right="299"/>
        <w:spacing w:after="0" w:line="250" w:lineRule="auto"/>
        <w:rPr>
          <w:sz w:val="20"/>
          <w:szCs w:val="20"/>
          <w:color w:val="auto"/>
        </w:rPr>
      </w:pPr>
      <w:r>
        <w:rPr>
          <w:rFonts w:ascii="Arial" w:cs="Arial" w:eastAsia="Arial" w:hAnsi="Arial"/>
          <w:sz w:val="18"/>
          <w:szCs w:val="18"/>
          <w:color w:val="auto"/>
        </w:rPr>
        <w:t>Board; however, the Nominating, Sustainability and Corporate Governance Committee considers, among other skills and criteria, the following for nomination as a director:</w:t>
      </w:r>
    </w:p>
    <w:p>
      <w:pPr>
        <w:spacing w:after="0" w:line="104" w:lineRule="exact"/>
        <w:rPr>
          <w:sz w:val="20"/>
          <w:szCs w:val="20"/>
          <w:color w:val="auto"/>
        </w:rPr>
      </w:pPr>
    </w:p>
    <w:p>
      <w:pPr>
        <w:ind w:left="1280" w:hanging="356"/>
        <w:spacing w:after="0"/>
        <w:tabs>
          <w:tab w:leader="none" w:pos="1280" w:val="left"/>
        </w:tabs>
        <w:numPr>
          <w:ilvl w:val="0"/>
          <w:numId w:val="85"/>
        </w:numPr>
        <w:rPr>
          <w:rFonts w:ascii="Arial" w:cs="Arial" w:eastAsia="Arial" w:hAnsi="Arial"/>
          <w:sz w:val="18"/>
          <w:szCs w:val="18"/>
          <w:color w:val="62259D"/>
        </w:rPr>
      </w:pPr>
      <w:r>
        <w:rPr>
          <w:rFonts w:ascii="Arial" w:cs="Arial" w:eastAsia="Arial" w:hAnsi="Arial"/>
          <w:sz w:val="18"/>
          <w:szCs w:val="18"/>
          <w:color w:val="auto"/>
        </w:rPr>
        <w:t>demonstrated business knowledge, technical skills and experience;</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85"/>
        </w:numPr>
        <w:rPr>
          <w:rFonts w:ascii="Arial" w:cs="Arial" w:eastAsia="Arial" w:hAnsi="Arial"/>
          <w:sz w:val="18"/>
          <w:szCs w:val="18"/>
          <w:color w:val="62259D"/>
        </w:rPr>
      </w:pPr>
      <w:r>
        <w:rPr>
          <w:rFonts w:ascii="Arial" w:cs="Arial" w:eastAsia="Arial" w:hAnsi="Arial"/>
          <w:sz w:val="18"/>
          <w:szCs w:val="18"/>
          <w:color w:val="auto"/>
        </w:rPr>
        <w:t>an ability to exercise sound judgment in matters that relate to our current and long-term objectives;</w:t>
      </w:r>
    </w:p>
    <w:p>
      <w:pPr>
        <w:spacing w:after="0" w:line="63" w:lineRule="exact"/>
        <w:rPr>
          <w:rFonts w:ascii="Arial" w:cs="Arial" w:eastAsia="Arial" w:hAnsi="Arial"/>
          <w:sz w:val="18"/>
          <w:szCs w:val="18"/>
          <w:color w:val="62259D"/>
        </w:rPr>
      </w:pPr>
    </w:p>
    <w:p>
      <w:pPr>
        <w:ind w:left="1280" w:right="279" w:hanging="356"/>
        <w:spacing w:after="0" w:line="281" w:lineRule="auto"/>
        <w:tabs>
          <w:tab w:leader="none" w:pos="1280" w:val="left"/>
        </w:tabs>
        <w:numPr>
          <w:ilvl w:val="0"/>
          <w:numId w:val="85"/>
        </w:numPr>
        <w:rPr>
          <w:rFonts w:ascii="Arial" w:cs="Arial" w:eastAsia="Arial" w:hAnsi="Arial"/>
          <w:sz w:val="18"/>
          <w:szCs w:val="18"/>
          <w:color w:val="62259D"/>
        </w:rPr>
      </w:pPr>
      <w:r>
        <w:rPr>
          <w:rFonts w:ascii="Arial" w:cs="Arial" w:eastAsia="Arial" w:hAnsi="Arial"/>
          <w:sz w:val="18"/>
          <w:szCs w:val="18"/>
          <w:color w:val="auto"/>
        </w:rPr>
        <w:t>commitment to understanding us and our industry and to regularly attend and participate in meetings of our Board and its committees;</w:t>
      </w:r>
    </w:p>
    <w:p>
      <w:pPr>
        <w:spacing w:after="0" w:line="1" w:lineRule="exact"/>
        <w:rPr>
          <w:rFonts w:ascii="Arial" w:cs="Arial" w:eastAsia="Arial" w:hAnsi="Arial"/>
          <w:sz w:val="18"/>
          <w:szCs w:val="18"/>
          <w:color w:val="62259D"/>
        </w:rPr>
      </w:pPr>
    </w:p>
    <w:p>
      <w:pPr>
        <w:ind w:left="1280" w:hanging="356"/>
        <w:spacing w:after="0"/>
        <w:tabs>
          <w:tab w:leader="none" w:pos="1280" w:val="left"/>
        </w:tabs>
        <w:numPr>
          <w:ilvl w:val="0"/>
          <w:numId w:val="85"/>
        </w:numPr>
        <w:rPr>
          <w:rFonts w:ascii="Arial" w:cs="Arial" w:eastAsia="Arial" w:hAnsi="Arial"/>
          <w:sz w:val="18"/>
          <w:szCs w:val="18"/>
          <w:color w:val="62259D"/>
        </w:rPr>
      </w:pPr>
      <w:r>
        <w:rPr>
          <w:rFonts w:ascii="Arial" w:cs="Arial" w:eastAsia="Arial" w:hAnsi="Arial"/>
          <w:sz w:val="18"/>
          <w:szCs w:val="18"/>
          <w:color w:val="auto"/>
        </w:rPr>
        <w:t>a reputation for integrity, honesty and adherence to high ethical standards;</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85"/>
        </w:numPr>
        <w:rPr>
          <w:rFonts w:ascii="Arial" w:cs="Arial" w:eastAsia="Arial" w:hAnsi="Arial"/>
          <w:sz w:val="18"/>
          <w:szCs w:val="18"/>
          <w:color w:val="62259D"/>
        </w:rPr>
      </w:pPr>
      <w:r>
        <w:rPr>
          <w:rFonts w:ascii="Arial" w:cs="Arial" w:eastAsia="Arial" w:hAnsi="Arial"/>
          <w:sz w:val="18"/>
          <w:szCs w:val="18"/>
          <w:color w:val="auto"/>
        </w:rPr>
        <w:t>diversity of experience, background, qualifications, attributes and other desired qualities;</w:t>
      </w:r>
    </w:p>
    <w:p>
      <w:pPr>
        <w:spacing w:after="0" w:line="63" w:lineRule="exact"/>
        <w:rPr>
          <w:rFonts w:ascii="Arial" w:cs="Arial" w:eastAsia="Arial" w:hAnsi="Arial"/>
          <w:sz w:val="18"/>
          <w:szCs w:val="18"/>
          <w:color w:val="62259D"/>
        </w:rPr>
      </w:pPr>
    </w:p>
    <w:p>
      <w:pPr>
        <w:ind w:left="1280" w:right="1179" w:hanging="356"/>
        <w:spacing w:after="0" w:line="271" w:lineRule="auto"/>
        <w:tabs>
          <w:tab w:leader="none" w:pos="1280" w:val="left"/>
        </w:tabs>
        <w:numPr>
          <w:ilvl w:val="0"/>
          <w:numId w:val="85"/>
        </w:numPr>
        <w:rPr>
          <w:rFonts w:ascii="Arial" w:cs="Arial" w:eastAsia="Arial" w:hAnsi="Arial"/>
          <w:sz w:val="18"/>
          <w:szCs w:val="18"/>
          <w:color w:val="62259D"/>
        </w:rPr>
      </w:pPr>
      <w:r>
        <w:rPr>
          <w:rFonts w:ascii="Arial" w:cs="Arial" w:eastAsia="Arial" w:hAnsi="Arial"/>
          <w:sz w:val="18"/>
          <w:szCs w:val="18"/>
          <w:color w:val="auto"/>
        </w:rPr>
        <w:t>the ability and experience to understand the sometimes conflicting interests of our various constituencies and to act in the interests of all stockholders; and</w:t>
      </w:r>
    </w:p>
    <w:p>
      <w:pPr>
        <w:spacing w:after="0" w:line="18" w:lineRule="exact"/>
        <w:rPr>
          <w:rFonts w:ascii="Arial" w:cs="Arial" w:eastAsia="Arial" w:hAnsi="Arial"/>
          <w:sz w:val="18"/>
          <w:szCs w:val="18"/>
          <w:color w:val="62259D"/>
        </w:rPr>
      </w:pPr>
    </w:p>
    <w:p>
      <w:pPr>
        <w:ind w:left="1280" w:right="259" w:hanging="356"/>
        <w:spacing w:after="0" w:line="271" w:lineRule="auto"/>
        <w:tabs>
          <w:tab w:leader="none" w:pos="1280" w:val="left"/>
        </w:tabs>
        <w:numPr>
          <w:ilvl w:val="0"/>
          <w:numId w:val="85"/>
        </w:numPr>
        <w:rPr>
          <w:rFonts w:ascii="Arial" w:cs="Arial" w:eastAsia="Arial" w:hAnsi="Arial"/>
          <w:sz w:val="18"/>
          <w:szCs w:val="18"/>
          <w:color w:val="62259D"/>
        </w:rPr>
      </w:pPr>
      <w:r>
        <w:rPr>
          <w:rFonts w:ascii="Arial" w:cs="Arial" w:eastAsia="Arial" w:hAnsi="Arial"/>
          <w:sz w:val="18"/>
          <w:szCs w:val="18"/>
          <w:color w:val="auto"/>
        </w:rPr>
        <w:t>the absence of any conflict of interest that would impair the nominee’s ability to represent the interest of all our stockholders and to fulfill the responsibilities of being a director.</w:t>
      </w:r>
    </w:p>
    <w:p>
      <w:pPr>
        <w:spacing w:after="0" w:line="73" w:lineRule="exact"/>
        <w:rPr>
          <w:sz w:val="20"/>
          <w:szCs w:val="20"/>
          <w:color w:val="auto"/>
        </w:rPr>
      </w:pPr>
    </w:p>
    <w:p>
      <w:pPr>
        <w:ind w:left="920" w:right="399"/>
        <w:spacing w:after="0" w:line="245" w:lineRule="auto"/>
        <w:rPr>
          <w:sz w:val="20"/>
          <w:szCs w:val="20"/>
          <w:color w:val="auto"/>
        </w:rPr>
      </w:pPr>
      <w:r>
        <w:rPr>
          <w:rFonts w:ascii="Arial" w:cs="Arial" w:eastAsia="Arial" w:hAnsi="Arial"/>
          <w:sz w:val="18"/>
          <w:szCs w:val="18"/>
          <w:color w:val="auto"/>
        </w:rPr>
        <w:t>In considering whether to recommend any particular candidate for inclusion in our Board’s slate of recommended director nominees, the Nominating, Sustainability and Corporate Governance Committee</w:t>
      </w:r>
    </w:p>
    <w:p>
      <w:pPr>
        <w:ind w:left="920" w:right="439"/>
        <w:spacing w:after="0" w:line="226" w:lineRule="auto"/>
        <w:rPr>
          <w:sz w:val="20"/>
          <w:szCs w:val="20"/>
          <w:color w:val="auto"/>
        </w:rPr>
      </w:pPr>
      <w:r>
        <w:rPr>
          <w:rFonts w:ascii="Arial" w:cs="Arial" w:eastAsia="Arial" w:hAnsi="Arial"/>
          <w:sz w:val="18"/>
          <w:szCs w:val="18"/>
          <w:color w:val="auto"/>
        </w:rPr>
        <w:t>applies the criteria generally set forth in the Nominating, Sustainability and Corporate Governance Committee Charter. The process followed by the Nominating, Sustainability and Corporate Governance</w:t>
      </w:r>
    </w:p>
    <w:p>
      <w:pPr>
        <w:ind w:left="920"/>
        <w:spacing w:after="0" w:line="236" w:lineRule="auto"/>
        <w:rPr>
          <w:sz w:val="20"/>
          <w:szCs w:val="20"/>
          <w:color w:val="auto"/>
        </w:rPr>
      </w:pPr>
      <w:r>
        <w:rPr>
          <w:rFonts w:ascii="Arial" w:cs="Arial" w:eastAsia="Arial" w:hAnsi="Arial"/>
          <w:sz w:val="18"/>
          <w:szCs w:val="18"/>
          <w:color w:val="auto"/>
        </w:rPr>
        <w:t>Committee to identify and evaluate director candidates includes requests to our Board members and</w:t>
      </w:r>
    </w:p>
    <w:p>
      <w:pPr>
        <w:spacing w:after="0" w:line="1" w:lineRule="exact"/>
        <w:rPr>
          <w:sz w:val="20"/>
          <w:szCs w:val="20"/>
          <w:color w:val="auto"/>
        </w:rPr>
      </w:pPr>
    </w:p>
    <w:p>
      <w:pPr>
        <w:ind w:left="920" w:right="219"/>
        <w:spacing w:after="0" w:line="226" w:lineRule="auto"/>
        <w:rPr>
          <w:sz w:val="20"/>
          <w:szCs w:val="20"/>
          <w:color w:val="auto"/>
        </w:rPr>
      </w:pPr>
      <w:r>
        <w:rPr>
          <w:rFonts w:ascii="Arial" w:cs="Arial" w:eastAsia="Arial" w:hAnsi="Arial"/>
          <w:sz w:val="18"/>
          <w:szCs w:val="18"/>
          <w:color w:val="auto"/>
        </w:rPr>
        <w:t>others for recommendations, meetings from time to time to evaluate biographical information and background material relating to potential candidates and interviews of selected candidates by members of</w:t>
      </w:r>
    </w:p>
    <w:p>
      <w:pPr>
        <w:spacing w:after="0" w:line="2"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the Nominating, Sustainability and Corporate Governance Committee and our Board. Our Board believes that the backgrounds and qualifications of its directors, considered as a group, should provide a composite</w:t>
      </w:r>
    </w:p>
    <w:p>
      <w:pPr>
        <w:ind w:left="920"/>
        <w:spacing w:after="0" w:line="236" w:lineRule="auto"/>
        <w:rPr>
          <w:sz w:val="20"/>
          <w:szCs w:val="20"/>
          <w:color w:val="auto"/>
        </w:rPr>
      </w:pPr>
      <w:r>
        <w:rPr>
          <w:rFonts w:ascii="Arial" w:cs="Arial" w:eastAsia="Arial" w:hAnsi="Arial"/>
          <w:sz w:val="18"/>
          <w:szCs w:val="18"/>
          <w:color w:val="auto"/>
        </w:rPr>
        <w:t>mix of experience, knowledge and abilities that will allow our Board to fulfill its responsibilities. In</w:t>
      </w:r>
    </w:p>
    <w:p>
      <w:pPr>
        <w:spacing w:after="0" w:line="1" w:lineRule="exact"/>
        <w:rPr>
          <w:sz w:val="20"/>
          <w:szCs w:val="20"/>
          <w:color w:val="auto"/>
        </w:rPr>
      </w:pPr>
    </w:p>
    <w:p>
      <w:pPr>
        <w:ind w:left="920" w:right="579"/>
        <w:spacing w:after="0" w:line="226" w:lineRule="auto"/>
        <w:rPr>
          <w:sz w:val="20"/>
          <w:szCs w:val="20"/>
          <w:color w:val="auto"/>
        </w:rPr>
      </w:pPr>
      <w:r>
        <w:rPr>
          <w:rFonts w:ascii="Arial" w:cs="Arial" w:eastAsia="Arial" w:hAnsi="Arial"/>
          <w:sz w:val="18"/>
          <w:szCs w:val="18"/>
          <w:color w:val="auto"/>
        </w:rPr>
        <w:t>identifying potential director candidates, the Nominating, Sustainability and Corporate Governance Committee and the Board also focus on ensuring that the Board reflects a diverse set of experiences,</w:t>
      </w:r>
    </w:p>
    <w:p>
      <w:pPr>
        <w:ind w:left="920"/>
        <w:spacing w:after="0" w:line="236" w:lineRule="auto"/>
        <w:rPr>
          <w:sz w:val="20"/>
          <w:szCs w:val="20"/>
          <w:color w:val="auto"/>
        </w:rPr>
      </w:pPr>
      <w:r>
        <w:rPr>
          <w:rFonts w:ascii="Arial" w:cs="Arial" w:eastAsia="Arial" w:hAnsi="Arial"/>
          <w:sz w:val="18"/>
          <w:szCs w:val="18"/>
          <w:color w:val="auto"/>
        </w:rPr>
        <w:t>backgrounds and skills. The Nominating, Sustainability and Corporate Governance Committee has the</w:t>
      </w:r>
    </w:p>
    <w:p>
      <w:pPr>
        <w:spacing w:after="0" w:line="1" w:lineRule="exact"/>
        <w:rPr>
          <w:sz w:val="20"/>
          <w:szCs w:val="20"/>
          <w:color w:val="auto"/>
        </w:rPr>
      </w:pPr>
    </w:p>
    <w:p>
      <w:pPr>
        <w:ind w:left="920" w:right="519"/>
        <w:spacing w:after="0" w:line="237" w:lineRule="auto"/>
        <w:rPr>
          <w:sz w:val="20"/>
          <w:szCs w:val="20"/>
          <w:color w:val="auto"/>
        </w:rPr>
      </w:pPr>
      <w:r>
        <w:rPr>
          <w:rFonts w:ascii="Arial" w:cs="Arial" w:eastAsia="Arial" w:hAnsi="Arial"/>
          <w:sz w:val="18"/>
          <w:szCs w:val="18"/>
          <w:color w:val="auto"/>
        </w:rPr>
        <w:t>authority to engage independent advisors to assist in the process of identifying and evaluating director candidates, but has not engaged any such advisors to date.</w:t>
      </w:r>
    </w:p>
    <w:p>
      <w:pPr>
        <w:spacing w:after="0" w:line="162" w:lineRule="exact"/>
        <w:rPr>
          <w:sz w:val="20"/>
          <w:szCs w:val="20"/>
          <w:color w:val="auto"/>
        </w:rPr>
      </w:pPr>
    </w:p>
    <w:p>
      <w:pPr>
        <w:ind w:left="920" w:right="1119"/>
        <w:spacing w:after="0" w:line="271" w:lineRule="auto"/>
        <w:rPr>
          <w:sz w:val="20"/>
          <w:szCs w:val="20"/>
          <w:color w:val="auto"/>
        </w:rPr>
      </w:pPr>
      <w:r>
        <w:rPr>
          <w:rFonts w:ascii="Arial" w:cs="Arial" w:eastAsia="Arial" w:hAnsi="Arial"/>
          <w:sz w:val="36"/>
          <w:szCs w:val="36"/>
          <w:b w:val="1"/>
          <w:bCs w:val="1"/>
          <w:color w:val="E7417A"/>
        </w:rPr>
        <w:t>Stockholder Nominations and Recommendations of Director Candidates</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Stockholders who wish to recommend candidates to the Nominating, Sustainability and Corporate</w:t>
      </w:r>
    </w:p>
    <w:p>
      <w:pPr>
        <w:spacing w:after="0" w:line="14" w:lineRule="exact"/>
        <w:rPr>
          <w:sz w:val="20"/>
          <w:szCs w:val="20"/>
          <w:color w:val="auto"/>
        </w:rPr>
      </w:pPr>
    </w:p>
    <w:p>
      <w:pPr>
        <w:ind w:left="920" w:right="1419"/>
        <w:spacing w:after="0" w:line="237" w:lineRule="auto"/>
        <w:rPr>
          <w:sz w:val="20"/>
          <w:szCs w:val="20"/>
          <w:color w:val="auto"/>
        </w:rPr>
      </w:pPr>
      <w:r>
        <w:rPr>
          <w:rFonts w:ascii="Arial" w:cs="Arial" w:eastAsia="Arial" w:hAnsi="Arial"/>
          <w:sz w:val="18"/>
          <w:szCs w:val="18"/>
          <w:color w:val="auto"/>
        </w:rPr>
        <w:t>Governance Committee for consideration as potential director candidates should send their recommendation to:</w:t>
      </w:r>
    </w:p>
    <w:p>
      <w:pPr>
        <w:sectPr>
          <w:pgSz w:w="11900" w:h="16838" w:orient="portrait"/>
          <w:cols w:equalWidth="0" w:num="1">
            <w:col w:w="9879"/>
          </w:cols>
          <w:pgMar w:left="580" w:top="97" w:right="1440" w:bottom="1440" w:gutter="0" w:footer="0" w:header="0"/>
        </w:sectPr>
      </w:pPr>
    </w:p>
    <w:p>
      <w:pPr>
        <w:spacing w:after="0" w:line="31" w:lineRule="exact"/>
        <w:rPr>
          <w:sz w:val="20"/>
          <w:szCs w:val="20"/>
          <w:color w:val="auto"/>
        </w:rPr>
      </w:pPr>
    </w:p>
    <w:tbl>
      <w:tblPr>
        <w:tblLayout w:type="fixed"/>
        <w:tblInd w:w="196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6060" w:type="dxa"/>
            <w:vAlign w:val="bottom"/>
          </w:tcPr>
          <w:p>
            <w:pPr>
              <w:ind w:left="360"/>
              <w:spacing w:after="0"/>
              <w:rPr>
                <w:sz w:val="20"/>
                <w:szCs w:val="20"/>
                <w:color w:val="auto"/>
              </w:rPr>
            </w:pPr>
            <w:r>
              <w:rPr>
                <w:rFonts w:ascii="Arial" w:cs="Arial" w:eastAsia="Arial" w:hAnsi="Arial"/>
                <w:sz w:val="17"/>
                <w:szCs w:val="17"/>
                <w:color w:val="auto"/>
              </w:rPr>
              <w:t>​</w:t>
            </w:r>
          </w:p>
        </w:tc>
      </w:tr>
      <w:tr>
        <w:trPr>
          <w:trHeight w:val="68"/>
        </w:trPr>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spacing w:after="0"/>
              <w:rPr>
                <w:sz w:val="5"/>
                <w:szCs w:val="5"/>
                <w:color w:val="auto"/>
              </w:rPr>
            </w:pPr>
          </w:p>
        </w:tc>
        <w:tc>
          <w:tcPr>
            <w:tcW w:w="6060" w:type="dxa"/>
            <w:vAlign w:val="bottom"/>
          </w:tcPr>
          <w:p>
            <w:pPr>
              <w:ind w:left="360"/>
              <w:spacing w:after="0" w:line="68" w:lineRule="exact"/>
              <w:rPr>
                <w:sz w:val="20"/>
                <w:szCs w:val="20"/>
                <w:color w:val="auto"/>
              </w:rPr>
            </w:pPr>
            <w:r>
              <w:rPr>
                <w:rFonts w:ascii="Arial" w:cs="Arial" w:eastAsia="Arial" w:hAnsi="Arial"/>
                <w:sz w:val="7"/>
                <w:szCs w:val="7"/>
                <w:color w:val="auto"/>
              </w:rPr>
              <w:t>​</w:t>
            </w:r>
          </w:p>
        </w:tc>
      </w:tr>
      <w:tr>
        <w:trPr>
          <w:trHeight w:val="108"/>
        </w:trPr>
        <w:tc>
          <w:tcPr>
            <w:tcW w:w="10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9"/>
                <w:szCs w:val="9"/>
                <w:color w:val="auto"/>
              </w:rPr>
            </w:pPr>
          </w:p>
        </w:tc>
        <w:tc>
          <w:tcPr>
            <w:tcW w:w="6060" w:type="dxa"/>
            <w:vAlign w:val="bottom"/>
          </w:tcPr>
          <w:p>
            <w:pPr>
              <w:ind w:left="360"/>
              <w:spacing w:after="0" w:line="108" w:lineRule="exact"/>
              <w:rPr>
                <w:sz w:val="20"/>
                <w:szCs w:val="20"/>
                <w:color w:val="auto"/>
              </w:rPr>
            </w:pPr>
            <w:r>
              <w:rPr>
                <w:rFonts w:ascii="Arial" w:cs="Arial" w:eastAsia="Arial" w:hAnsi="Arial"/>
                <w:sz w:val="12"/>
                <w:szCs w:val="12"/>
                <w:color w:val="auto"/>
              </w:rPr>
              <w:t>​</w:t>
            </w:r>
          </w:p>
        </w:tc>
      </w:tr>
      <w:tr>
        <w:trPr>
          <w:trHeight w:val="59"/>
        </w:trPr>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60" w:type="dxa"/>
            <w:vAlign w:val="bottom"/>
          </w:tcPr>
          <w:p>
            <w:pPr>
              <w:ind w:left="360"/>
              <w:spacing w:after="0" w:line="59" w:lineRule="exact"/>
              <w:rPr>
                <w:sz w:val="20"/>
                <w:szCs w:val="20"/>
                <w:color w:val="auto"/>
              </w:rPr>
            </w:pPr>
            <w:r>
              <w:rPr>
                <w:rFonts w:ascii="Arial" w:cs="Arial" w:eastAsia="Arial" w:hAnsi="Arial"/>
                <w:sz w:val="6"/>
                <w:szCs w:val="6"/>
                <w:color w:val="auto"/>
              </w:rPr>
              <w:t>The Nominating, Sustainability &amp; Corporate Governance Committee</w:t>
            </w:r>
          </w:p>
        </w:tc>
      </w:tr>
      <w:tr>
        <w:trPr>
          <w:trHeight w:val="189"/>
        </w:trPr>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60" w:type="dxa"/>
            <w:vAlign w:val="bottom"/>
          </w:tcPr>
          <w:p>
            <w:pPr>
              <w:ind w:left="360"/>
              <w:spacing w:after="0" w:line="189" w:lineRule="exact"/>
              <w:rPr>
                <w:sz w:val="20"/>
                <w:szCs w:val="20"/>
                <w:color w:val="auto"/>
              </w:rPr>
            </w:pPr>
            <w:r>
              <w:rPr>
                <w:rFonts w:ascii="Arial" w:cs="Arial" w:eastAsia="Arial" w:hAnsi="Arial"/>
                <w:sz w:val="17"/>
                <w:szCs w:val="17"/>
                <w:color w:val="auto"/>
              </w:rPr>
              <w:t>c/o Corporate Secretary</w:t>
            </w:r>
          </w:p>
        </w:tc>
      </w:tr>
      <w:tr>
        <w:trPr>
          <w:trHeight w:val="189"/>
        </w:trPr>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60" w:type="dxa"/>
            <w:vAlign w:val="bottom"/>
          </w:tcPr>
          <w:p>
            <w:pPr>
              <w:ind w:left="360"/>
              <w:spacing w:after="0" w:line="189" w:lineRule="exact"/>
              <w:rPr>
                <w:sz w:val="20"/>
                <w:szCs w:val="20"/>
                <w:color w:val="auto"/>
              </w:rPr>
            </w:pPr>
            <w:r>
              <w:rPr>
                <w:rFonts w:ascii="Arial" w:cs="Arial" w:eastAsia="Arial" w:hAnsi="Arial"/>
                <w:sz w:val="17"/>
                <w:szCs w:val="17"/>
                <w:color w:val="auto"/>
              </w:rPr>
              <w:t>Ribbon Communications Inc.</w:t>
            </w:r>
          </w:p>
        </w:tc>
      </w:tr>
      <w:tr>
        <w:trPr>
          <w:trHeight w:val="189"/>
        </w:trPr>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60" w:type="dxa"/>
            <w:vAlign w:val="bottom"/>
          </w:tcPr>
          <w:p>
            <w:pPr>
              <w:ind w:left="360"/>
              <w:spacing w:after="0" w:line="189" w:lineRule="exact"/>
              <w:rPr>
                <w:sz w:val="20"/>
                <w:szCs w:val="20"/>
                <w:color w:val="auto"/>
              </w:rPr>
            </w:pPr>
            <w:r>
              <w:rPr>
                <w:rFonts w:ascii="Arial" w:cs="Arial" w:eastAsia="Arial" w:hAnsi="Arial"/>
                <w:sz w:val="17"/>
                <w:szCs w:val="17"/>
                <w:color w:val="auto"/>
              </w:rPr>
              <w:t>6500 Chase Oaks Blvd., Suite 100</w:t>
            </w:r>
          </w:p>
        </w:tc>
      </w:tr>
      <w:tr>
        <w:trPr>
          <w:trHeight w:val="225"/>
        </w:trPr>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60" w:type="dxa"/>
            <w:vAlign w:val="bottom"/>
          </w:tcPr>
          <w:p>
            <w:pPr>
              <w:ind w:left="360"/>
              <w:spacing w:after="0"/>
              <w:rPr>
                <w:sz w:val="20"/>
                <w:szCs w:val="20"/>
                <w:color w:val="auto"/>
              </w:rPr>
            </w:pPr>
            <w:r>
              <w:rPr>
                <w:rFonts w:ascii="Arial" w:cs="Arial" w:eastAsia="Arial" w:hAnsi="Arial"/>
                <w:sz w:val="17"/>
                <w:szCs w:val="17"/>
                <w:color w:val="auto"/>
              </w:rPr>
              <w:t>Plano, Texas 75023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1305560</wp:posOffset>
            </wp:positionH>
            <wp:positionV relativeFrom="paragraph">
              <wp:posOffset>-641985</wp:posOffset>
            </wp:positionV>
            <wp:extent cx="41059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column">
              <wp:posOffset>1374140</wp:posOffset>
            </wp:positionH>
            <wp:positionV relativeFrom="paragraph">
              <wp:posOffset>-591185</wp:posOffset>
            </wp:positionV>
            <wp:extent cx="240030" cy="2400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rPr>
          <w:sz w:val="20"/>
          <w:szCs w:val="20"/>
          <w:color w:val="auto"/>
        </w:rPr>
      </w:pPr>
      <w:r>
        <w:rPr>
          <w:rFonts w:ascii="Arial" w:cs="Arial" w:eastAsia="Arial" w:hAnsi="Arial"/>
          <w:sz w:val="17"/>
          <w:szCs w:val="17"/>
          <w:color w:val="auto"/>
        </w:rPr>
        <w:t>​</w:t>
      </w:r>
    </w:p>
    <w:p>
      <w:pPr>
        <w:spacing w:after="0" w:line="979" w:lineRule="exact"/>
        <w:rPr>
          <w:sz w:val="20"/>
          <w:szCs w:val="20"/>
          <w:color w:val="auto"/>
        </w:rPr>
      </w:pPr>
    </w:p>
    <w:p>
      <w:pPr>
        <w:sectPr>
          <w:pgSz w:w="11900" w:h="16838" w:orient="portrait"/>
          <w:cols w:equalWidth="0" w:num="2">
            <w:col w:w="8520" w:space="0"/>
            <w:col w:w="1359"/>
          </w:cols>
          <w:pgMar w:left="580" w:top="97" w:right="1440" w:bottom="1440" w:gutter="0" w:footer="0" w:header="0"/>
          <w:type w:val="continuous"/>
        </w:sectPr>
      </w:pPr>
    </w:p>
    <w:p>
      <w:pPr>
        <w:ind w:left="920" w:right="119"/>
        <w:spacing w:after="0" w:line="245" w:lineRule="auto"/>
        <w:rPr>
          <w:sz w:val="20"/>
          <w:szCs w:val="20"/>
          <w:color w:val="auto"/>
        </w:rPr>
      </w:pPr>
      <w:r>
        <w:rPr>
          <w:rFonts w:ascii="Arial" w:cs="Arial" w:eastAsia="Arial" w:hAnsi="Arial"/>
          <w:sz w:val="18"/>
          <w:szCs w:val="18"/>
          <w:color w:val="auto"/>
        </w:rPr>
        <w:t>In considering candidates submitted by stockholders, the Nominating, Sustainability and Corporate Governance Committee will take into consideration the current make-up of the Board, what skills should be</w:t>
      </w:r>
    </w:p>
    <w:p>
      <w:pPr>
        <w:ind w:left="920" w:right="739"/>
        <w:spacing w:after="0" w:line="237" w:lineRule="auto"/>
        <w:rPr>
          <w:sz w:val="20"/>
          <w:szCs w:val="20"/>
          <w:color w:val="auto"/>
        </w:rPr>
      </w:pPr>
      <w:r>
        <w:rPr>
          <w:rFonts w:ascii="Arial" w:cs="Arial" w:eastAsia="Arial" w:hAnsi="Arial"/>
          <w:sz w:val="18"/>
          <w:szCs w:val="18"/>
          <w:color w:val="auto"/>
        </w:rPr>
        <w:t>added (if any) and the qualifications of the candidate. The Nominating, Sustainability and Corporate Governance Committee will consider director candidates recommended by stockholders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right="839"/>
        <w:spacing w:after="0" w:line="256" w:lineRule="auto"/>
        <w:rPr>
          <w:sz w:val="20"/>
          <w:szCs w:val="20"/>
          <w:color w:val="auto"/>
        </w:rPr>
      </w:pPr>
      <w:r>
        <w:rPr>
          <w:rFonts w:ascii="Arial" w:cs="Arial" w:eastAsia="Arial" w:hAnsi="Arial"/>
          <w:sz w:val="18"/>
          <w:szCs w:val="18"/>
          <w:color w:val="auto"/>
        </w:rPr>
        <w:t>in the same manner as candidates recommended by the Nominating, Sustainability and Corporate Governance Committee, as described above in “</w:t>
      </w:r>
      <w:r>
        <w:rPr>
          <w:rFonts w:ascii="Arial" w:cs="Arial" w:eastAsia="Arial" w:hAnsi="Arial"/>
          <w:sz w:val="18"/>
          <w:szCs w:val="18"/>
          <w:i w:val="1"/>
          <w:iCs w:val="1"/>
          <w:color w:val="auto"/>
        </w:rPr>
        <w:t>Director Nomination Process.</w:t>
      </w:r>
      <w:r>
        <w:rPr>
          <w:rFonts w:ascii="Arial" w:cs="Arial" w:eastAsia="Arial" w:hAnsi="Arial"/>
          <w:sz w:val="18"/>
          <w:szCs w:val="18"/>
          <w:color w:val="auto"/>
        </w:rPr>
        <w:t>”</w:t>
      </w:r>
    </w:p>
    <w:p>
      <w:pPr>
        <w:spacing w:after="0" w:line="85" w:lineRule="exact"/>
        <w:rPr>
          <w:sz w:val="20"/>
          <w:szCs w:val="20"/>
          <w:color w:val="auto"/>
        </w:rPr>
      </w:pPr>
    </w:p>
    <w:p>
      <w:pPr>
        <w:ind w:left="920" w:right="99"/>
        <w:spacing w:after="0" w:line="233" w:lineRule="auto"/>
        <w:rPr>
          <w:sz w:val="20"/>
          <w:szCs w:val="20"/>
          <w:color w:val="auto"/>
        </w:rPr>
      </w:pPr>
      <w:r>
        <w:rPr>
          <w:rFonts w:ascii="Arial" w:cs="Arial" w:eastAsia="Arial" w:hAnsi="Arial"/>
          <w:sz w:val="18"/>
          <w:szCs w:val="18"/>
          <w:color w:val="auto"/>
        </w:rPr>
        <w:t>Stockholders who wish to nominate director candidates or propose business to be considered directly at an annual meeting in accordance with the procedures set forth in our by-laws should follow the procedures set forth under the sections entitled “</w:t>
      </w:r>
      <w:r>
        <w:rPr>
          <w:rFonts w:ascii="Arial" w:cs="Arial" w:eastAsia="Arial" w:hAnsi="Arial"/>
          <w:sz w:val="18"/>
          <w:szCs w:val="18"/>
          <w:i w:val="1"/>
          <w:iCs w:val="1"/>
          <w:color w:val="auto"/>
        </w:rPr>
        <w:t>Stockholder Nominations and Proposals for Presentation at 2027 Annual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w:t>
      </w:r>
      <w:r>
        <w:rPr>
          <w:rFonts w:ascii="Arial" w:cs="Arial" w:eastAsia="Arial" w:hAnsi="Arial"/>
          <w:sz w:val="18"/>
          <w:szCs w:val="18"/>
          <w:color w:val="auto"/>
        </w:rPr>
        <w:t>.”</w:t>
      </w:r>
    </w:p>
    <w:p>
      <w:pPr>
        <w:spacing w:after="0" w:line="14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Board Leadership Structure</w:t>
      </w:r>
    </w:p>
    <w:p>
      <w:pPr>
        <w:spacing w:after="0" w:line="145" w:lineRule="exact"/>
        <w:rPr>
          <w:sz w:val="20"/>
          <w:szCs w:val="20"/>
          <w:color w:val="auto"/>
        </w:rPr>
      </w:pPr>
    </w:p>
    <w:p>
      <w:pPr>
        <w:ind w:left="920" w:right="159"/>
        <w:spacing w:after="0" w:line="227" w:lineRule="auto"/>
        <w:rPr>
          <w:sz w:val="20"/>
          <w:szCs w:val="20"/>
          <w:color w:val="auto"/>
        </w:rPr>
      </w:pPr>
      <w:r>
        <w:rPr>
          <w:rFonts w:ascii="Arial" w:cs="Arial" w:eastAsia="Arial" w:hAnsi="Arial"/>
          <w:sz w:val="18"/>
          <w:szCs w:val="18"/>
          <w:color w:val="auto"/>
        </w:rPr>
        <w:t>Our Corporate Governance Guidelines provide that the Board leadership structure that is most appropriate for the Company at this time is a non-executive Chairman. The Board evaluates its leadership structure and role in risk oversight on an ongoing basis and makes decisions on the basis of what it considers to be best for the Company at any given point in time. Currently, our Board leadership structure consists of a non-executive Chairman, a separate CEO, a lead independent director and strong committee chairs. The Board believes its leadership structure provides for appropriate independence between the Board and management because the current leadership structure offers the following benefits:</w:t>
      </w:r>
    </w:p>
    <w:p>
      <w:pPr>
        <w:spacing w:after="0" w:line="101" w:lineRule="exact"/>
        <w:rPr>
          <w:sz w:val="20"/>
          <w:szCs w:val="20"/>
          <w:color w:val="auto"/>
        </w:rPr>
      </w:pPr>
    </w:p>
    <w:p>
      <w:pPr>
        <w:ind w:left="1280" w:right="179" w:hanging="356"/>
        <w:spacing w:after="0" w:line="271" w:lineRule="auto"/>
        <w:tabs>
          <w:tab w:leader="none" w:pos="1280" w:val="left"/>
        </w:tabs>
        <w:numPr>
          <w:ilvl w:val="0"/>
          <w:numId w:val="86"/>
        </w:numPr>
        <w:rPr>
          <w:rFonts w:ascii="Arial" w:cs="Arial" w:eastAsia="Arial" w:hAnsi="Arial"/>
          <w:sz w:val="18"/>
          <w:szCs w:val="18"/>
          <w:color w:val="62259D"/>
        </w:rPr>
      </w:pPr>
      <w:r>
        <w:rPr>
          <w:rFonts w:ascii="Arial" w:cs="Arial" w:eastAsia="Arial" w:hAnsi="Arial"/>
          <w:sz w:val="18"/>
          <w:szCs w:val="18"/>
          <w:color w:val="auto"/>
        </w:rPr>
        <w:t>increasing the independent oversight of Ribbon and enhancing our Board’s objective evaluation of our CEO;</w:t>
      </w:r>
    </w:p>
    <w:p>
      <w:pPr>
        <w:spacing w:after="0" w:line="5" w:lineRule="exact"/>
        <w:rPr>
          <w:rFonts w:ascii="Arial" w:cs="Arial" w:eastAsia="Arial" w:hAnsi="Arial"/>
          <w:sz w:val="18"/>
          <w:szCs w:val="18"/>
          <w:color w:val="62259D"/>
        </w:rPr>
      </w:pPr>
    </w:p>
    <w:p>
      <w:pPr>
        <w:ind w:left="1280" w:hanging="356"/>
        <w:spacing w:after="0"/>
        <w:tabs>
          <w:tab w:leader="none" w:pos="1280" w:val="left"/>
        </w:tabs>
        <w:numPr>
          <w:ilvl w:val="0"/>
          <w:numId w:val="86"/>
        </w:numPr>
        <w:rPr>
          <w:rFonts w:ascii="Arial" w:cs="Arial" w:eastAsia="Arial" w:hAnsi="Arial"/>
          <w:sz w:val="18"/>
          <w:szCs w:val="18"/>
          <w:color w:val="62259D"/>
        </w:rPr>
      </w:pPr>
      <w:r>
        <w:rPr>
          <w:rFonts w:ascii="Arial" w:cs="Arial" w:eastAsia="Arial" w:hAnsi="Arial"/>
          <w:sz w:val="18"/>
          <w:szCs w:val="18"/>
          <w:color w:val="auto"/>
        </w:rPr>
        <w:t>focusing the CEO on Company operations instead of Board administration;</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86"/>
        </w:numPr>
        <w:rPr>
          <w:rFonts w:ascii="Arial" w:cs="Arial" w:eastAsia="Arial" w:hAnsi="Arial"/>
          <w:sz w:val="18"/>
          <w:szCs w:val="18"/>
          <w:color w:val="62259D"/>
        </w:rPr>
      </w:pPr>
      <w:r>
        <w:rPr>
          <w:rFonts w:ascii="Arial" w:cs="Arial" w:eastAsia="Arial" w:hAnsi="Arial"/>
          <w:sz w:val="18"/>
          <w:szCs w:val="18"/>
          <w:color w:val="auto"/>
        </w:rPr>
        <w:t>providing the CEO with an experienced sounding board;</w:t>
      </w:r>
    </w:p>
    <w:p>
      <w:pPr>
        <w:spacing w:after="0" w:line="49" w:lineRule="exact"/>
        <w:rPr>
          <w:rFonts w:ascii="Arial" w:cs="Arial" w:eastAsia="Arial" w:hAnsi="Arial"/>
          <w:sz w:val="18"/>
          <w:szCs w:val="18"/>
          <w:color w:val="62259D"/>
        </w:rPr>
      </w:pPr>
    </w:p>
    <w:p>
      <w:pPr>
        <w:ind w:left="1280" w:hanging="356"/>
        <w:spacing w:after="0"/>
        <w:tabs>
          <w:tab w:leader="none" w:pos="1280" w:val="left"/>
        </w:tabs>
        <w:numPr>
          <w:ilvl w:val="0"/>
          <w:numId w:val="86"/>
        </w:numPr>
        <w:rPr>
          <w:rFonts w:ascii="Arial" w:cs="Arial" w:eastAsia="Arial" w:hAnsi="Arial"/>
          <w:sz w:val="18"/>
          <w:szCs w:val="18"/>
          <w:color w:val="62259D"/>
        </w:rPr>
      </w:pPr>
      <w:r>
        <w:rPr>
          <w:rFonts w:ascii="Arial" w:cs="Arial" w:eastAsia="Arial" w:hAnsi="Arial"/>
          <w:sz w:val="18"/>
          <w:szCs w:val="18"/>
          <w:color w:val="auto"/>
        </w:rPr>
        <w:t>providing greater opportunities for communication between stockholders and our Board;</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86"/>
        </w:numPr>
        <w:rPr>
          <w:rFonts w:ascii="Arial" w:cs="Arial" w:eastAsia="Arial" w:hAnsi="Arial"/>
          <w:sz w:val="18"/>
          <w:szCs w:val="18"/>
          <w:color w:val="62259D"/>
        </w:rPr>
      </w:pPr>
      <w:r>
        <w:rPr>
          <w:rFonts w:ascii="Arial" w:cs="Arial" w:eastAsia="Arial" w:hAnsi="Arial"/>
          <w:sz w:val="18"/>
          <w:szCs w:val="18"/>
          <w:color w:val="auto"/>
        </w:rPr>
        <w:t>enhancing the independent and objective assessment of risk by our Board; and</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86"/>
        </w:numPr>
        <w:rPr>
          <w:rFonts w:ascii="Arial" w:cs="Arial" w:eastAsia="Arial" w:hAnsi="Arial"/>
          <w:sz w:val="18"/>
          <w:szCs w:val="18"/>
          <w:color w:val="62259D"/>
        </w:rPr>
      </w:pPr>
      <w:r>
        <w:rPr>
          <w:rFonts w:ascii="Arial" w:cs="Arial" w:eastAsia="Arial" w:hAnsi="Arial"/>
          <w:sz w:val="18"/>
          <w:szCs w:val="18"/>
          <w:color w:val="auto"/>
        </w:rPr>
        <w:t>providing an independent spokesperson for our Company.</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Executive Sessions of the Board</w:t>
      </w:r>
    </w:p>
    <w:p>
      <w:pPr>
        <w:spacing w:after="0" w:line="145" w:lineRule="exact"/>
        <w:rPr>
          <w:sz w:val="20"/>
          <w:szCs w:val="20"/>
          <w:color w:val="auto"/>
        </w:rPr>
      </w:pPr>
    </w:p>
    <w:p>
      <w:pPr>
        <w:ind w:left="920" w:right="199"/>
        <w:spacing w:after="0" w:line="245" w:lineRule="auto"/>
        <w:rPr>
          <w:sz w:val="20"/>
          <w:szCs w:val="20"/>
          <w:color w:val="auto"/>
        </w:rPr>
      </w:pPr>
      <w:r>
        <w:rPr>
          <w:rFonts w:ascii="Arial" w:cs="Arial" w:eastAsia="Arial" w:hAnsi="Arial"/>
          <w:sz w:val="18"/>
          <w:szCs w:val="18"/>
          <w:color w:val="auto"/>
        </w:rPr>
        <w:t>Our Board is structured to promote independence and is designed so that independent directors exercise oversight of the Company’s management and key issues related to strategy and risk. Under our Corporate</w:t>
      </w:r>
    </w:p>
    <w:p>
      <w:pPr>
        <w:ind w:left="920" w:right="219"/>
        <w:spacing w:after="0" w:line="226" w:lineRule="auto"/>
        <w:rPr>
          <w:sz w:val="20"/>
          <w:szCs w:val="20"/>
          <w:color w:val="auto"/>
        </w:rPr>
      </w:pPr>
      <w:r>
        <w:rPr>
          <w:rFonts w:ascii="Arial" w:cs="Arial" w:eastAsia="Arial" w:hAnsi="Arial"/>
          <w:sz w:val="18"/>
          <w:szCs w:val="18"/>
          <w:color w:val="auto"/>
        </w:rPr>
        <w:t>Governance Guidelines, our independent directors are required to meet in executive session at regularly scheduled Board meetings without management present to discuss any matters the independent directors</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consider appropriate. We expect the Board to have at least four executive sessions each year.</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Additional Governance Matters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Code of Ethics</w:t>
      </w:r>
    </w:p>
    <w:p>
      <w:pPr>
        <w:spacing w:after="0" w:line="125" w:lineRule="exact"/>
        <w:rPr>
          <w:sz w:val="20"/>
          <w:szCs w:val="20"/>
          <w:color w:val="auto"/>
        </w:rPr>
      </w:pPr>
    </w:p>
    <w:p>
      <w:pPr>
        <w:ind w:left="920" w:right="339"/>
        <w:spacing w:after="0" w:line="245" w:lineRule="auto"/>
        <w:rPr>
          <w:sz w:val="20"/>
          <w:szCs w:val="20"/>
          <w:color w:val="auto"/>
        </w:rPr>
      </w:pPr>
      <w:r>
        <w:rPr>
          <w:rFonts w:ascii="Arial" w:cs="Arial" w:eastAsia="Arial" w:hAnsi="Arial"/>
          <w:sz w:val="18"/>
          <w:szCs w:val="18"/>
          <w:color w:val="auto"/>
        </w:rPr>
        <w:t>Our Board has adopted a written Amended and Restated Code of Conduct, which qualifies as a “code of ethics” as defined by SEC rules. The Amended and Restated Code of Conduct is intended to provide</w:t>
      </w:r>
    </w:p>
    <w:p>
      <w:pPr>
        <w:ind w:left="920" w:right="279"/>
        <w:spacing w:after="0" w:line="226" w:lineRule="auto"/>
        <w:rPr>
          <w:sz w:val="20"/>
          <w:szCs w:val="20"/>
          <w:color w:val="auto"/>
        </w:rPr>
      </w:pPr>
      <w:r>
        <w:rPr>
          <w:rFonts w:ascii="Arial" w:cs="Arial" w:eastAsia="Arial" w:hAnsi="Arial"/>
          <w:sz w:val="18"/>
          <w:szCs w:val="18"/>
          <w:color w:val="auto"/>
        </w:rPr>
        <w:t>guidance on the conduct expected of Ribbon’s employees, officers and directors in the interests of preserving Ribbon’s reputation for integrity, accountability and fair dealing. To ensure that our business is</w:t>
      </w:r>
    </w:p>
    <w:p>
      <w:pPr>
        <w:spacing w:after="0" w:line="2" w:lineRule="exact"/>
        <w:rPr>
          <w:sz w:val="20"/>
          <w:szCs w:val="20"/>
          <w:color w:val="auto"/>
        </w:rPr>
      </w:pPr>
    </w:p>
    <w:p>
      <w:pPr>
        <w:ind w:left="920" w:right="139"/>
        <w:spacing w:after="0" w:line="250" w:lineRule="auto"/>
        <w:rPr>
          <w:sz w:val="20"/>
          <w:szCs w:val="20"/>
          <w:color w:val="auto"/>
        </w:rPr>
      </w:pPr>
      <w:r>
        <w:rPr>
          <w:rFonts w:ascii="Arial" w:cs="Arial" w:eastAsia="Arial" w:hAnsi="Arial"/>
          <w:sz w:val="18"/>
          <w:szCs w:val="18"/>
          <w:color w:val="auto"/>
        </w:rPr>
        <w:t>conducted in a consistently legal and ethical manner, our Amended and Restated Code of Conduct applies to all of our directors, officers and employees.</w:t>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intend to disclose any amendment to or waiver of a provision of the Amended and Restated Code of</w:t>
      </w:r>
    </w:p>
    <w:p>
      <w:pPr>
        <w:spacing w:after="0" w:line="14" w:lineRule="exact"/>
        <w:rPr>
          <w:sz w:val="20"/>
          <w:szCs w:val="20"/>
          <w:color w:val="auto"/>
        </w:rPr>
      </w:pPr>
    </w:p>
    <w:p>
      <w:pPr>
        <w:ind w:left="920" w:right="139"/>
        <w:spacing w:after="0" w:line="226" w:lineRule="auto"/>
        <w:rPr>
          <w:sz w:val="20"/>
          <w:szCs w:val="20"/>
          <w:color w:val="auto"/>
        </w:rPr>
      </w:pPr>
      <w:r>
        <w:rPr>
          <w:rFonts w:ascii="Arial" w:cs="Arial" w:eastAsia="Arial" w:hAnsi="Arial"/>
          <w:sz w:val="18"/>
          <w:szCs w:val="18"/>
          <w:color w:val="auto"/>
        </w:rPr>
        <w:t>Conduct that applies to our principal executive officer, principal financial officer, principal accounting officer or controller, or persons performing similar functions, by posting such information on our website at</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E7417A"/>
        </w:rPr>
        <w:t>www.ribboncommunications.com</w:t>
      </w:r>
      <w:r>
        <w:rPr>
          <w:rFonts w:ascii="Arial" w:cs="Arial" w:eastAsia="Arial" w:hAnsi="Arial"/>
          <w:sz w:val="18"/>
          <w:szCs w:val="18"/>
          <w:color w:val="000000"/>
        </w:rPr>
        <w: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Public Availability of Corporate Governance Documents</w:t>
      </w:r>
    </w:p>
    <w:p>
      <w:pPr>
        <w:spacing w:after="0" w:line="125" w:lineRule="exact"/>
        <w:rPr>
          <w:sz w:val="20"/>
          <w:szCs w:val="20"/>
          <w:color w:val="auto"/>
        </w:rPr>
      </w:pPr>
    </w:p>
    <w:p>
      <w:pPr>
        <w:ind w:left="920" w:right="659"/>
        <w:spacing w:after="0" w:line="271" w:lineRule="auto"/>
        <w:rPr>
          <w:sz w:val="20"/>
          <w:szCs w:val="20"/>
          <w:color w:val="auto"/>
        </w:rPr>
      </w:pPr>
      <w:r>
        <w:rPr>
          <w:rFonts w:ascii="Arial" w:cs="Arial" w:eastAsia="Arial" w:hAnsi="Arial"/>
          <w:sz w:val="18"/>
          <w:szCs w:val="18"/>
          <w:color w:val="auto"/>
        </w:rPr>
        <w:t>For more corporate governance information, you are invited to access our key corporate governance documents, including our Corporate Governance Guidelines, Amended and Restated Code of</w:t>
      </w:r>
    </w:p>
    <w:p>
      <w:pPr>
        <w:spacing w:after="0" w:line="154"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158115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Conduct and the charters of our Audit Committee, Compensation Committee, Nominating, Sustainability</w:t>
      </w:r>
    </w:p>
    <w:p>
      <w:pPr>
        <w:spacing w:after="0" w:line="14" w:lineRule="exact"/>
        <w:rPr>
          <w:sz w:val="20"/>
          <w:szCs w:val="20"/>
          <w:color w:val="auto"/>
        </w:rPr>
      </w:pPr>
    </w:p>
    <w:p>
      <w:pPr>
        <w:ind w:left="920" w:right="679"/>
        <w:spacing w:after="0" w:line="226" w:lineRule="auto"/>
        <w:rPr>
          <w:sz w:val="20"/>
          <w:szCs w:val="20"/>
          <w:color w:val="auto"/>
        </w:rPr>
      </w:pPr>
      <w:r>
        <w:rPr>
          <w:rFonts w:ascii="Arial" w:cs="Arial" w:eastAsia="Arial" w:hAnsi="Arial"/>
          <w:sz w:val="18"/>
          <w:szCs w:val="18"/>
          <w:color w:val="auto"/>
        </w:rPr>
        <w:t xml:space="preserve">and Corporate Governance Committee, and Technology and Innovation Committee on our corporate website at </w:t>
      </w:r>
      <w:r>
        <w:rPr>
          <w:rFonts w:ascii="Arial" w:cs="Arial" w:eastAsia="Arial" w:hAnsi="Arial"/>
          <w:sz w:val="18"/>
          <w:szCs w:val="18"/>
          <w:color w:val="E7417A"/>
        </w:rPr>
        <w:t>investors.ribboncommunications.com</w:t>
      </w:r>
      <w:r>
        <w:rPr>
          <w:rFonts w:ascii="Arial" w:cs="Arial" w:eastAsia="Arial" w:hAnsi="Arial"/>
          <w:sz w:val="18"/>
          <w:szCs w:val="18"/>
          <w:color w:val="auto"/>
        </w:rPr>
        <w:t xml:space="preserve">, in the section entitled </w:t>
      </w:r>
      <w:r>
        <w:rPr>
          <w:rFonts w:ascii="Arial" w:cs="Arial" w:eastAsia="Arial" w:hAnsi="Arial"/>
          <w:sz w:val="18"/>
          <w:szCs w:val="18"/>
          <w:i w:val="1"/>
          <w:iCs w:val="1"/>
          <w:color w:val="auto"/>
        </w:rPr>
        <w:t>Corporate Governance — </w:t>
      </w:r>
    </w:p>
    <w:p>
      <w:pPr>
        <w:ind w:left="920"/>
        <w:spacing w:after="0" w:line="236" w:lineRule="auto"/>
        <w:rPr>
          <w:sz w:val="20"/>
          <w:szCs w:val="20"/>
          <w:color w:val="auto"/>
        </w:rPr>
      </w:pPr>
      <w:r>
        <w:rPr>
          <w:rFonts w:ascii="Arial" w:cs="Arial" w:eastAsia="Arial" w:hAnsi="Arial"/>
          <w:sz w:val="18"/>
          <w:szCs w:val="18"/>
          <w:i w:val="1"/>
          <w:iCs w:val="1"/>
          <w:color w:val="auto"/>
        </w:rPr>
        <w:t>Governance Highlights</w:t>
      </w:r>
      <w:r>
        <w:rPr>
          <w:rFonts w:ascii="Arial" w:cs="Arial" w:eastAsia="Arial" w:hAnsi="Arial"/>
          <w:sz w:val="18"/>
          <w:szCs w:val="18"/>
          <w:color w:val="auto"/>
        </w:rPr>
        <w:t>. The references in this Proxy Statement to our corporate website are not intended</w:t>
      </w:r>
    </w:p>
    <w:p>
      <w:pPr>
        <w:spacing w:after="0" w:line="1" w:lineRule="exact"/>
        <w:rPr>
          <w:sz w:val="20"/>
          <w:szCs w:val="20"/>
          <w:color w:val="auto"/>
        </w:rPr>
      </w:pPr>
    </w:p>
    <w:p>
      <w:pPr>
        <w:ind w:left="920" w:right="819"/>
        <w:spacing w:after="0" w:line="237" w:lineRule="auto"/>
        <w:rPr>
          <w:sz w:val="20"/>
          <w:szCs w:val="20"/>
          <w:color w:val="auto"/>
        </w:rPr>
      </w:pPr>
      <w:r>
        <w:rPr>
          <w:rFonts w:ascii="Arial" w:cs="Arial" w:eastAsia="Arial" w:hAnsi="Arial"/>
          <w:sz w:val="18"/>
          <w:szCs w:val="18"/>
          <w:color w:val="auto"/>
        </w:rPr>
        <w:t>to, and do not, incorporate by reference into this Proxy Statement any materials contained on such website.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Stockholder Communications with the Board of Directors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Stockholders may communicate with our Board by contacting our Investor Relations Department:</w:t>
      </w:r>
    </w:p>
    <w:p>
      <w:pPr>
        <w:spacing w:after="0" w:line="48"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c>
          <w:tcPr>
            <w:tcW w:w="3100" w:type="dxa"/>
            <w:vAlign w:val="bottom"/>
          </w:tcPr>
          <w:p>
            <w:pPr>
              <w:ind w:left="3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7"/>
                <w:szCs w:val="17"/>
                <w:color w:val="auto"/>
              </w:rPr>
              <w:t>​</w:t>
            </w:r>
          </w:p>
        </w:tc>
        <w:tc>
          <w:tcPr>
            <w:tcW w:w="1600" w:type="dxa"/>
            <w:vAlign w:val="bottom"/>
          </w:tcPr>
          <w:p>
            <w:pPr>
              <w:ind w:left="3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ind w:left="6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987"/>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r>
      <w:tr>
        <w:trPr>
          <w:trHeight w:val="68"/>
        </w:trPr>
        <w:tc>
          <w:tcPr>
            <w:tcW w:w="80" w:type="dxa"/>
            <w:vAlign w:val="bottom"/>
          </w:tcPr>
          <w:p>
            <w:pPr>
              <w:spacing w:after="0" w:line="68" w:lineRule="exact"/>
              <w:rPr>
                <w:sz w:val="20"/>
                <w:szCs w:val="20"/>
                <w:color w:val="auto"/>
              </w:rPr>
            </w:pPr>
            <w:r>
              <w:rPr>
                <w:rFonts w:ascii="Arial" w:cs="Arial" w:eastAsia="Arial" w:hAnsi="Arial"/>
                <w:sz w:val="7"/>
                <w:szCs w:val="7"/>
                <w:color w:val="auto"/>
              </w:rPr>
              <w:t>​</w:t>
            </w:r>
          </w:p>
        </w:tc>
        <w:tc>
          <w:tcPr>
            <w:tcW w:w="420" w:type="dxa"/>
            <w:vAlign w:val="bottom"/>
          </w:tcPr>
          <w:p>
            <w:pPr>
              <w:spacing w:after="0"/>
              <w:rPr>
                <w:sz w:val="5"/>
                <w:szCs w:val="5"/>
                <w:color w:val="auto"/>
              </w:rPr>
            </w:pPr>
          </w:p>
        </w:tc>
        <w:tc>
          <w:tcPr>
            <w:tcW w:w="3100" w:type="dxa"/>
            <w:vAlign w:val="bottom"/>
          </w:tcPr>
          <w:p>
            <w:pPr>
              <w:ind w:left="360"/>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jc w:val="right"/>
              <w:ind w:right="12"/>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460" w:type="dxa"/>
            <w:vAlign w:val="bottom"/>
          </w:tcPr>
          <w:p>
            <w:pPr>
              <w:spacing w:after="0"/>
              <w:rPr>
                <w:sz w:val="5"/>
                <w:szCs w:val="5"/>
                <w:color w:val="auto"/>
              </w:rPr>
            </w:pPr>
          </w:p>
        </w:tc>
        <w:tc>
          <w:tcPr>
            <w:tcW w:w="1600" w:type="dxa"/>
            <w:vAlign w:val="bottom"/>
          </w:tcPr>
          <w:p>
            <w:pPr>
              <w:ind w:left="36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460" w:type="dxa"/>
            <w:vAlign w:val="bottom"/>
          </w:tcPr>
          <w:p>
            <w:pPr>
              <w:spacing w:after="0"/>
              <w:rPr>
                <w:sz w:val="5"/>
                <w:szCs w:val="5"/>
                <w:color w:val="auto"/>
              </w:rPr>
            </w:pPr>
          </w:p>
        </w:tc>
        <w:tc>
          <w:tcPr>
            <w:tcW w:w="1460" w:type="dxa"/>
            <w:vAlign w:val="bottom"/>
          </w:tcPr>
          <w:p>
            <w:pPr>
              <w:jc w:val="right"/>
              <w:ind w:right="987"/>
              <w:spacing w:after="0" w:line="68" w:lineRule="exact"/>
              <w:rPr>
                <w:sz w:val="20"/>
                <w:szCs w:val="20"/>
                <w:color w:val="auto"/>
              </w:rPr>
            </w:pPr>
            <w:r>
              <w:rPr>
                <w:rFonts w:ascii="Arial" w:cs="Arial" w:eastAsia="Arial" w:hAnsi="Arial"/>
                <w:sz w:val="7"/>
                <w:szCs w:val="7"/>
                <w:color w:val="auto"/>
              </w:rPr>
              <w:t>​</w:t>
            </w:r>
          </w:p>
        </w:tc>
        <w:tc>
          <w:tcPr>
            <w:tcW w:w="40" w:type="dxa"/>
            <w:vAlign w:val="bottom"/>
          </w:tcPr>
          <w:p>
            <w:pPr>
              <w:spacing w:after="0" w:line="68" w:lineRule="exact"/>
              <w:rPr>
                <w:sz w:val="20"/>
                <w:szCs w:val="20"/>
                <w:color w:val="auto"/>
              </w:rPr>
            </w:pPr>
            <w:r>
              <w:rPr>
                <w:rFonts w:ascii="Arial" w:cs="Arial" w:eastAsia="Arial" w:hAnsi="Arial"/>
                <w:sz w:val="7"/>
                <w:szCs w:val="7"/>
                <w:color w:val="auto"/>
              </w:rPr>
              <w:t>​</w:t>
            </w:r>
          </w:p>
        </w:tc>
      </w:tr>
      <w:tr>
        <w:trPr>
          <w:trHeight w:val="108"/>
        </w:trPr>
        <w:tc>
          <w:tcPr>
            <w:tcW w:w="8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420" w:type="dxa"/>
            <w:vAlign w:val="bottom"/>
          </w:tcPr>
          <w:p>
            <w:pPr>
              <w:spacing w:after="0"/>
              <w:rPr>
                <w:sz w:val="9"/>
                <w:szCs w:val="9"/>
                <w:color w:val="auto"/>
              </w:rPr>
            </w:pPr>
          </w:p>
        </w:tc>
        <w:tc>
          <w:tcPr>
            <w:tcW w:w="3100" w:type="dxa"/>
            <w:vAlign w:val="bottom"/>
          </w:tcPr>
          <w:p>
            <w:pPr>
              <w:ind w:left="360"/>
              <w:spacing w:after="0" w:line="108" w:lineRule="exact"/>
              <w:rPr>
                <w:sz w:val="20"/>
                <w:szCs w:val="20"/>
                <w:color w:val="auto"/>
              </w:rPr>
            </w:pPr>
            <w:r>
              <w:rPr>
                <w:rFonts w:ascii="Arial" w:cs="Arial" w:eastAsia="Arial" w:hAnsi="Arial"/>
                <w:sz w:val="12"/>
                <w:szCs w:val="12"/>
                <w:color w:val="auto"/>
              </w:rPr>
              <w:t>​</w:t>
            </w:r>
          </w:p>
        </w:tc>
        <w:tc>
          <w:tcPr>
            <w:tcW w:w="160" w:type="dxa"/>
            <w:vAlign w:val="bottom"/>
          </w:tcPr>
          <w:p>
            <w:pPr>
              <w:jc w:val="right"/>
              <w:ind w:right="12"/>
              <w:spacing w:after="0" w:line="108" w:lineRule="exact"/>
              <w:rPr>
                <w:sz w:val="20"/>
                <w:szCs w:val="20"/>
                <w:color w:val="auto"/>
              </w:rPr>
            </w:pPr>
            <w:r>
              <w:rPr>
                <w:rFonts w:ascii="Arial" w:cs="Arial" w:eastAsia="Arial" w:hAnsi="Arial"/>
                <w:sz w:val="12"/>
                <w:szCs w:val="12"/>
                <w:color w:val="auto"/>
              </w:rPr>
              <w:t>​</w:t>
            </w:r>
          </w:p>
        </w:tc>
        <w:tc>
          <w:tcPr>
            <w:tcW w:w="160" w:type="dxa"/>
            <w:vAlign w:val="bottom"/>
          </w:tcPr>
          <w:p>
            <w:pPr>
              <w:ind w:left="60"/>
              <w:spacing w:after="0" w:line="10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9"/>
                <w:szCs w:val="9"/>
                <w:color w:val="auto"/>
              </w:rPr>
            </w:pPr>
          </w:p>
        </w:tc>
        <w:tc>
          <w:tcPr>
            <w:tcW w:w="1600" w:type="dxa"/>
            <w:vAlign w:val="bottom"/>
          </w:tcPr>
          <w:p>
            <w:pPr>
              <w:ind w:left="360"/>
              <w:spacing w:after="0" w:line="108" w:lineRule="exact"/>
              <w:rPr>
                <w:sz w:val="20"/>
                <w:szCs w:val="20"/>
                <w:color w:val="auto"/>
              </w:rPr>
            </w:pPr>
            <w:r>
              <w:rPr>
                <w:rFonts w:ascii="Arial" w:cs="Arial" w:eastAsia="Arial" w:hAnsi="Arial"/>
                <w:sz w:val="12"/>
                <w:szCs w:val="12"/>
                <w:color w:val="auto"/>
              </w:rPr>
              <w:t>​</w:t>
            </w:r>
          </w:p>
        </w:tc>
        <w:tc>
          <w:tcPr>
            <w:tcW w:w="140" w:type="dxa"/>
            <w:vAlign w:val="bottom"/>
          </w:tcPr>
          <w:p>
            <w:pPr>
              <w:ind w:left="40"/>
              <w:spacing w:after="0" w:line="108" w:lineRule="exact"/>
              <w:rPr>
                <w:sz w:val="20"/>
                <w:szCs w:val="20"/>
                <w:color w:val="auto"/>
              </w:rPr>
            </w:pPr>
            <w:r>
              <w:rPr>
                <w:rFonts w:ascii="Arial" w:cs="Arial" w:eastAsia="Arial" w:hAnsi="Arial"/>
                <w:sz w:val="12"/>
                <w:szCs w:val="12"/>
                <w:color w:val="auto"/>
              </w:rPr>
              <w:t>​</w:t>
            </w:r>
          </w:p>
        </w:tc>
        <w:tc>
          <w:tcPr>
            <w:tcW w:w="160" w:type="dxa"/>
            <w:vAlign w:val="bottom"/>
          </w:tcPr>
          <w:p>
            <w:pPr>
              <w:ind w:left="60"/>
              <w:spacing w:after="0" w:line="108"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9"/>
                <w:szCs w:val="9"/>
                <w:color w:val="auto"/>
              </w:rPr>
            </w:pPr>
          </w:p>
        </w:tc>
        <w:tc>
          <w:tcPr>
            <w:tcW w:w="1460" w:type="dxa"/>
            <w:vAlign w:val="bottom"/>
          </w:tcPr>
          <w:p>
            <w:pPr>
              <w:jc w:val="right"/>
              <w:ind w:right="987"/>
              <w:spacing w:after="0" w:line="108" w:lineRule="exact"/>
              <w:rPr>
                <w:sz w:val="20"/>
                <w:szCs w:val="20"/>
                <w:color w:val="auto"/>
              </w:rPr>
            </w:pPr>
            <w:r>
              <w:rPr>
                <w:rFonts w:ascii="Arial" w:cs="Arial" w:eastAsia="Arial" w:hAnsi="Arial"/>
                <w:sz w:val="12"/>
                <w:szCs w:val="12"/>
                <w:color w:val="auto"/>
              </w:rPr>
              <w:t>​</w:t>
            </w:r>
          </w:p>
        </w:tc>
        <w:tc>
          <w:tcPr>
            <w:tcW w:w="40" w:type="dxa"/>
            <w:vAlign w:val="bottom"/>
          </w:tcPr>
          <w:p>
            <w:pPr>
              <w:spacing w:after="0" w:line="108" w:lineRule="exact"/>
              <w:rPr>
                <w:sz w:val="20"/>
                <w:szCs w:val="20"/>
                <w:color w:val="auto"/>
              </w:rPr>
            </w:pPr>
            <w:r>
              <w:rPr>
                <w:rFonts w:ascii="Arial" w:cs="Arial" w:eastAsia="Arial" w:hAnsi="Arial"/>
                <w:sz w:val="12"/>
                <w:szCs w:val="12"/>
                <w:color w:val="auto"/>
              </w:rPr>
              <w:t>​</w:t>
            </w:r>
          </w:p>
        </w:tc>
      </w:tr>
      <w:tr>
        <w:trPr>
          <w:trHeight w:val="59"/>
        </w:trPr>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100" w:type="dxa"/>
            <w:vAlign w:val="bottom"/>
          </w:tcPr>
          <w:p>
            <w:pPr>
              <w:ind w:left="360"/>
              <w:spacing w:after="0" w:line="59" w:lineRule="exact"/>
              <w:rPr>
                <w:sz w:val="20"/>
                <w:szCs w:val="20"/>
                <w:color w:val="auto"/>
              </w:rPr>
            </w:pPr>
            <w:r>
              <w:rPr>
                <w:rFonts w:ascii="Arial" w:cs="Arial" w:eastAsia="Arial" w:hAnsi="Arial"/>
                <w:sz w:val="6"/>
                <w:szCs w:val="6"/>
                <w:color w:val="auto"/>
              </w:rPr>
              <w:t>Investor Relations Department</w:t>
            </w: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0" w:type="dxa"/>
            <w:vAlign w:val="bottom"/>
          </w:tcPr>
          <w:p>
            <w:pPr>
              <w:ind w:left="360"/>
              <w:spacing w:after="0" w:line="59" w:lineRule="exact"/>
              <w:rPr>
                <w:sz w:val="20"/>
                <w:szCs w:val="20"/>
                <w:color w:val="auto"/>
              </w:rPr>
            </w:pPr>
            <w:r>
              <w:rPr>
                <w:rFonts w:ascii="Arial" w:cs="Arial" w:eastAsia="Arial" w:hAnsi="Arial"/>
                <w:sz w:val="6"/>
                <w:szCs w:val="6"/>
                <w:color w:val="auto"/>
              </w:rPr>
              <w:t>(978) 614-8050</w:t>
            </w: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60" w:type="dxa"/>
            <w:vAlign w:val="bottom"/>
          </w:tcPr>
          <w:p>
            <w:pPr>
              <w:jc w:val="right"/>
              <w:ind w:right="7"/>
              <w:spacing w:after="0" w:line="59" w:lineRule="exact"/>
              <w:rPr>
                <w:sz w:val="20"/>
                <w:szCs w:val="20"/>
                <w:color w:val="auto"/>
              </w:rPr>
            </w:pPr>
            <w:r>
              <w:rPr>
                <w:rFonts w:ascii="Arial" w:cs="Arial" w:eastAsia="Arial" w:hAnsi="Arial"/>
                <w:sz w:val="6"/>
                <w:szCs w:val="6"/>
                <w:color w:val="auto"/>
              </w:rPr>
              <w:t>ir@rbbn.com</w:t>
            </w:r>
          </w:p>
        </w:tc>
        <w:tc>
          <w:tcPr>
            <w:tcW w:w="40" w:type="dxa"/>
            <w:vAlign w:val="bottom"/>
          </w:tcPr>
          <w:p>
            <w:pPr>
              <w:spacing w:after="0"/>
              <w:rPr>
                <w:sz w:val="5"/>
                <w:szCs w:val="5"/>
                <w:color w:val="auto"/>
              </w:rPr>
            </w:pPr>
          </w:p>
        </w:tc>
      </w:tr>
      <w:tr>
        <w:trPr>
          <w:trHeight w:val="189"/>
        </w:trPr>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ind w:left="360"/>
              <w:spacing w:after="0" w:line="189" w:lineRule="exact"/>
              <w:rPr>
                <w:sz w:val="20"/>
                <w:szCs w:val="20"/>
                <w:color w:val="auto"/>
              </w:rPr>
            </w:pPr>
            <w:r>
              <w:rPr>
                <w:rFonts w:ascii="Arial" w:cs="Arial" w:eastAsia="Arial" w:hAnsi="Arial"/>
                <w:sz w:val="17"/>
                <w:szCs w:val="17"/>
                <w:color w:val="auto"/>
              </w:rPr>
              <w:t>Ribbon Communications Inc.</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ind w:left="360"/>
              <w:spacing w:after="0" w:line="189" w:lineRule="exact"/>
              <w:rPr>
                <w:sz w:val="20"/>
                <w:szCs w:val="20"/>
                <w:color w:val="auto"/>
              </w:rPr>
            </w:pPr>
            <w:r>
              <w:rPr>
                <w:rFonts w:ascii="Arial" w:cs="Arial" w:eastAsia="Arial" w:hAnsi="Arial"/>
                <w:sz w:val="17"/>
                <w:szCs w:val="17"/>
                <w:color w:val="auto"/>
              </w:rPr>
              <w:t>6500 Chase Oaks Blvd., Suite 100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5"/>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00" w:type="dxa"/>
            <w:vAlign w:val="bottom"/>
          </w:tcPr>
          <w:p>
            <w:pPr>
              <w:ind w:left="360"/>
              <w:spacing w:after="0"/>
              <w:rPr>
                <w:sz w:val="20"/>
                <w:szCs w:val="20"/>
                <w:color w:val="auto"/>
              </w:rPr>
            </w:pPr>
            <w:r>
              <w:rPr>
                <w:rFonts w:ascii="Arial" w:cs="Arial" w:eastAsia="Arial" w:hAnsi="Arial"/>
                <w:sz w:val="17"/>
                <w:szCs w:val="17"/>
                <w:color w:val="auto"/>
              </w:rPr>
              <w:t>Plano, Texas 75023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-521970</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859790</wp:posOffset>
            </wp:positionH>
            <wp:positionV relativeFrom="paragraph">
              <wp:posOffset>-471170</wp:posOffset>
            </wp:positionV>
            <wp:extent cx="240030" cy="2400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-471170</wp:posOffset>
            </wp:positionV>
            <wp:extent cx="171450" cy="2489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24892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-471170</wp:posOffset>
            </wp:positionV>
            <wp:extent cx="248285" cy="2489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258" w:lineRule="exact"/>
        <w:rPr>
          <w:sz w:val="20"/>
          <w:szCs w:val="20"/>
          <w:color w:val="auto"/>
        </w:rPr>
      </w:pPr>
    </w:p>
    <w:p>
      <w:pPr>
        <w:ind w:left="920" w:right="379"/>
        <w:spacing w:after="0" w:line="271" w:lineRule="auto"/>
        <w:rPr>
          <w:sz w:val="20"/>
          <w:szCs w:val="20"/>
          <w:color w:val="auto"/>
        </w:rPr>
      </w:pPr>
      <w:r>
        <w:rPr>
          <w:rFonts w:ascii="Arial" w:cs="Arial" w:eastAsia="Arial" w:hAnsi="Arial"/>
          <w:sz w:val="18"/>
          <w:szCs w:val="18"/>
          <w:color w:val="auto"/>
        </w:rPr>
        <w:t>Our Investor Relations Department will review all such communications and will forward to the Lead Independent Director all communications that raise an issue appropriate for consideration by our Board.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Transactions with Related Persons</w:t>
      </w:r>
    </w:p>
    <w:p>
      <w:pPr>
        <w:spacing w:after="0" w:line="145" w:lineRule="exact"/>
        <w:rPr>
          <w:sz w:val="20"/>
          <w:szCs w:val="20"/>
          <w:color w:val="auto"/>
        </w:rPr>
      </w:pPr>
    </w:p>
    <w:p>
      <w:pPr>
        <w:jc w:val="both"/>
        <w:ind w:left="920" w:right="99"/>
        <w:spacing w:after="0" w:line="245" w:lineRule="auto"/>
        <w:rPr>
          <w:sz w:val="20"/>
          <w:szCs w:val="20"/>
          <w:color w:val="auto"/>
        </w:rPr>
      </w:pPr>
      <w:r>
        <w:rPr>
          <w:rFonts w:ascii="Arial" w:cs="Arial" w:eastAsia="Arial" w:hAnsi="Arial"/>
          <w:sz w:val="18"/>
          <w:szCs w:val="18"/>
          <w:color w:val="auto"/>
        </w:rPr>
        <w:t>The Board adopted a written related person transaction policy, which sets forth our policies and procedures for the review, approval or ratification of any transaction required to be reported in our filings with the SEC.</w:t>
      </w:r>
    </w:p>
    <w:p>
      <w:pPr>
        <w:ind w:left="920" w:right="99"/>
        <w:spacing w:after="0" w:line="226" w:lineRule="auto"/>
        <w:rPr>
          <w:sz w:val="20"/>
          <w:szCs w:val="20"/>
          <w:color w:val="auto"/>
        </w:rPr>
      </w:pPr>
      <w:r>
        <w:rPr>
          <w:rFonts w:ascii="Arial" w:cs="Arial" w:eastAsia="Arial" w:hAnsi="Arial"/>
          <w:sz w:val="18"/>
          <w:szCs w:val="18"/>
          <w:color w:val="auto"/>
        </w:rPr>
        <w:t>Under the policy, any potential related person transactions must be reported to our Chief Legal Officer, who is responsible for determining whether such transactions constitute related person transactions subject to</w:t>
      </w:r>
    </w:p>
    <w:p>
      <w:pPr>
        <w:ind w:left="920"/>
        <w:spacing w:after="0" w:line="236" w:lineRule="auto"/>
        <w:rPr>
          <w:sz w:val="20"/>
          <w:szCs w:val="20"/>
          <w:color w:val="auto"/>
        </w:rPr>
      </w:pPr>
      <w:r>
        <w:rPr>
          <w:rFonts w:ascii="Arial" w:cs="Arial" w:eastAsia="Arial" w:hAnsi="Arial"/>
          <w:sz w:val="18"/>
          <w:szCs w:val="18"/>
          <w:color w:val="auto"/>
        </w:rPr>
        <w:t>the policy. Our Chief Legal Officer is required to present to the Audit Committee each proposed related</w:t>
      </w:r>
    </w:p>
    <w:p>
      <w:pPr>
        <w:spacing w:after="0" w:line="1" w:lineRule="exact"/>
        <w:rPr>
          <w:sz w:val="20"/>
          <w:szCs w:val="20"/>
          <w:color w:val="auto"/>
        </w:rPr>
      </w:pPr>
    </w:p>
    <w:p>
      <w:pPr>
        <w:ind w:left="920" w:right="139"/>
        <w:spacing w:after="0" w:line="226" w:lineRule="auto"/>
        <w:rPr>
          <w:sz w:val="20"/>
          <w:szCs w:val="20"/>
          <w:color w:val="auto"/>
        </w:rPr>
      </w:pPr>
      <w:r>
        <w:rPr>
          <w:rFonts w:ascii="Arial" w:cs="Arial" w:eastAsia="Arial" w:hAnsi="Arial"/>
          <w:sz w:val="18"/>
          <w:szCs w:val="18"/>
          <w:color w:val="auto"/>
        </w:rPr>
        <w:t>person transaction. The Audit Committee may approve or ratify the transaction only if the Audit Committee determines that, under all of the circumstances, the transaction is in the best interests of the Company and</w:t>
      </w:r>
    </w:p>
    <w:p>
      <w:pPr>
        <w:ind w:left="920"/>
        <w:spacing w:after="0" w:line="236" w:lineRule="auto"/>
        <w:rPr>
          <w:sz w:val="20"/>
          <w:szCs w:val="20"/>
          <w:color w:val="auto"/>
        </w:rPr>
      </w:pPr>
      <w:r>
        <w:rPr>
          <w:rFonts w:ascii="Arial" w:cs="Arial" w:eastAsia="Arial" w:hAnsi="Arial"/>
          <w:sz w:val="18"/>
          <w:szCs w:val="18"/>
          <w:color w:val="auto"/>
        </w:rPr>
        <w:t>its stockholders, as the Audit Committee determines in good faith. The Audit Committee may, in its sole</w:t>
      </w:r>
    </w:p>
    <w:p>
      <w:pPr>
        <w:spacing w:after="0" w:line="1" w:lineRule="exact"/>
        <w:rPr>
          <w:sz w:val="20"/>
          <w:szCs w:val="20"/>
          <w:color w:val="auto"/>
        </w:rPr>
      </w:pPr>
    </w:p>
    <w:p>
      <w:pPr>
        <w:ind w:left="920" w:right="479"/>
        <w:spacing w:after="0" w:line="226" w:lineRule="auto"/>
        <w:rPr>
          <w:sz w:val="20"/>
          <w:szCs w:val="20"/>
          <w:color w:val="auto"/>
        </w:rPr>
      </w:pPr>
      <w:r>
        <w:rPr>
          <w:rFonts w:ascii="Arial" w:cs="Arial" w:eastAsia="Arial" w:hAnsi="Arial"/>
          <w:sz w:val="18"/>
          <w:szCs w:val="18"/>
          <w:color w:val="auto"/>
        </w:rPr>
        <w:t>discretion, impose such conditions as it deems appropriate on the Company or the related person in connection with approval of the related person transaction. If the Audit Committee does not approve or</w:t>
      </w:r>
    </w:p>
    <w:p>
      <w:pPr>
        <w:spacing w:after="0" w:line="2" w:lineRule="exact"/>
        <w:rPr>
          <w:sz w:val="20"/>
          <w:szCs w:val="20"/>
          <w:color w:val="auto"/>
        </w:rPr>
      </w:pPr>
    </w:p>
    <w:p>
      <w:pPr>
        <w:ind w:left="920" w:right="419"/>
        <w:spacing w:after="0" w:line="237" w:lineRule="auto"/>
        <w:rPr>
          <w:sz w:val="20"/>
          <w:szCs w:val="20"/>
          <w:color w:val="auto"/>
        </w:rPr>
      </w:pPr>
      <w:r>
        <w:rPr>
          <w:rFonts w:ascii="Arial" w:cs="Arial" w:eastAsia="Arial" w:hAnsi="Arial"/>
          <w:sz w:val="18"/>
          <w:szCs w:val="18"/>
          <w:color w:val="auto"/>
        </w:rPr>
        <w:t>ratify a related person transaction, such transaction will not be entered into or will be terminated, as the Audit Committee directs.</w:t>
      </w:r>
    </w:p>
    <w:p>
      <w:pPr>
        <w:spacing w:after="0" w:line="113" w:lineRule="exact"/>
        <w:rPr>
          <w:sz w:val="20"/>
          <w:szCs w:val="20"/>
          <w:color w:val="auto"/>
        </w:rPr>
      </w:pPr>
    </w:p>
    <w:p>
      <w:pPr>
        <w:ind w:left="920" w:right="499"/>
        <w:spacing w:after="0" w:line="256" w:lineRule="auto"/>
        <w:rPr>
          <w:sz w:val="20"/>
          <w:szCs w:val="20"/>
          <w:color w:val="auto"/>
        </w:rPr>
      </w:pPr>
      <w:r>
        <w:rPr>
          <w:rFonts w:ascii="Arial" w:cs="Arial" w:eastAsia="Arial" w:hAnsi="Arial"/>
          <w:sz w:val="18"/>
          <w:szCs w:val="18"/>
          <w:color w:val="auto"/>
        </w:rPr>
        <w:t>The following are certain transactions, arrangements and relationships with our directors, executive officers and stockholders owning 5% or more of our outstanding common stock since January 1, 2025.</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Stockholders Agreement</w:t>
      </w:r>
    </w:p>
    <w:p>
      <w:pPr>
        <w:spacing w:after="0" w:line="139" w:lineRule="exact"/>
        <w:rPr>
          <w:sz w:val="20"/>
          <w:szCs w:val="20"/>
          <w:color w:val="auto"/>
        </w:rPr>
      </w:pPr>
    </w:p>
    <w:p>
      <w:pPr>
        <w:ind w:left="920" w:right="319"/>
        <w:spacing w:after="0" w:line="237" w:lineRule="auto"/>
        <w:rPr>
          <w:sz w:val="20"/>
          <w:szCs w:val="20"/>
          <w:color w:val="auto"/>
        </w:rPr>
      </w:pPr>
      <w:r>
        <w:rPr>
          <w:rFonts w:ascii="Arial" w:cs="Arial" w:eastAsia="Arial" w:hAnsi="Arial"/>
          <w:sz w:val="18"/>
          <w:szCs w:val="18"/>
          <w:color w:val="auto"/>
        </w:rPr>
        <w:t>The Company has entered into the Stockholders Agreement with the JPM Stockholders and Swarth. The Stockholders Agreement provides the JPM Stockholders and Swarth with certain Board and Board</w:t>
      </w:r>
    </w:p>
    <w:p>
      <w:pPr>
        <w:ind w:left="920"/>
        <w:spacing w:after="0" w:line="235" w:lineRule="auto"/>
        <w:rPr>
          <w:sz w:val="20"/>
          <w:szCs w:val="20"/>
          <w:color w:val="auto"/>
        </w:rPr>
      </w:pPr>
      <w:r>
        <w:rPr>
          <w:rFonts w:ascii="Arial" w:cs="Arial" w:eastAsia="Arial" w:hAnsi="Arial"/>
          <w:sz w:val="18"/>
          <w:szCs w:val="18"/>
          <w:color w:val="auto"/>
        </w:rPr>
        <w:t>committee designation rights as described above under “</w:t>
      </w:r>
      <w:r>
        <w:rPr>
          <w:rFonts w:ascii="Arial" w:cs="Arial" w:eastAsia="Arial" w:hAnsi="Arial"/>
          <w:sz w:val="18"/>
          <w:szCs w:val="18"/>
          <w:i w:val="1"/>
          <w:iCs w:val="1"/>
          <w:color w:val="auto"/>
        </w:rPr>
        <w:t>Corporate Governance — Board Composition and</w:t>
      </w:r>
    </w:p>
    <w:p>
      <w:pPr>
        <w:spacing w:after="0" w:line="1" w:lineRule="exact"/>
        <w:rPr>
          <w:sz w:val="20"/>
          <w:szCs w:val="20"/>
          <w:color w:val="auto"/>
        </w:rPr>
      </w:pPr>
    </w:p>
    <w:p>
      <w:pPr>
        <w:ind w:left="920" w:right="279"/>
        <w:spacing w:after="0" w:line="237" w:lineRule="auto"/>
        <w:rPr>
          <w:sz w:val="20"/>
          <w:szCs w:val="20"/>
          <w:color w:val="auto"/>
        </w:rPr>
      </w:pPr>
      <w:r>
        <w:rPr>
          <w:rFonts w:ascii="Arial" w:cs="Arial" w:eastAsia="Arial" w:hAnsi="Arial"/>
          <w:sz w:val="18"/>
          <w:szCs w:val="18"/>
          <w:i w:val="1"/>
          <w:iCs w:val="1"/>
          <w:color w:val="auto"/>
        </w:rPr>
        <w:t>Stockholders Agreement</w:t>
      </w:r>
      <w:r>
        <w:rPr>
          <w:rFonts w:ascii="Arial" w:cs="Arial" w:eastAsia="Arial" w:hAnsi="Arial"/>
          <w:sz w:val="18"/>
          <w:szCs w:val="18"/>
          <w:color w:val="auto"/>
        </w:rPr>
        <w:t>” and “</w:t>
      </w:r>
      <w:r>
        <w:rPr>
          <w:rFonts w:ascii="Arial" w:cs="Arial" w:eastAsia="Arial" w:hAnsi="Arial"/>
          <w:sz w:val="18"/>
          <w:szCs w:val="18"/>
          <w:i w:val="1"/>
          <w:iCs w:val="1"/>
          <w:color w:val="auto"/>
        </w:rPr>
        <w:t>Corporate Governance — Board Committees,</w:t>
      </w:r>
      <w:r>
        <w:rPr>
          <w:rFonts w:ascii="Arial" w:cs="Arial" w:eastAsia="Arial" w:hAnsi="Arial"/>
          <w:sz w:val="18"/>
          <w:szCs w:val="18"/>
          <w:color w:val="auto"/>
        </w:rPr>
        <w:t>” and contains certain 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commitments as described in “</w:t>
      </w:r>
      <w:r>
        <w:rPr>
          <w:rFonts w:ascii="Arial" w:cs="Arial" w:eastAsia="Arial" w:hAnsi="Arial"/>
          <w:sz w:val="18"/>
          <w:szCs w:val="18"/>
          <w:i w:val="1"/>
          <w:iCs w:val="1"/>
          <w:color w:val="auto"/>
        </w:rPr>
        <w:t>Proposal 1 — Election of Directors</w:t>
      </w:r>
      <w:r>
        <w:rPr>
          <w:rFonts w:ascii="Arial" w:cs="Arial" w:eastAsia="Arial" w:hAnsi="Arial"/>
          <w:sz w:val="18"/>
          <w:szCs w:val="18"/>
          <w:color w:val="auto"/>
        </w:rPr>
        <w: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Standstill Restrictions</w:t>
      </w:r>
    </w:p>
    <w:p>
      <w:pPr>
        <w:spacing w:after="0" w:line="139" w:lineRule="exact"/>
        <w:rPr>
          <w:sz w:val="20"/>
          <w:szCs w:val="20"/>
          <w:color w:val="auto"/>
        </w:rPr>
      </w:pPr>
    </w:p>
    <w:p>
      <w:pPr>
        <w:ind w:left="920" w:right="399"/>
        <w:spacing w:after="0" w:line="237" w:lineRule="auto"/>
        <w:rPr>
          <w:sz w:val="20"/>
          <w:szCs w:val="20"/>
          <w:color w:val="auto"/>
        </w:rPr>
      </w:pPr>
      <w:r>
        <w:rPr>
          <w:rFonts w:ascii="Arial" w:cs="Arial" w:eastAsia="Arial" w:hAnsi="Arial"/>
          <w:sz w:val="18"/>
          <w:szCs w:val="18"/>
          <w:color w:val="auto"/>
        </w:rPr>
        <w:t>The Stockholders Agreement contains certain standstill provisions restricting the JPM Stockholders and Swarth from acquiring (or seeking or making any proposal or offer with respect to acquiring) additional</w:t>
      </w:r>
    </w:p>
    <w:p>
      <w:pPr>
        <w:ind w:left="920"/>
        <w:spacing w:after="0" w:line="235" w:lineRule="auto"/>
        <w:rPr>
          <w:sz w:val="20"/>
          <w:szCs w:val="20"/>
          <w:color w:val="auto"/>
        </w:rPr>
      </w:pPr>
      <w:r>
        <w:rPr>
          <w:rFonts w:ascii="Arial" w:cs="Arial" w:eastAsia="Arial" w:hAnsi="Arial"/>
          <w:sz w:val="18"/>
          <w:szCs w:val="18"/>
          <w:color w:val="auto"/>
        </w:rPr>
        <w:t>shares of Ribbon common stock or any security convertible into Ribbon common stock or any assets,</w:t>
      </w:r>
    </w:p>
    <w:p>
      <w:pPr>
        <w:spacing w:after="0" w:line="1" w:lineRule="exact"/>
        <w:rPr>
          <w:sz w:val="20"/>
          <w:szCs w:val="20"/>
          <w:color w:val="auto"/>
        </w:rPr>
      </w:pPr>
    </w:p>
    <w:p>
      <w:pPr>
        <w:ind w:left="920" w:right="679"/>
        <w:spacing w:after="0" w:line="226" w:lineRule="auto"/>
        <w:rPr>
          <w:sz w:val="20"/>
          <w:szCs w:val="20"/>
          <w:color w:val="auto"/>
        </w:rPr>
      </w:pPr>
      <w:r>
        <w:rPr>
          <w:rFonts w:ascii="Arial" w:cs="Arial" w:eastAsia="Arial" w:hAnsi="Arial"/>
          <w:sz w:val="18"/>
          <w:szCs w:val="18"/>
          <w:color w:val="auto"/>
        </w:rPr>
        <w:t>indebtedness or businesses of Ribbon common stock or any of its subsidiaries. Certain customary exclusions apply, and acquisition of shares of Ribbon common stock by a Ribbon stockholder will be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permitted so long as such acquisition would not result in such stockholder and</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its affiliates beneficially owning a number of Ribbon common stock that is greater than 120% of the number</w:t>
      </w:r>
    </w:p>
    <w:p>
      <w:pPr>
        <w:spacing w:after="0" w:line="14" w:lineRule="exact"/>
        <w:rPr>
          <w:sz w:val="20"/>
          <w:szCs w:val="20"/>
          <w:color w:val="auto"/>
        </w:rPr>
      </w:pPr>
    </w:p>
    <w:p>
      <w:pPr>
        <w:ind w:left="920" w:right="639"/>
        <w:spacing w:after="0" w:line="237" w:lineRule="auto"/>
        <w:rPr>
          <w:sz w:val="20"/>
          <w:szCs w:val="20"/>
          <w:color w:val="auto"/>
        </w:rPr>
      </w:pPr>
      <w:r>
        <w:rPr>
          <w:rFonts w:ascii="Arial" w:cs="Arial" w:eastAsia="Arial" w:hAnsi="Arial"/>
          <w:sz w:val="18"/>
          <w:szCs w:val="18"/>
          <w:color w:val="auto"/>
        </w:rPr>
        <w:t>of voting shares of Ribbon common stock held by the JPM Stockholders or Swarth, as applicable, on March 3, 2020 (or such lower number as specified in the Stockholders Agreement).</w:t>
      </w:r>
    </w:p>
    <w:p>
      <w:pPr>
        <w:spacing w:after="0" w:line="113" w:lineRule="exact"/>
        <w:rPr>
          <w:sz w:val="20"/>
          <w:szCs w:val="20"/>
          <w:color w:val="auto"/>
        </w:rPr>
      </w:pPr>
    </w:p>
    <w:p>
      <w:pPr>
        <w:ind w:left="920" w:right="119"/>
        <w:spacing w:after="0" w:line="237" w:lineRule="auto"/>
        <w:rPr>
          <w:sz w:val="20"/>
          <w:szCs w:val="20"/>
          <w:color w:val="auto"/>
        </w:rPr>
      </w:pPr>
      <w:r>
        <w:rPr>
          <w:rFonts w:ascii="Arial" w:cs="Arial" w:eastAsia="Arial" w:hAnsi="Arial"/>
          <w:sz w:val="18"/>
          <w:szCs w:val="18"/>
          <w:color w:val="auto"/>
        </w:rPr>
        <w:t>The standstill restrictions apply from the date of the Stockholders Agreement until the earlier of (i) the entry by Ribbon into a definitive agreement constituting a change of control transaction as discussed in further</w:t>
      </w:r>
    </w:p>
    <w:p>
      <w:pPr>
        <w:spacing w:after="0" w:line="1" w:lineRule="exact"/>
        <w:rPr>
          <w:sz w:val="20"/>
          <w:szCs w:val="20"/>
          <w:color w:val="auto"/>
        </w:rPr>
      </w:pPr>
    </w:p>
    <w:p>
      <w:pPr>
        <w:ind w:left="920" w:right="279"/>
        <w:spacing w:after="0" w:line="250" w:lineRule="auto"/>
        <w:rPr>
          <w:sz w:val="20"/>
          <w:szCs w:val="20"/>
          <w:color w:val="auto"/>
        </w:rPr>
      </w:pPr>
      <w:r>
        <w:rPr>
          <w:rFonts w:ascii="Arial" w:cs="Arial" w:eastAsia="Arial" w:hAnsi="Arial"/>
          <w:sz w:val="18"/>
          <w:szCs w:val="18"/>
          <w:color w:val="auto"/>
        </w:rPr>
        <w:t>detail below and (ii) such date as the JPM Stockholders or Swarth, as applicable, no longer has a right to designate any members of the Board.</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Change of Control</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Without the approval of a majority of the disinterested directors serving on the Board, neither the JPM</w:t>
      </w:r>
    </w:p>
    <w:p>
      <w:pPr>
        <w:spacing w:after="0" w:line="14" w:lineRule="exact"/>
        <w:rPr>
          <w:sz w:val="20"/>
          <w:szCs w:val="20"/>
          <w:color w:val="auto"/>
        </w:rPr>
      </w:pPr>
    </w:p>
    <w:p>
      <w:pPr>
        <w:ind w:left="920" w:right="419"/>
        <w:spacing w:after="0" w:line="226" w:lineRule="auto"/>
        <w:rPr>
          <w:sz w:val="20"/>
          <w:szCs w:val="20"/>
          <w:color w:val="auto"/>
        </w:rPr>
      </w:pPr>
      <w:r>
        <w:rPr>
          <w:rFonts w:ascii="Arial" w:cs="Arial" w:eastAsia="Arial" w:hAnsi="Arial"/>
          <w:sz w:val="18"/>
          <w:szCs w:val="18"/>
          <w:color w:val="auto"/>
        </w:rPr>
        <w:t>Stockholders nor Swarth may enter into or affirmatively support any transaction resulting in a change of control of Ribbon in which any such stockholder receives per share consideration as a holder of Ribbon</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common stock in excess of that to be received by other holders of Ribbon common stock.</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Termination</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Stockholders Agreement will terminate by mutual consent of Ribbon, a majority in interest of the JPM</w:t>
      </w:r>
    </w:p>
    <w:p>
      <w:pPr>
        <w:spacing w:after="0" w:line="14" w:lineRule="exact"/>
        <w:rPr>
          <w:sz w:val="20"/>
          <w:szCs w:val="20"/>
          <w:color w:val="auto"/>
        </w:rPr>
      </w:pPr>
    </w:p>
    <w:p>
      <w:pPr>
        <w:ind w:left="920" w:right="139"/>
        <w:spacing w:after="0" w:line="226" w:lineRule="auto"/>
        <w:rPr>
          <w:sz w:val="20"/>
          <w:szCs w:val="20"/>
          <w:color w:val="auto"/>
        </w:rPr>
      </w:pPr>
      <w:r>
        <w:rPr>
          <w:rFonts w:ascii="Arial" w:cs="Arial" w:eastAsia="Arial" w:hAnsi="Arial"/>
          <w:sz w:val="18"/>
          <w:szCs w:val="18"/>
          <w:color w:val="auto"/>
        </w:rPr>
        <w:t>Stockholders and Swarth (including the approval by a majority of Independent Directors) or with respect to either the JPM Stockholders or Swarth, on the date that such stockholder ceases to beneficially own 2% or</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more of the issued and outstanding Ribbon common stock.</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Director Compensation</w:t>
      </w:r>
    </w:p>
    <w:p>
      <w:pPr>
        <w:spacing w:after="0" w:line="145" w:lineRule="exact"/>
        <w:rPr>
          <w:sz w:val="20"/>
          <w:szCs w:val="20"/>
          <w:color w:val="auto"/>
        </w:rPr>
      </w:pPr>
    </w:p>
    <w:p>
      <w:pPr>
        <w:ind w:left="920" w:right="499"/>
        <w:spacing w:after="0" w:line="237" w:lineRule="auto"/>
        <w:rPr>
          <w:sz w:val="20"/>
          <w:szCs w:val="20"/>
          <w:color w:val="auto"/>
        </w:rPr>
      </w:pPr>
      <w:r>
        <w:rPr>
          <w:rFonts w:ascii="Arial" w:cs="Arial" w:eastAsia="Arial" w:hAnsi="Arial"/>
          <w:sz w:val="18"/>
          <w:szCs w:val="18"/>
          <w:color w:val="auto"/>
        </w:rPr>
        <w:t>The Compensation Committee reviews the Non-Employee Director Compensation Policy (the “</w:t>
      </w:r>
      <w:r>
        <w:rPr>
          <w:rFonts w:ascii="Arial" w:cs="Arial" w:eastAsia="Arial" w:hAnsi="Arial"/>
          <w:sz w:val="18"/>
          <w:szCs w:val="18"/>
          <w:i w:val="1"/>
          <w:iCs w:val="1"/>
          <w:color w:val="auto"/>
        </w:rPr>
        <w:t>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Policy</w:t>
      </w:r>
      <w:r>
        <w:rPr>
          <w:rFonts w:ascii="Arial" w:cs="Arial" w:eastAsia="Arial" w:hAnsi="Arial"/>
          <w:sz w:val="18"/>
          <w:szCs w:val="18"/>
          <w:color w:val="auto"/>
        </w:rPr>
        <w:t>”) periodically and, in consultation with its independent compensation consultant</w:t>
      </w:r>
    </w:p>
    <w:p>
      <w:pPr>
        <w:spacing w:after="0" w:line="1" w:lineRule="exact"/>
        <w:rPr>
          <w:sz w:val="20"/>
          <w:szCs w:val="20"/>
          <w:color w:val="auto"/>
        </w:rPr>
      </w:pPr>
    </w:p>
    <w:p>
      <w:pPr>
        <w:ind w:left="920" w:right="379"/>
        <w:spacing w:after="0" w:line="250" w:lineRule="auto"/>
        <w:rPr>
          <w:sz w:val="20"/>
          <w:szCs w:val="20"/>
          <w:color w:val="auto"/>
        </w:rPr>
      </w:pPr>
      <w:r>
        <w:rPr>
          <w:rFonts w:ascii="Arial" w:cs="Arial" w:eastAsia="Arial" w:hAnsi="Arial"/>
          <w:sz w:val="18"/>
          <w:szCs w:val="18"/>
          <w:color w:val="auto"/>
        </w:rPr>
        <w:t>regarding compensation on levels for peer companies and the broader market, recommends changes to the Board when it deems appropriate.</w:t>
      </w:r>
    </w:p>
    <w:p>
      <w:pPr>
        <w:spacing w:after="0" w:line="9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Director Compensation Policy permits a director to elect to receive all or 50% of the cash fees payable</w:t>
      </w:r>
    </w:p>
    <w:p>
      <w:pPr>
        <w:spacing w:after="0" w:line="14"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color w:val="auto"/>
        </w:rPr>
        <w:t>to her or him in shares of the Company’s common stock and further permits a director to defer receipt of all or 50% of any shares payable to her or him upon vesting of equity awards until the 15th day of the month</w:t>
      </w:r>
    </w:p>
    <w:p>
      <w:pPr>
        <w:ind w:left="920"/>
        <w:spacing w:after="0" w:line="236" w:lineRule="auto"/>
        <w:rPr>
          <w:sz w:val="20"/>
          <w:szCs w:val="20"/>
          <w:color w:val="auto"/>
        </w:rPr>
      </w:pPr>
      <w:r>
        <w:rPr>
          <w:rFonts w:ascii="Arial" w:cs="Arial" w:eastAsia="Arial" w:hAnsi="Arial"/>
          <w:sz w:val="18"/>
          <w:szCs w:val="18"/>
          <w:color w:val="auto"/>
        </w:rPr>
        <w:t>following the date on which the electing director ceases to serve on the Board (or earlier in connection with</w:t>
      </w:r>
    </w:p>
    <w:p>
      <w:pPr>
        <w:spacing w:after="0" w:line="1" w:lineRule="exact"/>
        <w:rPr>
          <w:sz w:val="20"/>
          <w:szCs w:val="20"/>
          <w:color w:val="auto"/>
        </w:rPr>
      </w:pPr>
    </w:p>
    <w:p>
      <w:pPr>
        <w:ind w:left="920" w:right="619"/>
        <w:spacing w:after="0" w:line="226" w:lineRule="auto"/>
        <w:rPr>
          <w:sz w:val="20"/>
          <w:szCs w:val="20"/>
          <w:color w:val="auto"/>
        </w:rPr>
      </w:pPr>
      <w:r>
        <w:rPr>
          <w:rFonts w:ascii="Arial" w:cs="Arial" w:eastAsia="Arial" w:hAnsi="Arial"/>
          <w:sz w:val="18"/>
          <w:szCs w:val="18"/>
          <w:color w:val="auto"/>
        </w:rPr>
        <w:t>a change in control as defined under the Director Compensation Policy). Pursuant to the Director Compensation Policy, Messrs. Grayson and Shani elected to receive 100% of their 2025 cash fees in</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shares of the Company’s common stock.</w:t>
      </w:r>
    </w:p>
    <w:p>
      <w:pPr>
        <w:spacing w:after="0" w:line="113" w:lineRule="exact"/>
        <w:rPr>
          <w:sz w:val="20"/>
          <w:szCs w:val="20"/>
          <w:color w:val="auto"/>
        </w:rPr>
      </w:pPr>
    </w:p>
    <w:p>
      <w:pPr>
        <w:ind w:left="920" w:right="179"/>
        <w:spacing w:after="0" w:line="245" w:lineRule="auto"/>
        <w:rPr>
          <w:sz w:val="20"/>
          <w:szCs w:val="20"/>
          <w:color w:val="auto"/>
        </w:rPr>
      </w:pPr>
      <w:r>
        <w:rPr>
          <w:rFonts w:ascii="Arial" w:cs="Arial" w:eastAsia="Arial" w:hAnsi="Arial"/>
          <w:sz w:val="18"/>
          <w:szCs w:val="18"/>
          <w:color w:val="auto"/>
        </w:rPr>
        <w:t>In 2025 the Board appointed Scott Mair as Vice Chairman. In this role Mr. Mair assists the Chairman and the CEO in various areas, including strategic planning and development focused on growing the Company</w:t>
      </w:r>
    </w:p>
    <w:p>
      <w:pPr>
        <w:ind w:left="920" w:right="139"/>
        <w:spacing w:after="0" w:line="226" w:lineRule="auto"/>
        <w:rPr>
          <w:sz w:val="20"/>
          <w:szCs w:val="20"/>
          <w:color w:val="auto"/>
        </w:rPr>
      </w:pPr>
      <w:r>
        <w:rPr>
          <w:rFonts w:ascii="Arial" w:cs="Arial" w:eastAsia="Arial" w:hAnsi="Arial"/>
          <w:sz w:val="18"/>
          <w:szCs w:val="18"/>
          <w:color w:val="auto"/>
        </w:rPr>
        <w:t>and improving financial performance and, as requested by the CEO, advising on internal initiatives that are key to the success of the Company. In recognition of the additional time and responsibilities of the Vice</w:t>
      </w:r>
    </w:p>
    <w:p>
      <w:pPr>
        <w:ind w:left="920"/>
        <w:spacing w:after="0" w:line="236" w:lineRule="auto"/>
        <w:rPr>
          <w:sz w:val="20"/>
          <w:szCs w:val="20"/>
          <w:color w:val="auto"/>
        </w:rPr>
      </w:pPr>
      <w:r>
        <w:rPr>
          <w:rFonts w:ascii="Arial" w:cs="Arial" w:eastAsia="Arial" w:hAnsi="Arial"/>
          <w:sz w:val="18"/>
          <w:szCs w:val="18"/>
          <w:color w:val="auto"/>
        </w:rPr>
        <w:t>Chairman role, the Board approved an additional annual retainer for Mr. Mair of $50,000 (which was pro-</w:t>
      </w:r>
    </w:p>
    <w:p>
      <w:pPr>
        <w:spacing w:after="0" w:line="1" w:lineRule="exact"/>
        <w:rPr>
          <w:sz w:val="20"/>
          <w:szCs w:val="20"/>
          <w:color w:val="auto"/>
        </w:rPr>
      </w:pPr>
    </w:p>
    <w:p>
      <w:pPr>
        <w:ind w:left="920" w:right="239"/>
        <w:spacing w:after="0" w:line="237" w:lineRule="auto"/>
        <w:rPr>
          <w:sz w:val="20"/>
          <w:szCs w:val="20"/>
          <w:color w:val="auto"/>
        </w:rPr>
      </w:pPr>
      <w:r>
        <w:rPr>
          <w:rFonts w:ascii="Arial" w:cs="Arial" w:eastAsia="Arial" w:hAnsi="Arial"/>
          <w:sz w:val="18"/>
          <w:szCs w:val="18"/>
          <w:color w:val="auto"/>
        </w:rPr>
        <w:t>rated for 2025) and provided a one-time equity grant of $100,000 in restricted stock units (“RSUs”) in May of 2025.</w:t>
      </w:r>
    </w:p>
    <w:p>
      <w:pPr>
        <w:spacing w:after="0" w:line="113" w:lineRule="exact"/>
        <w:rPr>
          <w:sz w:val="20"/>
          <w:szCs w:val="20"/>
          <w:color w:val="auto"/>
        </w:rPr>
      </w:pPr>
    </w:p>
    <w:p>
      <w:pPr>
        <w:ind w:left="920" w:right="519"/>
        <w:spacing w:after="0" w:line="237" w:lineRule="auto"/>
        <w:rPr>
          <w:sz w:val="20"/>
          <w:szCs w:val="20"/>
          <w:color w:val="auto"/>
        </w:rPr>
      </w:pPr>
      <w:r>
        <w:rPr>
          <w:rFonts w:ascii="Arial" w:cs="Arial" w:eastAsia="Arial" w:hAnsi="Arial"/>
          <w:sz w:val="18"/>
          <w:szCs w:val="18"/>
          <w:color w:val="auto"/>
        </w:rPr>
        <w:t>At the request of the Compensation Committee, in 2025 FW Cook, the Compensation Committee’s independent compensation consultant, provided a report to the Compensation Committee on Ribbon’s</w:t>
      </w:r>
    </w:p>
    <w:p>
      <w:pPr>
        <w:ind w:left="920"/>
        <w:spacing w:after="0" w:line="235" w:lineRule="auto"/>
        <w:rPr>
          <w:sz w:val="20"/>
          <w:szCs w:val="20"/>
          <w:color w:val="auto"/>
        </w:rPr>
      </w:pPr>
      <w:r>
        <w:rPr>
          <w:rFonts w:ascii="Arial" w:cs="Arial" w:eastAsia="Arial" w:hAnsi="Arial"/>
          <w:sz w:val="18"/>
          <w:szCs w:val="18"/>
          <w:color w:val="auto"/>
        </w:rPr>
        <w:t>director compensation compared to its peers. Based on the report, the Compensation Committee</w:t>
      </w:r>
    </w:p>
    <w:p>
      <w:pPr>
        <w:spacing w:after="0" w:line="1" w:lineRule="exact"/>
        <w:rPr>
          <w:sz w:val="20"/>
          <w:szCs w:val="20"/>
          <w:color w:val="auto"/>
        </w:rPr>
      </w:pPr>
    </w:p>
    <w:p>
      <w:pPr>
        <w:ind w:left="920" w:right="199"/>
        <w:spacing w:after="0" w:line="192" w:lineRule="auto"/>
        <w:rPr>
          <w:sz w:val="20"/>
          <w:szCs w:val="20"/>
          <w:color w:val="auto"/>
        </w:rPr>
      </w:pPr>
      <w:r>
        <w:rPr>
          <w:rFonts w:ascii="Arial" w:cs="Arial" w:eastAsia="Arial" w:hAnsi="Arial"/>
          <w:sz w:val="18"/>
          <w:szCs w:val="18"/>
          <w:color w:val="auto"/>
        </w:rPr>
        <w:t>concluded that, while the director compensation program is structured consistent with market practice and good governance norms, total per-director compensation was positioned below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of the</w:t>
      </w:r>
    </w:p>
    <w:p>
      <w:pPr>
        <w:ind w:left="920" w:right="119"/>
        <w:spacing w:after="0" w:line="204" w:lineRule="auto"/>
        <w:rPr>
          <w:sz w:val="20"/>
          <w:szCs w:val="20"/>
          <w:color w:val="auto"/>
        </w:rPr>
      </w:pPr>
      <w:r>
        <w:rPr>
          <w:rFonts w:ascii="Arial" w:cs="Arial" w:eastAsia="Arial" w:hAnsi="Arial"/>
          <w:sz w:val="18"/>
          <w:szCs w:val="18"/>
          <w:color w:val="auto"/>
        </w:rPr>
        <w:t>Company’s peers, which was primarily driven by the equity component of the program being valued below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of the Company’s peers. As a result, in 2025 the Compensation Committee approved an amendment to the Director Compensation Policy to increase the annual equity retainer paid to the non-</w:t>
      </w:r>
    </w:p>
    <w:p>
      <w:pPr>
        <w:spacing w:after="0" w:line="1" w:lineRule="exact"/>
        <w:rPr>
          <w:sz w:val="20"/>
          <w:szCs w:val="20"/>
          <w:color w:val="auto"/>
        </w:rPr>
      </w:pPr>
    </w:p>
    <w:p>
      <w:pPr>
        <w:ind w:left="920" w:right="259"/>
        <w:spacing w:after="0" w:line="242" w:lineRule="auto"/>
        <w:rPr>
          <w:sz w:val="20"/>
          <w:szCs w:val="20"/>
          <w:color w:val="auto"/>
        </w:rPr>
      </w:pPr>
      <w:r>
        <w:rPr>
          <w:rFonts w:ascii="Arial" w:cs="Arial" w:eastAsia="Arial" w:hAnsi="Arial"/>
          <w:sz w:val="18"/>
          <w:szCs w:val="18"/>
          <w:color w:val="auto"/>
        </w:rPr>
        <w:t>employee directors from $145,000 to $170,000, which would position the total per-director compensation, including both cash and equity, between the 25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and median.</w:t>
      </w:r>
    </w:p>
    <w:p>
      <w:pPr>
        <w:spacing w:after="0" w:line="93"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describes the components of the non-employee directors’ compensation for 2025:</w:t>
      </w:r>
    </w:p>
    <w:p>
      <w:pPr>
        <w:spacing w:after="0" w:line="78" w:lineRule="exact"/>
        <w:rPr>
          <w:sz w:val="20"/>
          <w:szCs w:val="20"/>
          <w:color w:val="auto"/>
        </w:rPr>
      </w:pPr>
    </w:p>
    <w:tbl>
      <w:tblPr>
        <w:tblLayout w:type="fixed"/>
        <w:tblInd w:w="920" w:type="dxa"/>
        <w:tblCellMar>
          <w:top w:w="0" w:type="dxa"/>
          <w:left w:w="0" w:type="dxa"/>
          <w:bottom w:w="0" w:type="dxa"/>
          <w:right w:w="0" w:type="dxa"/>
        </w:tblCellMar>
      </w:tblPr>
      <w:tr>
        <w:trPr>
          <w:trHeight w:val="368"/>
        </w:trPr>
        <w:tc>
          <w:tcPr>
            <w:tcW w:w="3460" w:type="dxa"/>
            <w:vAlign w:val="bottom"/>
            <w:gridSpan w:val="2"/>
            <w:shd w:val="clear" w:color="auto" w:fill="62259D"/>
          </w:tcPr>
          <w:p>
            <w:pPr>
              <w:spacing w:after="0"/>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 xml:space="preserve"> Compensation Element</w:t>
            </w:r>
          </w:p>
        </w:tc>
        <w:tc>
          <w:tcPr>
            <w:tcW w:w="5220" w:type="dxa"/>
            <w:vAlign w:val="bottom"/>
            <w:shd w:val="clear" w:color="auto" w:fill="62259D"/>
          </w:tcPr>
          <w:p>
            <w:pPr>
              <w:ind w:left="100"/>
              <w:spacing w:after="0"/>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Compensation Payment</w:t>
            </w:r>
          </w:p>
        </w:tc>
        <w:tc>
          <w:tcPr>
            <w:tcW w:w="180" w:type="dxa"/>
            <w:vAlign w:val="bottom"/>
            <w:shd w:val="clear" w:color="auto" w:fill="62259D"/>
          </w:tcPr>
          <w:p>
            <w:pPr>
              <w:ind w:left="80"/>
              <w:spacing w:after="0"/>
              <w:rPr>
                <w:sz w:val="20"/>
                <w:szCs w:val="20"/>
                <w:color w:val="auto"/>
              </w:rPr>
            </w:pPr>
            <w:r>
              <w:rPr>
                <w:rFonts w:ascii="Arial" w:cs="Arial" w:eastAsia="Arial" w:hAnsi="Arial"/>
                <w:sz w:val="16"/>
                <w:szCs w:val="16"/>
                <w:b w:val="1"/>
                <w:bCs w:val="1"/>
                <w:color w:val="FEFEFE"/>
              </w:rPr>
              <w:t>​</w:t>
            </w:r>
          </w:p>
        </w:tc>
      </w:tr>
      <w:tr>
        <w:trPr>
          <w:trHeight w:val="284"/>
        </w:trPr>
        <w:tc>
          <w:tcPr>
            <w:tcW w:w="3460" w:type="dxa"/>
            <w:vAlign w:val="bottom"/>
            <w:tcBorders>
              <w:bottom w:val="single" w:sz="8" w:color="E7417A"/>
            </w:tcBorders>
            <w:gridSpan w:val="2"/>
          </w:tcPr>
          <w:p>
            <w:pPr>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Annual Retainer</w:t>
            </w:r>
          </w:p>
        </w:tc>
        <w:tc>
          <w:tcPr>
            <w:tcW w:w="5220" w:type="dxa"/>
            <w:vAlign w:val="bottom"/>
            <w:tcBorders>
              <w:bottom w:val="single" w:sz="8" w:color="E7417A"/>
            </w:tcBorders>
          </w:tcPr>
          <w:p>
            <w:pPr>
              <w:ind w:left="10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$60,000</w:t>
            </w:r>
            <w:r>
              <w:rPr>
                <w:rFonts w:ascii="Arial" w:cs="Arial" w:eastAsia="Arial" w:hAnsi="Arial"/>
                <w:sz w:val="19"/>
                <w:szCs w:val="19"/>
                <w:color w:val="auto"/>
                <w:vertAlign w:val="superscript"/>
              </w:rPr>
              <w:t>(1)</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r>
      <w:tr>
        <w:trPr>
          <w:trHeight w:val="222"/>
        </w:trPr>
        <w:tc>
          <w:tcPr>
            <w:tcW w:w="3460" w:type="dxa"/>
            <w:vAlign w:val="bottom"/>
            <w:gridSpan w:val="2"/>
          </w:tcPr>
          <w:p>
            <w:pPr>
              <w:spacing w:after="0"/>
              <w:rPr>
                <w:sz w:val="20"/>
                <w:szCs w:val="20"/>
                <w:color w:val="auto"/>
              </w:rPr>
            </w:pPr>
            <w:r>
              <w:rPr>
                <w:rFonts w:ascii="Arial" w:cs="Arial" w:eastAsia="Arial" w:hAnsi="Arial"/>
                <w:sz w:val="16"/>
                <w:szCs w:val="16"/>
                <w:color w:val="auto"/>
              </w:rPr>
              <w:t>​ Annual Equity Retainer</w:t>
            </w:r>
          </w:p>
        </w:tc>
        <w:tc>
          <w:tcPr>
            <w:tcW w:w="5220" w:type="dxa"/>
            <w:vAlign w:val="bottom"/>
          </w:tcPr>
          <w:p>
            <w:pPr>
              <w:ind w:left="100"/>
              <w:spacing w:after="0"/>
              <w:rPr>
                <w:sz w:val="20"/>
                <w:szCs w:val="20"/>
                <w:color w:val="auto"/>
              </w:rPr>
            </w:pPr>
            <w:r>
              <w:rPr>
                <w:rFonts w:ascii="Arial" w:cs="Arial" w:eastAsia="Arial" w:hAnsi="Arial"/>
                <w:sz w:val="16"/>
                <w:szCs w:val="16"/>
                <w:color w:val="auto"/>
              </w:rPr>
              <w:t>​​$170,000</w:t>
            </w:r>
            <w:r>
              <w:rPr>
                <w:rFonts w:ascii="Arial" w:cs="Arial" w:eastAsia="Arial" w:hAnsi="Arial"/>
                <w:sz w:val="19"/>
                <w:szCs w:val="19"/>
                <w:color w:val="auto"/>
                <w:vertAlign w:val="superscript"/>
              </w:rPr>
              <w:t>(1)</w:t>
            </w:r>
            <w:r>
              <w:rPr>
                <w:rFonts w:ascii="Arial" w:cs="Arial" w:eastAsia="Arial" w:hAnsi="Arial"/>
                <w:sz w:val="16"/>
                <w:szCs w:val="16"/>
                <w:color w:val="auto"/>
              </w:rPr>
              <w:t xml:space="preserve"> in RSUs that vest after one year (or, if earlier, on the</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189"/>
        </w:trPr>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220" w:type="dxa"/>
            <w:vAlign w:val="bottom"/>
          </w:tcPr>
          <w:p>
            <w:pPr>
              <w:ind w:left="220"/>
              <w:spacing w:after="0"/>
              <w:rPr>
                <w:sz w:val="20"/>
                <w:szCs w:val="20"/>
                <w:color w:val="auto"/>
              </w:rPr>
            </w:pPr>
            <w:r>
              <w:rPr>
                <w:rFonts w:ascii="Arial" w:cs="Arial" w:eastAsia="Arial" w:hAnsi="Arial"/>
                <w:sz w:val="16"/>
                <w:szCs w:val="16"/>
                <w:color w:val="auto"/>
              </w:rPr>
              <w:t>date of the next annual meeting if the non-employee director does</w:t>
            </w:r>
          </w:p>
        </w:tc>
        <w:tc>
          <w:tcPr>
            <w:tcW w:w="180" w:type="dxa"/>
            <w:vAlign w:val="bottom"/>
          </w:tcPr>
          <w:p>
            <w:pPr>
              <w:spacing w:after="0"/>
              <w:rPr>
                <w:sz w:val="16"/>
                <w:szCs w:val="16"/>
                <w:color w:val="auto"/>
              </w:rPr>
            </w:pPr>
          </w:p>
        </w:tc>
      </w:tr>
      <w:tr>
        <w:trPr>
          <w:trHeight w:val="189"/>
        </w:trPr>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220" w:type="dxa"/>
            <w:vAlign w:val="bottom"/>
          </w:tcPr>
          <w:p>
            <w:pPr>
              <w:ind w:left="220"/>
              <w:spacing w:after="0"/>
              <w:rPr>
                <w:sz w:val="20"/>
                <w:szCs w:val="20"/>
                <w:color w:val="auto"/>
              </w:rPr>
            </w:pPr>
            <w:r>
              <w:rPr>
                <w:rFonts w:ascii="Arial" w:cs="Arial" w:eastAsia="Arial" w:hAnsi="Arial"/>
                <w:sz w:val="16"/>
                <w:szCs w:val="16"/>
                <w:color w:val="auto"/>
              </w:rPr>
              <w:t>not stand for re-election or is not re-elected by stockholders of the</w:t>
            </w:r>
          </w:p>
        </w:tc>
        <w:tc>
          <w:tcPr>
            <w:tcW w:w="180" w:type="dxa"/>
            <w:vAlign w:val="bottom"/>
          </w:tcPr>
          <w:p>
            <w:pPr>
              <w:spacing w:after="0"/>
              <w:rPr>
                <w:sz w:val="16"/>
                <w:szCs w:val="16"/>
                <w:color w:val="auto"/>
              </w:rPr>
            </w:pPr>
          </w:p>
        </w:tc>
      </w:tr>
      <w:tr>
        <w:trPr>
          <w:trHeight w:val="224"/>
        </w:trPr>
        <w:tc>
          <w:tcPr>
            <w:tcW w:w="160" w:type="dxa"/>
            <w:vAlign w:val="bottom"/>
            <w:tcBorders>
              <w:bottom w:val="single" w:sz="8" w:color="E7417A"/>
            </w:tcBorders>
          </w:tcPr>
          <w:p>
            <w:pPr>
              <w:spacing w:after="0"/>
              <w:rPr>
                <w:sz w:val="19"/>
                <w:szCs w:val="19"/>
                <w:color w:val="auto"/>
              </w:rPr>
            </w:pPr>
          </w:p>
        </w:tc>
        <w:tc>
          <w:tcPr>
            <w:tcW w:w="3300" w:type="dxa"/>
            <w:vAlign w:val="bottom"/>
            <w:tcBorders>
              <w:bottom w:val="single" w:sz="8" w:color="E7417A"/>
            </w:tcBorders>
          </w:tcPr>
          <w:p>
            <w:pPr>
              <w:spacing w:after="0"/>
              <w:rPr>
                <w:sz w:val="19"/>
                <w:szCs w:val="19"/>
                <w:color w:val="auto"/>
              </w:rPr>
            </w:pPr>
          </w:p>
        </w:tc>
        <w:tc>
          <w:tcPr>
            <w:tcW w:w="5220" w:type="dxa"/>
            <w:vAlign w:val="bottom"/>
            <w:tcBorders>
              <w:bottom w:val="single" w:sz="8" w:color="E7417A"/>
            </w:tcBorders>
          </w:tcPr>
          <w:p>
            <w:pPr>
              <w:ind w:left="220"/>
              <w:spacing w:after="0"/>
              <w:rPr>
                <w:sz w:val="20"/>
                <w:szCs w:val="20"/>
                <w:color w:val="auto"/>
              </w:rPr>
            </w:pPr>
            <w:r>
              <w:rPr>
                <w:rFonts w:ascii="Arial" w:cs="Arial" w:eastAsia="Arial" w:hAnsi="Arial"/>
                <w:sz w:val="16"/>
                <w:szCs w:val="16"/>
                <w:color w:val="auto"/>
              </w:rPr>
              <w:t>Company)</w:t>
            </w:r>
          </w:p>
        </w:tc>
        <w:tc>
          <w:tcPr>
            <w:tcW w:w="180" w:type="dxa"/>
            <w:vAlign w:val="bottom"/>
            <w:tcBorders>
              <w:bottom w:val="single" w:sz="8" w:color="E7417A"/>
            </w:tcBorders>
          </w:tcPr>
          <w:p>
            <w:pPr>
              <w:spacing w:after="0"/>
              <w:rPr>
                <w:sz w:val="19"/>
                <w:szCs w:val="19"/>
                <w:color w:val="auto"/>
              </w:rPr>
            </w:pPr>
          </w:p>
        </w:tc>
      </w:tr>
      <w:tr>
        <w:trPr>
          <w:trHeight w:val="283"/>
        </w:trPr>
        <w:tc>
          <w:tcPr>
            <w:tcW w:w="3460" w:type="dxa"/>
            <w:vAlign w:val="bottom"/>
            <w:tcBorders>
              <w:bottom w:val="single" w:sz="8" w:color="E7417A"/>
            </w:tcBorders>
            <w:gridSpan w:val="2"/>
          </w:tcPr>
          <w:p>
            <w:pPr>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Non-Executive Chairman Fee</w:t>
            </w:r>
            <w:r>
              <w:rPr>
                <w:rFonts w:ascii="Arial" w:cs="Arial" w:eastAsia="Arial" w:hAnsi="Arial"/>
                <w:sz w:val="19"/>
                <w:szCs w:val="19"/>
                <w:color w:val="auto"/>
                <w:vertAlign w:val="superscript"/>
              </w:rPr>
              <w:t>(2)</w:t>
            </w:r>
          </w:p>
        </w:tc>
        <w:tc>
          <w:tcPr>
            <w:tcW w:w="5220" w:type="dxa"/>
            <w:vAlign w:val="bottom"/>
            <w:tcBorders>
              <w:bottom w:val="single" w:sz="8" w:color="E7417A"/>
            </w:tcBorders>
          </w:tcPr>
          <w:p>
            <w:pPr>
              <w:ind w:left="10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$50,000</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r>
      <w:tr>
        <w:trPr>
          <w:trHeight w:val="277"/>
        </w:trPr>
        <w:tc>
          <w:tcPr>
            <w:tcW w:w="3460" w:type="dxa"/>
            <w:vAlign w:val="bottom"/>
            <w:tcBorders>
              <w:bottom w:val="single" w:sz="8" w:color="E7417A"/>
            </w:tcBorders>
            <w:gridSpan w:val="2"/>
          </w:tcPr>
          <w:p>
            <w:pPr>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Lead Independent Director Fee</w:t>
            </w:r>
            <w:r>
              <w:rPr>
                <w:rFonts w:ascii="Arial" w:cs="Arial" w:eastAsia="Arial" w:hAnsi="Arial"/>
                <w:sz w:val="19"/>
                <w:szCs w:val="19"/>
                <w:color w:val="auto"/>
                <w:vertAlign w:val="superscript"/>
              </w:rPr>
              <w:t>(2)</w:t>
            </w:r>
          </w:p>
        </w:tc>
        <w:tc>
          <w:tcPr>
            <w:tcW w:w="5220" w:type="dxa"/>
            <w:vAlign w:val="bottom"/>
            <w:tcBorders>
              <w:bottom w:val="single" w:sz="8" w:color="E7417A"/>
            </w:tcBorders>
          </w:tcPr>
          <w:p>
            <w:pPr>
              <w:ind w:left="100"/>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$50,000</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r>
      <w:tr>
        <w:trPr>
          <w:trHeight w:val="250"/>
        </w:trPr>
        <w:tc>
          <w:tcPr>
            <w:tcW w:w="3460" w:type="dxa"/>
            <w:vAlign w:val="bottom"/>
            <w:tcBorders>
              <w:bottom w:val="single" w:sz="8" w:color="E7417A"/>
            </w:tcBorders>
            <w:gridSpan w:val="2"/>
          </w:tcPr>
          <w:p>
            <w:pPr>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Vice Chairman Fee</w:t>
            </w:r>
          </w:p>
        </w:tc>
        <w:tc>
          <w:tcPr>
            <w:tcW w:w="5220" w:type="dxa"/>
            <w:vAlign w:val="bottom"/>
            <w:tcBorders>
              <w:bottom w:val="single" w:sz="8" w:color="E7417A"/>
            </w:tcBorders>
          </w:tcPr>
          <w:p>
            <w:pPr>
              <w:ind w:left="10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$50,000</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r>
      <w:tr>
        <w:trPr>
          <w:trHeight w:val="277"/>
        </w:trPr>
        <w:tc>
          <w:tcPr>
            <w:tcW w:w="3460" w:type="dxa"/>
            <w:vAlign w:val="bottom"/>
            <w:tcBorders>
              <w:bottom w:val="single" w:sz="8" w:color="4C4C4C"/>
            </w:tcBorders>
            <w:gridSpan w:val="2"/>
            <w:shd w:val="clear" w:color="auto" w:fill="F2F2F2"/>
          </w:tcPr>
          <w:p>
            <w:pPr>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Committee Member Fees</w:t>
            </w:r>
            <w:r>
              <w:rPr>
                <w:rFonts w:ascii="Arial" w:cs="Arial" w:eastAsia="Arial" w:hAnsi="Arial"/>
                <w:sz w:val="19"/>
                <w:szCs w:val="19"/>
                <w:color w:val="auto"/>
                <w:vertAlign w:val="superscript"/>
              </w:rPr>
              <w:t>(2)</w:t>
            </w:r>
          </w:p>
        </w:tc>
        <w:tc>
          <w:tcPr>
            <w:tcW w:w="5220" w:type="dxa"/>
            <w:vAlign w:val="bottom"/>
            <w:tcBorders>
              <w:bottom w:val="single" w:sz="8" w:color="4C4C4C"/>
            </w:tcBorders>
            <w:shd w:val="clear" w:color="auto" w:fill="F2F2F2"/>
          </w:tcPr>
          <w:p>
            <w:pPr>
              <w:ind w:left="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C4C4C"/>
            </w:tcBorders>
            <w:shd w:val="clear" w:color="auto" w:fill="F2F2F2"/>
          </w:tcPr>
          <w:p>
            <w:pPr>
              <w:ind w:left="80"/>
              <w:spacing w:after="0"/>
              <w:rPr>
                <w:sz w:val="20"/>
                <w:szCs w:val="20"/>
                <w:color w:val="auto"/>
              </w:rPr>
            </w:pPr>
            <w:r>
              <w:rPr>
                <w:rFonts w:ascii="Arial" w:cs="Arial" w:eastAsia="Arial" w:hAnsi="Arial"/>
                <w:sz w:val="16"/>
                <w:szCs w:val="16"/>
                <w:color w:val="auto"/>
              </w:rPr>
              <w:t>​</w:t>
            </w:r>
          </w:p>
        </w:tc>
      </w:tr>
      <w:tr>
        <w:trPr>
          <w:trHeight w:val="263"/>
        </w:trPr>
        <w:tc>
          <w:tcPr>
            <w:tcW w:w="16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Audit Committee</w:t>
            </w:r>
          </w:p>
        </w:tc>
        <w:tc>
          <w:tcPr>
            <w:tcW w:w="5220" w:type="dxa"/>
            <w:vAlign w:val="bottom"/>
            <w:tcBorders>
              <w:bottom w:val="single" w:sz="8" w:color="E7417A"/>
            </w:tcBorders>
          </w:tcPr>
          <w:p>
            <w:pPr>
              <w:ind w:left="100"/>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$15,000</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r>
      <w:tr>
        <w:trPr>
          <w:trHeight w:val="250"/>
        </w:trPr>
        <w:tc>
          <w:tcPr>
            <w:tcW w:w="16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Compensation Committee</w:t>
            </w:r>
          </w:p>
        </w:tc>
        <w:tc>
          <w:tcPr>
            <w:tcW w:w="5220" w:type="dxa"/>
            <w:vAlign w:val="bottom"/>
            <w:tcBorders>
              <w:bottom w:val="single" w:sz="8" w:color="E7417A"/>
            </w:tcBorders>
          </w:tcPr>
          <w:p>
            <w:pPr>
              <w:ind w:left="10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$10,000</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r>
      <w:tr>
        <w:trPr>
          <w:trHeight w:val="19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300" w:type="dxa"/>
            <w:vAlign w:val="bottom"/>
          </w:tcPr>
          <w:p>
            <w:pPr>
              <w:ind w:left="120"/>
              <w:spacing w:after="0"/>
              <w:rPr>
                <w:sz w:val="20"/>
                <w:szCs w:val="20"/>
                <w:color w:val="auto"/>
              </w:rPr>
            </w:pPr>
            <w:r>
              <w:rPr>
                <w:rFonts w:ascii="Arial" w:cs="Arial" w:eastAsia="Arial" w:hAnsi="Arial"/>
                <w:sz w:val="16"/>
                <w:szCs w:val="16"/>
                <w:color w:val="auto"/>
              </w:rPr>
              <w:t>Nominating, Sustainability and Corporate</w:t>
            </w:r>
          </w:p>
        </w:tc>
        <w:tc>
          <w:tcPr>
            <w:tcW w:w="5220" w:type="dxa"/>
            <w:vAlign w:val="bottom"/>
          </w:tcPr>
          <w:p>
            <w:pPr>
              <w:ind w:left="100"/>
              <w:spacing w:after="0"/>
              <w:rPr>
                <w:sz w:val="20"/>
                <w:szCs w:val="20"/>
                <w:color w:val="auto"/>
              </w:rPr>
            </w:pPr>
            <w:r>
              <w:rPr>
                <w:rFonts w:ascii="Arial" w:cs="Arial" w:eastAsia="Arial" w:hAnsi="Arial"/>
                <w:sz w:val="16"/>
                <w:szCs w:val="16"/>
                <w:color w:val="auto"/>
              </w:rPr>
              <w:t>​​$5,000</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224"/>
        </w:trPr>
        <w:tc>
          <w:tcPr>
            <w:tcW w:w="160" w:type="dxa"/>
            <w:vAlign w:val="bottom"/>
            <w:tcBorders>
              <w:bottom w:val="single" w:sz="8" w:color="E7417A"/>
            </w:tcBorders>
          </w:tcPr>
          <w:p>
            <w:pPr>
              <w:spacing w:after="0"/>
              <w:rPr>
                <w:sz w:val="19"/>
                <w:szCs w:val="19"/>
                <w:color w:val="auto"/>
              </w:rPr>
            </w:pP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Governance Committee</w:t>
            </w:r>
          </w:p>
        </w:tc>
        <w:tc>
          <w:tcPr>
            <w:tcW w:w="5220" w:type="dxa"/>
            <w:vAlign w:val="bottom"/>
            <w:tcBorders>
              <w:bottom w:val="single" w:sz="8" w:color="E7417A"/>
            </w:tcBorders>
          </w:tcPr>
          <w:p>
            <w:pPr>
              <w:spacing w:after="0"/>
              <w:rPr>
                <w:sz w:val="19"/>
                <w:szCs w:val="19"/>
                <w:color w:val="auto"/>
              </w:rPr>
            </w:pPr>
          </w:p>
        </w:tc>
        <w:tc>
          <w:tcPr>
            <w:tcW w:w="180" w:type="dxa"/>
            <w:vAlign w:val="bottom"/>
            <w:tcBorders>
              <w:bottom w:val="single" w:sz="8" w:color="E7417A"/>
            </w:tcBorders>
          </w:tcPr>
          <w:p>
            <w:pPr>
              <w:spacing w:after="0"/>
              <w:rPr>
                <w:sz w:val="19"/>
                <w:szCs w:val="19"/>
                <w:color w:val="auto"/>
              </w:rPr>
            </w:pPr>
          </w:p>
        </w:tc>
      </w:tr>
      <w:tr>
        <w:trPr>
          <w:trHeight w:val="257"/>
        </w:trPr>
        <w:tc>
          <w:tcPr>
            <w:tcW w:w="16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Technology and Innovation Committee</w:t>
            </w:r>
          </w:p>
        </w:tc>
        <w:tc>
          <w:tcPr>
            <w:tcW w:w="5220" w:type="dxa"/>
            <w:vAlign w:val="bottom"/>
            <w:tcBorders>
              <w:bottom w:val="single" w:sz="8" w:color="E7417A"/>
            </w:tcBorders>
          </w:tcPr>
          <w:p>
            <w:pPr>
              <w:ind w:left="10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$5,000</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r>
      <w:tr>
        <w:trPr>
          <w:trHeight w:val="277"/>
        </w:trPr>
        <w:tc>
          <w:tcPr>
            <w:tcW w:w="3460" w:type="dxa"/>
            <w:vAlign w:val="bottom"/>
            <w:tcBorders>
              <w:bottom w:val="single" w:sz="8" w:color="4C4C4C"/>
            </w:tcBorders>
            <w:gridSpan w:val="2"/>
            <w:shd w:val="clear" w:color="auto" w:fill="F2F2F2"/>
          </w:tcPr>
          <w:p>
            <w:pPr>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Committee Chair Fees</w:t>
            </w:r>
            <w:r>
              <w:rPr>
                <w:rFonts w:ascii="Arial" w:cs="Arial" w:eastAsia="Arial" w:hAnsi="Arial"/>
                <w:sz w:val="19"/>
                <w:szCs w:val="19"/>
                <w:color w:val="auto"/>
                <w:vertAlign w:val="superscript"/>
              </w:rPr>
              <w:t>(2)</w:t>
            </w:r>
          </w:p>
        </w:tc>
        <w:tc>
          <w:tcPr>
            <w:tcW w:w="5220" w:type="dxa"/>
            <w:vAlign w:val="bottom"/>
            <w:tcBorders>
              <w:bottom w:val="single" w:sz="8" w:color="4C4C4C"/>
            </w:tcBorders>
            <w:shd w:val="clear" w:color="auto" w:fill="F2F2F2"/>
          </w:tcPr>
          <w:p>
            <w:pPr>
              <w:ind w:left="1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4C4C4C"/>
            </w:tcBorders>
            <w:shd w:val="clear" w:color="auto" w:fill="F2F2F2"/>
          </w:tcPr>
          <w:p>
            <w:pPr>
              <w:ind w:left="80"/>
              <w:spacing w:after="0"/>
              <w:rPr>
                <w:sz w:val="20"/>
                <w:szCs w:val="20"/>
                <w:color w:val="auto"/>
              </w:rPr>
            </w:pPr>
            <w:r>
              <w:rPr>
                <w:rFonts w:ascii="Arial" w:cs="Arial" w:eastAsia="Arial" w:hAnsi="Arial"/>
                <w:sz w:val="16"/>
                <w:szCs w:val="16"/>
                <w:color w:val="auto"/>
              </w:rPr>
              <w:t>​</w:t>
            </w:r>
          </w:p>
        </w:tc>
      </w:tr>
      <w:tr>
        <w:trPr>
          <w:trHeight w:val="263"/>
        </w:trPr>
        <w:tc>
          <w:tcPr>
            <w:tcW w:w="16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Audit Committee</w:t>
            </w:r>
          </w:p>
        </w:tc>
        <w:tc>
          <w:tcPr>
            <w:tcW w:w="5220" w:type="dxa"/>
            <w:vAlign w:val="bottom"/>
            <w:tcBorders>
              <w:bottom w:val="single" w:sz="8" w:color="E7417A"/>
            </w:tcBorders>
          </w:tcPr>
          <w:p>
            <w:pPr>
              <w:ind w:left="100"/>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$25,000</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r>
      <w:tr>
        <w:trPr>
          <w:trHeight w:val="250"/>
        </w:trPr>
        <w:tc>
          <w:tcPr>
            <w:tcW w:w="16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Compensation Committee</w:t>
            </w:r>
          </w:p>
        </w:tc>
        <w:tc>
          <w:tcPr>
            <w:tcW w:w="5220" w:type="dxa"/>
            <w:vAlign w:val="bottom"/>
            <w:tcBorders>
              <w:bottom w:val="single" w:sz="8" w:color="E7417A"/>
            </w:tcBorders>
          </w:tcPr>
          <w:p>
            <w:pPr>
              <w:ind w:left="100"/>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$17,000</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r>
      <w:tr>
        <w:trPr>
          <w:trHeight w:val="19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3300" w:type="dxa"/>
            <w:vAlign w:val="bottom"/>
          </w:tcPr>
          <w:p>
            <w:pPr>
              <w:ind w:left="120"/>
              <w:spacing w:after="0"/>
              <w:rPr>
                <w:sz w:val="20"/>
                <w:szCs w:val="20"/>
                <w:color w:val="auto"/>
              </w:rPr>
            </w:pPr>
            <w:r>
              <w:rPr>
                <w:rFonts w:ascii="Arial" w:cs="Arial" w:eastAsia="Arial" w:hAnsi="Arial"/>
                <w:sz w:val="16"/>
                <w:szCs w:val="16"/>
                <w:color w:val="auto"/>
              </w:rPr>
              <w:t>Nominating, Sustainability and Corporate</w:t>
            </w:r>
          </w:p>
        </w:tc>
        <w:tc>
          <w:tcPr>
            <w:tcW w:w="5220" w:type="dxa"/>
            <w:vAlign w:val="bottom"/>
          </w:tcPr>
          <w:p>
            <w:pPr>
              <w:ind w:left="100"/>
              <w:spacing w:after="0"/>
              <w:rPr>
                <w:sz w:val="20"/>
                <w:szCs w:val="20"/>
                <w:color w:val="auto"/>
              </w:rPr>
            </w:pPr>
            <w:r>
              <w:rPr>
                <w:rFonts w:ascii="Arial" w:cs="Arial" w:eastAsia="Arial" w:hAnsi="Arial"/>
                <w:sz w:val="16"/>
                <w:szCs w:val="16"/>
                <w:color w:val="auto"/>
              </w:rPr>
              <w:t>​​$10,000</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224"/>
        </w:trPr>
        <w:tc>
          <w:tcPr>
            <w:tcW w:w="160" w:type="dxa"/>
            <w:vAlign w:val="bottom"/>
            <w:tcBorders>
              <w:bottom w:val="single" w:sz="8" w:color="E7417A"/>
            </w:tcBorders>
          </w:tcPr>
          <w:p>
            <w:pPr>
              <w:spacing w:after="0"/>
              <w:rPr>
                <w:sz w:val="19"/>
                <w:szCs w:val="19"/>
                <w:color w:val="auto"/>
              </w:rPr>
            </w:pP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Governance Committee</w:t>
            </w:r>
          </w:p>
        </w:tc>
        <w:tc>
          <w:tcPr>
            <w:tcW w:w="5220" w:type="dxa"/>
            <w:vAlign w:val="bottom"/>
            <w:tcBorders>
              <w:bottom w:val="single" w:sz="8" w:color="E7417A"/>
            </w:tcBorders>
          </w:tcPr>
          <w:p>
            <w:pPr>
              <w:spacing w:after="0"/>
              <w:rPr>
                <w:sz w:val="19"/>
                <w:szCs w:val="19"/>
                <w:color w:val="auto"/>
              </w:rPr>
            </w:pPr>
          </w:p>
        </w:tc>
        <w:tc>
          <w:tcPr>
            <w:tcW w:w="180" w:type="dxa"/>
            <w:vAlign w:val="bottom"/>
            <w:tcBorders>
              <w:bottom w:val="single" w:sz="8" w:color="E7417A"/>
            </w:tcBorders>
          </w:tcPr>
          <w:p>
            <w:pPr>
              <w:spacing w:after="0"/>
              <w:rPr>
                <w:sz w:val="19"/>
                <w:szCs w:val="19"/>
                <w:color w:val="auto"/>
              </w:rPr>
            </w:pPr>
          </w:p>
        </w:tc>
      </w:tr>
      <w:tr>
        <w:trPr>
          <w:trHeight w:val="257"/>
        </w:trPr>
        <w:tc>
          <w:tcPr>
            <w:tcW w:w="16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300" w:type="dxa"/>
            <w:vAlign w:val="bottom"/>
            <w:tcBorders>
              <w:bottom w:val="single" w:sz="8" w:color="E7417A"/>
            </w:tcBorders>
          </w:tcPr>
          <w:p>
            <w:pPr>
              <w:ind w:left="120"/>
              <w:spacing w:after="0"/>
              <w:rPr>
                <w:sz w:val="20"/>
                <w:szCs w:val="20"/>
                <w:color w:val="auto"/>
              </w:rPr>
            </w:pPr>
            <w:r>
              <w:rPr>
                <w:rFonts w:ascii="Arial" w:cs="Arial" w:eastAsia="Arial" w:hAnsi="Arial"/>
                <w:sz w:val="16"/>
                <w:szCs w:val="16"/>
                <w:color w:val="auto"/>
              </w:rPr>
              <w:t>Technology and Innovation Committee</w:t>
            </w:r>
          </w:p>
        </w:tc>
        <w:tc>
          <w:tcPr>
            <w:tcW w:w="5220" w:type="dxa"/>
            <w:vAlign w:val="bottom"/>
            <w:tcBorders>
              <w:bottom w:val="single" w:sz="8" w:color="E7417A"/>
            </w:tcBorders>
          </w:tcPr>
          <w:p>
            <w:pPr>
              <w:ind w:left="10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$10,000</w:t>
            </w:r>
          </w:p>
        </w:tc>
        <w:tc>
          <w:tcPr>
            <w:tcW w:w="180" w:type="dxa"/>
            <w:vAlign w:val="bottom"/>
            <w:tcBorders>
              <w:bottom w:val="single" w:sz="8" w:color="E7417A"/>
            </w:tcBorders>
          </w:tcPr>
          <w:p>
            <w:pPr>
              <w:ind w:left="80"/>
              <w:spacing w:after="0"/>
              <w:rPr>
                <w:sz w:val="20"/>
                <w:szCs w:val="20"/>
                <w:color w:val="auto"/>
              </w:rPr>
            </w:pPr>
            <w:r>
              <w:rPr>
                <w:rFonts w:ascii="Arial" w:cs="Arial" w:eastAsia="Arial" w:hAnsi="Arial"/>
                <w:sz w:val="16"/>
                <w:szCs w:val="16"/>
                <w:color w:val="auto"/>
              </w:rPr>
              <w:t>​</w:t>
            </w:r>
          </w:p>
        </w:tc>
      </w:tr>
      <w:tr>
        <w:trPr>
          <w:trHeight w:val="195"/>
        </w:trPr>
        <w:tc>
          <w:tcPr>
            <w:tcW w:w="3460" w:type="dxa"/>
            <w:vAlign w:val="bottom"/>
            <w:gridSpan w:val="2"/>
          </w:tcPr>
          <w:p>
            <w:pPr>
              <w:spacing w:after="0"/>
              <w:rPr>
                <w:sz w:val="20"/>
                <w:szCs w:val="20"/>
                <w:color w:val="auto"/>
              </w:rPr>
            </w:pPr>
            <w:r>
              <w:rPr>
                <w:rFonts w:ascii="Arial" w:cs="Arial" w:eastAsia="Arial" w:hAnsi="Arial"/>
                <w:sz w:val="16"/>
                <w:szCs w:val="16"/>
                <w:color w:val="auto"/>
              </w:rPr>
              <w:t>​ New Director Retainer</w:t>
            </w:r>
          </w:p>
        </w:tc>
        <w:tc>
          <w:tcPr>
            <w:tcW w:w="5220" w:type="dxa"/>
            <w:vAlign w:val="bottom"/>
          </w:tcPr>
          <w:p>
            <w:pPr>
              <w:ind w:left="100"/>
              <w:spacing w:after="0"/>
              <w:rPr>
                <w:sz w:val="20"/>
                <w:szCs w:val="20"/>
                <w:color w:val="auto"/>
              </w:rPr>
            </w:pPr>
            <w:r>
              <w:rPr>
                <w:rFonts w:ascii="Arial" w:cs="Arial" w:eastAsia="Arial" w:hAnsi="Arial"/>
                <w:sz w:val="16"/>
                <w:szCs w:val="16"/>
                <w:color w:val="auto"/>
              </w:rPr>
              <w:t>​​New non-employee directors will receive a pro rata annual equity</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189"/>
        </w:trPr>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220" w:type="dxa"/>
            <w:vAlign w:val="bottom"/>
          </w:tcPr>
          <w:p>
            <w:pPr>
              <w:ind w:left="220"/>
              <w:spacing w:after="0"/>
              <w:rPr>
                <w:sz w:val="20"/>
                <w:szCs w:val="20"/>
                <w:color w:val="auto"/>
              </w:rPr>
            </w:pPr>
            <w:r>
              <w:rPr>
                <w:rFonts w:ascii="Arial" w:cs="Arial" w:eastAsia="Arial" w:hAnsi="Arial"/>
                <w:sz w:val="16"/>
                <w:szCs w:val="16"/>
                <w:color w:val="auto"/>
              </w:rPr>
              <w:t>award of RSUs, with the proration based on the number of months</w:t>
            </w:r>
          </w:p>
        </w:tc>
        <w:tc>
          <w:tcPr>
            <w:tcW w:w="180" w:type="dxa"/>
            <w:vAlign w:val="bottom"/>
          </w:tcPr>
          <w:p>
            <w:pPr>
              <w:spacing w:after="0"/>
              <w:rPr>
                <w:sz w:val="16"/>
                <w:szCs w:val="16"/>
                <w:color w:val="auto"/>
              </w:rPr>
            </w:pPr>
          </w:p>
        </w:tc>
      </w:tr>
      <w:tr>
        <w:trPr>
          <w:trHeight w:val="189"/>
        </w:trPr>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220" w:type="dxa"/>
            <w:vAlign w:val="bottom"/>
          </w:tcPr>
          <w:p>
            <w:pPr>
              <w:ind w:left="220"/>
              <w:spacing w:after="0"/>
              <w:rPr>
                <w:sz w:val="20"/>
                <w:szCs w:val="20"/>
                <w:color w:val="auto"/>
              </w:rPr>
            </w:pPr>
            <w:r>
              <w:rPr>
                <w:rFonts w:ascii="Arial" w:cs="Arial" w:eastAsia="Arial" w:hAnsi="Arial"/>
                <w:sz w:val="16"/>
                <w:szCs w:val="16"/>
                <w:color w:val="auto"/>
              </w:rPr>
              <w:t>of service until the month of the Company’s next annual</w:t>
            </w:r>
          </w:p>
        </w:tc>
        <w:tc>
          <w:tcPr>
            <w:tcW w:w="180" w:type="dxa"/>
            <w:vAlign w:val="bottom"/>
          </w:tcPr>
          <w:p>
            <w:pPr>
              <w:spacing w:after="0"/>
              <w:rPr>
                <w:sz w:val="16"/>
                <w:szCs w:val="16"/>
                <w:color w:val="auto"/>
              </w:rPr>
            </w:pPr>
          </w:p>
        </w:tc>
      </w:tr>
      <w:tr>
        <w:trPr>
          <w:trHeight w:val="224"/>
        </w:trPr>
        <w:tc>
          <w:tcPr>
            <w:tcW w:w="160" w:type="dxa"/>
            <w:vAlign w:val="bottom"/>
            <w:tcBorders>
              <w:bottom w:val="single" w:sz="8" w:color="E7417A"/>
            </w:tcBorders>
          </w:tcPr>
          <w:p>
            <w:pPr>
              <w:spacing w:after="0"/>
              <w:rPr>
                <w:sz w:val="19"/>
                <w:szCs w:val="19"/>
                <w:color w:val="auto"/>
              </w:rPr>
            </w:pPr>
          </w:p>
        </w:tc>
        <w:tc>
          <w:tcPr>
            <w:tcW w:w="3300" w:type="dxa"/>
            <w:vAlign w:val="bottom"/>
            <w:tcBorders>
              <w:bottom w:val="single" w:sz="8" w:color="E7417A"/>
            </w:tcBorders>
          </w:tcPr>
          <w:p>
            <w:pPr>
              <w:spacing w:after="0"/>
              <w:rPr>
                <w:sz w:val="19"/>
                <w:szCs w:val="19"/>
                <w:color w:val="auto"/>
              </w:rPr>
            </w:pPr>
          </w:p>
        </w:tc>
        <w:tc>
          <w:tcPr>
            <w:tcW w:w="5220" w:type="dxa"/>
            <w:vAlign w:val="bottom"/>
            <w:tcBorders>
              <w:bottom w:val="single" w:sz="8" w:color="E7417A"/>
            </w:tcBorders>
          </w:tcPr>
          <w:p>
            <w:pPr>
              <w:ind w:left="220"/>
              <w:spacing w:after="0"/>
              <w:rPr>
                <w:sz w:val="20"/>
                <w:szCs w:val="20"/>
                <w:color w:val="auto"/>
              </w:rPr>
            </w:pPr>
            <w:r>
              <w:rPr>
                <w:rFonts w:ascii="Arial" w:cs="Arial" w:eastAsia="Arial" w:hAnsi="Arial"/>
                <w:sz w:val="16"/>
                <w:szCs w:val="16"/>
                <w:color w:val="auto"/>
              </w:rPr>
              <w:t>stockholders meeting</w:t>
            </w:r>
          </w:p>
        </w:tc>
        <w:tc>
          <w:tcPr>
            <w:tcW w:w="180" w:type="dxa"/>
            <w:vAlign w:val="bottom"/>
            <w:tcBorders>
              <w:bottom w:val="single" w:sz="8" w:color="E7417A"/>
            </w:tcBorders>
          </w:tcPr>
          <w:p>
            <w:pPr>
              <w:spacing w:after="0"/>
              <w:rPr>
                <w:sz w:val="19"/>
                <w:szCs w:val="19"/>
                <w:color w:val="auto"/>
              </w:rPr>
            </w:pPr>
          </w:p>
        </w:tc>
      </w:tr>
      <w:tr>
        <w:trPr>
          <w:trHeight w:val="202"/>
        </w:trPr>
        <w:tc>
          <w:tcPr>
            <w:tcW w:w="3460" w:type="dxa"/>
            <w:vAlign w:val="bottom"/>
            <w:gridSpan w:val="2"/>
          </w:tcPr>
          <w:p>
            <w:pPr>
              <w:spacing w:after="0"/>
              <w:rPr>
                <w:sz w:val="20"/>
                <w:szCs w:val="20"/>
                <w:color w:val="auto"/>
              </w:rPr>
            </w:pPr>
            <w:r>
              <w:rPr>
                <w:rFonts w:ascii="Arial" w:cs="Arial" w:eastAsia="Arial" w:hAnsi="Arial"/>
                <w:sz w:val="16"/>
                <w:szCs w:val="16"/>
                <w:color w:val="auto"/>
              </w:rPr>
              <w:t>​ Stock Ownership Guidelines</w:t>
            </w:r>
          </w:p>
        </w:tc>
        <w:tc>
          <w:tcPr>
            <w:tcW w:w="5220" w:type="dxa"/>
            <w:vAlign w:val="bottom"/>
          </w:tcPr>
          <w:p>
            <w:pPr>
              <w:ind w:left="100"/>
              <w:spacing w:after="0"/>
              <w:rPr>
                <w:sz w:val="20"/>
                <w:szCs w:val="20"/>
                <w:color w:val="auto"/>
              </w:rPr>
            </w:pPr>
            <w:r>
              <w:rPr>
                <w:rFonts w:ascii="Arial" w:cs="Arial" w:eastAsia="Arial" w:hAnsi="Arial"/>
                <w:sz w:val="16"/>
                <w:szCs w:val="16"/>
                <w:color w:val="auto"/>
              </w:rPr>
              <w:t>​​Directors are expected to hold shares of the Company’s common</w:t>
            </w:r>
          </w:p>
        </w:tc>
        <w:tc>
          <w:tcPr>
            <w:tcW w:w="18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189"/>
        </w:trPr>
        <w:tc>
          <w:tcPr>
            <w:tcW w:w="1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5220" w:type="dxa"/>
            <w:vAlign w:val="bottom"/>
          </w:tcPr>
          <w:p>
            <w:pPr>
              <w:ind w:left="220"/>
              <w:spacing w:after="0"/>
              <w:rPr>
                <w:sz w:val="20"/>
                <w:szCs w:val="20"/>
                <w:color w:val="auto"/>
              </w:rPr>
            </w:pPr>
            <w:r>
              <w:rPr>
                <w:rFonts w:ascii="Arial" w:cs="Arial" w:eastAsia="Arial" w:hAnsi="Arial"/>
                <w:sz w:val="16"/>
                <w:szCs w:val="16"/>
                <w:color w:val="auto"/>
              </w:rPr>
              <w:t>stock in an amount equal to five times the annual cash retainer</w:t>
            </w:r>
          </w:p>
        </w:tc>
        <w:tc>
          <w:tcPr>
            <w:tcW w:w="180" w:type="dxa"/>
            <w:vAlign w:val="bottom"/>
          </w:tcPr>
          <w:p>
            <w:pPr>
              <w:spacing w:after="0"/>
              <w:rPr>
                <w:sz w:val="16"/>
                <w:szCs w:val="16"/>
                <w:color w:val="auto"/>
              </w:rPr>
            </w:pPr>
          </w:p>
        </w:tc>
      </w:tr>
      <w:tr>
        <w:trPr>
          <w:trHeight w:val="224"/>
        </w:trPr>
        <w:tc>
          <w:tcPr>
            <w:tcW w:w="160" w:type="dxa"/>
            <w:vAlign w:val="bottom"/>
            <w:tcBorders>
              <w:bottom w:val="single" w:sz="8" w:color="62259D"/>
            </w:tcBorders>
          </w:tcPr>
          <w:p>
            <w:pPr>
              <w:spacing w:after="0"/>
              <w:rPr>
                <w:sz w:val="19"/>
                <w:szCs w:val="19"/>
                <w:color w:val="auto"/>
              </w:rPr>
            </w:pPr>
          </w:p>
        </w:tc>
        <w:tc>
          <w:tcPr>
            <w:tcW w:w="3300" w:type="dxa"/>
            <w:vAlign w:val="bottom"/>
            <w:tcBorders>
              <w:bottom w:val="single" w:sz="8" w:color="62259D"/>
            </w:tcBorders>
          </w:tcPr>
          <w:p>
            <w:pPr>
              <w:spacing w:after="0"/>
              <w:rPr>
                <w:sz w:val="19"/>
                <w:szCs w:val="19"/>
                <w:color w:val="auto"/>
              </w:rPr>
            </w:pPr>
          </w:p>
        </w:tc>
        <w:tc>
          <w:tcPr>
            <w:tcW w:w="5220" w:type="dxa"/>
            <w:vAlign w:val="bottom"/>
            <w:tcBorders>
              <w:bottom w:val="single" w:sz="8" w:color="62259D"/>
            </w:tcBorders>
          </w:tcPr>
          <w:p>
            <w:pPr>
              <w:ind w:left="220"/>
              <w:spacing w:after="0"/>
              <w:rPr>
                <w:sz w:val="20"/>
                <w:szCs w:val="20"/>
                <w:color w:val="auto"/>
              </w:rPr>
            </w:pPr>
            <w:r>
              <w:rPr>
                <w:rFonts w:ascii="Arial" w:cs="Arial" w:eastAsia="Arial" w:hAnsi="Arial"/>
                <w:sz w:val="16"/>
                <w:szCs w:val="16"/>
                <w:color w:val="auto"/>
              </w:rPr>
              <w:t>amount.</w:t>
            </w:r>
          </w:p>
        </w:tc>
        <w:tc>
          <w:tcPr>
            <w:tcW w:w="180" w:type="dxa"/>
            <w:vAlign w:val="bottom"/>
            <w:tcBorders>
              <w:bottom w:val="single" w:sz="8" w:color="62259D"/>
            </w:tcBorders>
          </w:tcPr>
          <w:p>
            <w:pPr>
              <w:spacing w:after="0"/>
              <w:rPr>
                <w:sz w:val="19"/>
                <w:szCs w:val="19"/>
                <w:color w:val="auto"/>
              </w:rPr>
            </w:pPr>
          </w:p>
        </w:tc>
      </w:tr>
    </w:tbl>
    <w:p>
      <w:pPr>
        <w:spacing w:after="0" w:line="175" w:lineRule="exact"/>
        <w:rPr>
          <w:sz w:val="20"/>
          <w:szCs w:val="20"/>
          <w:color w:val="auto"/>
        </w:rPr>
      </w:pPr>
    </w:p>
    <w:p>
      <w:pPr>
        <w:ind w:left="1400" w:right="159" w:hanging="368"/>
        <w:spacing w:after="0" w:line="266" w:lineRule="auto"/>
        <w:tabs>
          <w:tab w:leader="none" w:pos="14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Mr. Smith is not entitled to annual director equity grants. In lieu of such grants, Mr. Smith is entitled to an annual cash retainer of $160,000. As described below, Mr. Smith waived receipt of this cash retainer effective April 1, 2020. Any compensation paid to Mr. Smith will be paid directly to Heritage PE (OEP) III L.P. (“</w:t>
      </w:r>
      <w:r>
        <w:rPr>
          <w:rFonts w:ascii="Arial" w:cs="Arial" w:eastAsia="Arial" w:hAnsi="Arial"/>
          <w:sz w:val="16"/>
          <w:szCs w:val="16"/>
          <w:i w:val="1"/>
          <w:iCs w:val="1"/>
          <w:color w:val="auto"/>
        </w:rPr>
        <w:t>Heritage III</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1400" w:right="719" w:hanging="368"/>
        <w:spacing w:after="0" w:line="286" w:lineRule="auto"/>
        <w:tabs>
          <w:tab w:leader="none" w:pos="14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Compensation for service as the Chairman of the Board, Vice Chairman, Lead Independent Director or a Committee Chair is in addition to the compensation paid for Board and committee member service.</w:t>
      </w:r>
    </w:p>
    <w:p>
      <w:pPr>
        <w:spacing w:after="0" w:line="70" w:lineRule="exact"/>
        <w:rPr>
          <w:sz w:val="20"/>
          <w:szCs w:val="20"/>
          <w:color w:val="auto"/>
        </w:rPr>
      </w:pPr>
    </w:p>
    <w:p>
      <w:pPr>
        <w:ind w:left="920" w:right="119"/>
        <w:spacing w:after="0" w:line="253" w:lineRule="auto"/>
        <w:rPr>
          <w:sz w:val="20"/>
          <w:szCs w:val="20"/>
          <w:color w:val="auto"/>
        </w:rPr>
      </w:pPr>
      <w:r>
        <w:rPr>
          <w:rFonts w:ascii="Arial" w:cs="Arial" w:eastAsia="Arial" w:hAnsi="Arial"/>
          <w:sz w:val="18"/>
          <w:szCs w:val="18"/>
          <w:color w:val="auto"/>
        </w:rPr>
        <w:t>Since joining the Board of Directors in June of 2020, Mr. Shani waived the cash fees he earned in connection with his service as Chairman of the Board in order to help the Company further enhance its cash position annually. Notwithstanding his waiver of receipt of the cash fees, Mr. Shani has continued to be actively involved in assisting the Board and the CEO in connection with numerous strategic activities the Company has undertaken over the past several years. These critical activities required Mr. Shani to devote significant time to the Company outside of the time associated with the Board’s regular meetings. In recognition of these activities, in September 2025, the Compensation Committee approved a special, one-time equity grant in the amount of $685,000 to Mr. Shani. The amount of the special grant is equal to the amount of the cash fees Mr. Shani earned and was previously entitled to but voluntarily waived. This equity grant was structured as a RSU award with cliff vesting after one-year, subject to Mr. Shani’s continued service on the Board of Directors. Pursuant to the terms of the Company’s 2025 Incentive Award Plan, Mr. Shani did not participate in the approval of the grant for this extraordinary award.</w:t>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28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Total Director Compensation for 2025</w:t>
      </w:r>
    </w:p>
    <w:p>
      <w:pPr>
        <w:spacing w:after="0" w:line="152" w:lineRule="exact"/>
        <w:rPr>
          <w:sz w:val="20"/>
          <w:szCs w:val="20"/>
          <w:color w:val="auto"/>
        </w:rPr>
      </w:pPr>
    </w:p>
    <w:p>
      <w:pPr>
        <w:ind w:left="920" w:right="139"/>
        <w:spacing w:after="0" w:line="262" w:lineRule="auto"/>
        <w:rPr>
          <w:sz w:val="20"/>
          <w:szCs w:val="20"/>
          <w:color w:val="auto"/>
        </w:rPr>
      </w:pPr>
      <w:r>
        <w:rPr>
          <w:rFonts w:ascii="Arial" w:cs="Arial" w:eastAsia="Arial" w:hAnsi="Arial"/>
          <w:sz w:val="18"/>
          <w:szCs w:val="18"/>
          <w:color w:val="auto"/>
        </w:rPr>
        <w:t>The following table contains information on compensation earned by each non-employee director during 2025. Mr. McClelland, our President and Chief Executive Officer, is not included in the tables below because he did not receive any additional compensation for his service as a director in 2025. Mr. Silver did not join the Board of Directors until April 2026 and therefore is not included in the tables below.</w:t>
      </w:r>
    </w:p>
    <w:p>
      <w:pPr>
        <w:spacing w:after="0" w:line="95" w:lineRule="exact"/>
        <w:rPr>
          <w:sz w:val="20"/>
          <w:szCs w:val="20"/>
          <w:color w:val="auto"/>
        </w:rPr>
      </w:pPr>
    </w:p>
    <w:p>
      <w:pPr>
        <w:ind w:left="920" w:right="119"/>
        <w:spacing w:after="0" w:line="254" w:lineRule="auto"/>
        <w:rPr>
          <w:sz w:val="20"/>
          <w:szCs w:val="20"/>
          <w:color w:val="auto"/>
        </w:rPr>
      </w:pPr>
      <w:r>
        <w:rPr>
          <w:rFonts w:ascii="Arial" w:cs="Arial" w:eastAsia="Arial" w:hAnsi="Arial"/>
          <w:sz w:val="18"/>
          <w:szCs w:val="18"/>
          <w:color w:val="auto"/>
        </w:rPr>
        <w:t>We typically use the closing price of the Company’s common stock on the last trading day prior to an award issuance to directors to calculate the number of shares subject to an annual equity awards issued to a non -employee director as part of the annual retainer. However, in 2025, given declines in the Company’s stock price from the beginning of the year until the date the Compensation Committee approved the grant of the annual awards, the Compensation Committee determined that the price used to determine the number of shares underlying such annual awards should be determined using the greater of the closing price on the trading date immediately prior to the issuance date and $4.00 per share. The closing price on the date prior to issuance was $3.74 per share and, as a result, the $4.00 per share price was used to determine the number of shares subject to the annual RSU awards. Therefore, the grant date fair value for the annual awards was less than the $170,000 provided for in the Director Compensation Policy.</w:t>
      </w:r>
    </w:p>
    <w:p>
      <w:pPr>
        <w:spacing w:after="0" w:line="161" w:lineRule="exact"/>
        <w:rPr>
          <w:sz w:val="20"/>
          <w:szCs w:val="20"/>
          <w:color w:val="auto"/>
        </w:rPr>
      </w:pPr>
    </w:p>
    <w:tbl>
      <w:tblPr>
        <w:tblLayout w:type="fixed"/>
        <w:tblInd w:w="920" w:type="dxa"/>
        <w:tblCellMar>
          <w:top w:w="0" w:type="dxa"/>
          <w:left w:w="0" w:type="dxa"/>
          <w:bottom w:w="0" w:type="dxa"/>
          <w:right w:w="0" w:type="dxa"/>
        </w:tblCellMar>
      </w:tblPr>
      <w:tr>
        <w:trPr>
          <w:trHeight w:val="218"/>
        </w:trPr>
        <w:tc>
          <w:tcPr>
            <w:tcW w:w="60" w:type="dxa"/>
            <w:vAlign w:val="bottom"/>
            <w:shd w:val="clear" w:color="auto" w:fill="62259D"/>
          </w:tcPr>
          <w:p>
            <w:pPr>
              <w:spacing w:after="0"/>
              <w:rPr>
                <w:sz w:val="18"/>
                <w:szCs w:val="18"/>
                <w:color w:val="auto"/>
              </w:rPr>
            </w:pPr>
          </w:p>
        </w:tc>
        <w:tc>
          <w:tcPr>
            <w:tcW w:w="2160" w:type="dxa"/>
            <w:vAlign w:val="bottom"/>
            <w:shd w:val="clear" w:color="auto" w:fill="62259D"/>
          </w:tcPr>
          <w:p>
            <w:pPr>
              <w:spacing w:after="0"/>
              <w:rPr>
                <w:sz w:val="18"/>
                <w:szCs w:val="18"/>
                <w:color w:val="auto"/>
              </w:rPr>
            </w:pPr>
          </w:p>
        </w:tc>
        <w:tc>
          <w:tcPr>
            <w:tcW w:w="760" w:type="dxa"/>
            <w:vAlign w:val="bottom"/>
            <w:shd w:val="clear" w:color="auto" w:fill="62259D"/>
          </w:tcPr>
          <w:p>
            <w:pPr>
              <w:spacing w:after="0"/>
              <w:rPr>
                <w:sz w:val="18"/>
                <w:szCs w:val="18"/>
                <w:color w:val="auto"/>
              </w:rPr>
            </w:pPr>
          </w:p>
        </w:tc>
        <w:tc>
          <w:tcPr>
            <w:tcW w:w="200" w:type="dxa"/>
            <w:vAlign w:val="bottom"/>
            <w:shd w:val="clear" w:color="auto" w:fill="62259D"/>
          </w:tcPr>
          <w:p>
            <w:pPr>
              <w:spacing w:after="0"/>
              <w:rPr>
                <w:sz w:val="18"/>
                <w:szCs w:val="18"/>
                <w:color w:val="auto"/>
              </w:rPr>
            </w:pPr>
          </w:p>
        </w:tc>
        <w:tc>
          <w:tcPr>
            <w:tcW w:w="2560" w:type="dxa"/>
            <w:vAlign w:val="bottom"/>
            <w:gridSpan w:val="4"/>
            <w:shd w:val="clear" w:color="auto" w:fill="62259D"/>
          </w:tcPr>
          <w:p>
            <w:pPr>
              <w:ind w:left="20"/>
              <w:spacing w:after="0"/>
              <w:rPr>
                <w:sz w:val="20"/>
                <w:szCs w:val="20"/>
                <w:color w:val="auto"/>
              </w:rPr>
            </w:pPr>
            <w:r>
              <w:rPr>
                <w:rFonts w:ascii="Arial" w:cs="Arial" w:eastAsia="Arial" w:hAnsi="Arial"/>
                <w:sz w:val="16"/>
                <w:szCs w:val="16"/>
                <w:b w:val="1"/>
                <w:bCs w:val="1"/>
                <w:color w:val="FEFEFE"/>
              </w:rPr>
              <w:t>Fees Earned or Paid in Cash</w:t>
            </w:r>
          </w:p>
        </w:tc>
        <w:tc>
          <w:tcPr>
            <w:tcW w:w="320" w:type="dxa"/>
            <w:vAlign w:val="bottom"/>
            <w:shd w:val="clear" w:color="auto" w:fill="62259D"/>
          </w:tcPr>
          <w:p>
            <w:pPr>
              <w:spacing w:after="0"/>
              <w:rPr>
                <w:sz w:val="18"/>
                <w:szCs w:val="18"/>
                <w:color w:val="auto"/>
              </w:rPr>
            </w:pPr>
          </w:p>
        </w:tc>
        <w:tc>
          <w:tcPr>
            <w:tcW w:w="134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Stock Awards</w:t>
            </w:r>
            <w:r>
              <w:rPr>
                <w:rFonts w:ascii="Arial" w:cs="Arial" w:eastAsia="Arial" w:hAnsi="Arial"/>
                <w:sz w:val="19"/>
                <w:szCs w:val="19"/>
                <w:b w:val="1"/>
                <w:bCs w:val="1"/>
                <w:color w:val="FEFEFE"/>
                <w:vertAlign w:val="superscript"/>
              </w:rPr>
              <w:t>(1)</w:t>
            </w:r>
          </w:p>
        </w:tc>
        <w:tc>
          <w:tcPr>
            <w:tcW w:w="220" w:type="dxa"/>
            <w:vAlign w:val="bottom"/>
            <w:shd w:val="clear" w:color="auto" w:fill="62259D"/>
          </w:tcPr>
          <w:p>
            <w:pPr>
              <w:spacing w:after="0"/>
              <w:rPr>
                <w:sz w:val="18"/>
                <w:szCs w:val="18"/>
                <w:color w:val="auto"/>
              </w:rPr>
            </w:pPr>
          </w:p>
        </w:tc>
        <w:tc>
          <w:tcPr>
            <w:tcW w:w="100" w:type="dxa"/>
            <w:vAlign w:val="bottom"/>
            <w:shd w:val="clear" w:color="auto" w:fill="62259D"/>
          </w:tcPr>
          <w:p>
            <w:pPr>
              <w:spacing w:after="0"/>
              <w:rPr>
                <w:sz w:val="18"/>
                <w:szCs w:val="18"/>
                <w:color w:val="auto"/>
              </w:rPr>
            </w:pPr>
          </w:p>
        </w:tc>
        <w:tc>
          <w:tcPr>
            <w:tcW w:w="100" w:type="dxa"/>
            <w:vAlign w:val="bottom"/>
            <w:shd w:val="clear" w:color="auto" w:fill="62259D"/>
          </w:tcPr>
          <w:p>
            <w:pPr>
              <w:spacing w:after="0"/>
              <w:rPr>
                <w:sz w:val="18"/>
                <w:szCs w:val="18"/>
                <w:color w:val="auto"/>
              </w:rPr>
            </w:pPr>
          </w:p>
        </w:tc>
        <w:tc>
          <w:tcPr>
            <w:tcW w:w="640" w:type="dxa"/>
            <w:vAlign w:val="bottom"/>
            <w:gridSpan w:val="2"/>
            <w:shd w:val="clear" w:color="auto" w:fill="62259D"/>
          </w:tcPr>
          <w:p>
            <w:pPr>
              <w:ind w:left="40"/>
              <w:spacing w:after="0"/>
              <w:rPr>
                <w:sz w:val="20"/>
                <w:szCs w:val="20"/>
                <w:color w:val="auto"/>
              </w:rPr>
            </w:pPr>
            <w:r>
              <w:rPr>
                <w:rFonts w:ascii="Arial" w:cs="Arial" w:eastAsia="Arial" w:hAnsi="Arial"/>
                <w:sz w:val="16"/>
                <w:szCs w:val="16"/>
                <w:b w:val="1"/>
                <w:bCs w:val="1"/>
                <w:color w:val="FEFEFE"/>
              </w:rPr>
              <w:t>Total</w:t>
            </w:r>
            <w:r>
              <w:rPr>
                <w:rFonts w:ascii="Arial" w:cs="Arial" w:eastAsia="Arial" w:hAnsi="Arial"/>
                <w:sz w:val="19"/>
                <w:szCs w:val="19"/>
                <w:b w:val="1"/>
                <w:bCs w:val="1"/>
                <w:color w:val="FEFEFE"/>
                <w:vertAlign w:val="superscript"/>
              </w:rPr>
              <w:t>(2)</w:t>
            </w:r>
          </w:p>
        </w:tc>
        <w:tc>
          <w:tcPr>
            <w:tcW w:w="400" w:type="dxa"/>
            <w:vAlign w:val="bottom"/>
            <w:shd w:val="clear" w:color="auto" w:fill="62259D"/>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62259D"/>
          </w:tcPr>
          <w:p>
            <w:pPr>
              <w:spacing w:after="0"/>
              <w:rPr>
                <w:sz w:val="20"/>
                <w:szCs w:val="20"/>
                <w:color w:val="auto"/>
              </w:rPr>
            </w:pPr>
          </w:p>
        </w:tc>
        <w:tc>
          <w:tcPr>
            <w:tcW w:w="216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​Director</w:t>
            </w:r>
          </w:p>
        </w:tc>
        <w:tc>
          <w:tcPr>
            <w:tcW w:w="760" w:type="dxa"/>
            <w:vAlign w:val="bottom"/>
            <w:shd w:val="clear" w:color="auto" w:fill="62259D"/>
          </w:tcPr>
          <w:p>
            <w:pPr>
              <w:ind w:left="680"/>
              <w:spacing w:after="0"/>
              <w:rPr>
                <w:sz w:val="20"/>
                <w:szCs w:val="20"/>
                <w:color w:val="auto"/>
              </w:rPr>
            </w:pPr>
            <w:r>
              <w:rPr>
                <w:rFonts w:ascii="Arial" w:cs="Arial" w:eastAsia="Arial" w:hAnsi="Arial"/>
                <w:sz w:val="16"/>
                <w:szCs w:val="16"/>
                <w:b w:val="1"/>
                <w:bCs w:val="1"/>
                <w:color w:val="FEFEFE"/>
              </w:rPr>
              <w:t>​</w:t>
            </w:r>
          </w:p>
        </w:tc>
        <w:tc>
          <w:tcPr>
            <w:tcW w:w="200" w:type="dxa"/>
            <w:vAlign w:val="bottom"/>
            <w:shd w:val="clear" w:color="auto" w:fill="62259D"/>
          </w:tcPr>
          <w:p>
            <w:pPr>
              <w:ind w:left="120"/>
              <w:spacing w:after="0"/>
              <w:rPr>
                <w:sz w:val="20"/>
                <w:szCs w:val="20"/>
                <w:color w:val="auto"/>
              </w:rPr>
            </w:pPr>
            <w:r>
              <w:rPr>
                <w:rFonts w:ascii="Arial" w:cs="Arial" w:eastAsia="Arial" w:hAnsi="Arial"/>
                <w:sz w:val="16"/>
                <w:szCs w:val="16"/>
                <w:b w:val="1"/>
                <w:bCs w:val="1"/>
                <w:color w:val="FEFEFE"/>
              </w:rPr>
              <w:t>​</w:t>
            </w:r>
          </w:p>
        </w:tc>
        <w:tc>
          <w:tcPr>
            <w:tcW w:w="920" w:type="dxa"/>
            <w:vAlign w:val="bottom"/>
            <w:shd w:val="clear" w:color="auto" w:fill="62259D"/>
          </w:tcPr>
          <w:p>
            <w:pPr>
              <w:spacing w:after="0"/>
              <w:rPr>
                <w:sz w:val="20"/>
                <w:szCs w:val="20"/>
                <w:color w:val="auto"/>
              </w:rPr>
            </w:pPr>
          </w:p>
        </w:tc>
        <w:tc>
          <w:tcPr>
            <w:tcW w:w="100" w:type="dxa"/>
            <w:vAlign w:val="bottom"/>
            <w:shd w:val="clear" w:color="auto" w:fill="62259D"/>
          </w:tcPr>
          <w:p>
            <w:pPr>
              <w:spacing w:after="0"/>
              <w:rPr>
                <w:sz w:val="20"/>
                <w:szCs w:val="20"/>
                <w:color w:val="auto"/>
              </w:rPr>
            </w:pPr>
          </w:p>
        </w:tc>
        <w:tc>
          <w:tcPr>
            <w:tcW w:w="1020" w:type="dxa"/>
            <w:vAlign w:val="bottom"/>
            <w:shd w:val="clear" w:color="auto" w:fill="62259D"/>
          </w:tcPr>
          <w:p>
            <w:pPr>
              <w:jc w:val="right"/>
              <w:ind w:right="599"/>
              <w:spacing w:after="0"/>
              <w:rPr>
                <w:sz w:val="20"/>
                <w:szCs w:val="20"/>
                <w:color w:val="auto"/>
              </w:rPr>
            </w:pPr>
            <w:r>
              <w:rPr>
                <w:rFonts w:ascii="Arial" w:cs="Arial" w:eastAsia="Arial" w:hAnsi="Arial"/>
                <w:sz w:val="16"/>
                <w:szCs w:val="16"/>
                <w:b w:val="1"/>
                <w:bCs w:val="1"/>
                <w:color w:val="FEFEFE"/>
              </w:rPr>
              <w:t>($)</w:t>
            </w:r>
          </w:p>
        </w:tc>
        <w:tc>
          <w:tcPr>
            <w:tcW w:w="520" w:type="dxa"/>
            <w:vAlign w:val="bottom"/>
            <w:shd w:val="clear" w:color="auto" w:fill="62259D"/>
          </w:tcPr>
          <w:p>
            <w:pPr>
              <w:spacing w:after="0"/>
              <w:rPr>
                <w:sz w:val="20"/>
                <w:szCs w:val="20"/>
                <w:color w:val="auto"/>
              </w:rPr>
            </w:pPr>
          </w:p>
        </w:tc>
        <w:tc>
          <w:tcPr>
            <w:tcW w:w="32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  ​</w:t>
            </w:r>
          </w:p>
        </w:tc>
        <w:tc>
          <w:tcPr>
            <w:tcW w:w="500" w:type="dxa"/>
            <w:vAlign w:val="bottom"/>
            <w:shd w:val="clear" w:color="auto" w:fill="62259D"/>
          </w:tcPr>
          <w:p>
            <w:pPr>
              <w:spacing w:after="0"/>
              <w:rPr>
                <w:sz w:val="20"/>
                <w:szCs w:val="20"/>
                <w:color w:val="auto"/>
              </w:rPr>
            </w:pPr>
          </w:p>
        </w:tc>
        <w:tc>
          <w:tcPr>
            <w:tcW w:w="840" w:type="dxa"/>
            <w:vAlign w:val="bottom"/>
            <w:shd w:val="clear" w:color="auto" w:fill="62259D"/>
          </w:tcPr>
          <w:p>
            <w:pPr>
              <w:jc w:val="right"/>
              <w:ind w:right="459"/>
              <w:spacing w:after="0"/>
              <w:rPr>
                <w:sz w:val="20"/>
                <w:szCs w:val="20"/>
                <w:color w:val="auto"/>
              </w:rPr>
            </w:pPr>
            <w:r>
              <w:rPr>
                <w:rFonts w:ascii="Arial" w:cs="Arial" w:eastAsia="Arial" w:hAnsi="Arial"/>
                <w:sz w:val="16"/>
                <w:szCs w:val="16"/>
                <w:b w:val="1"/>
                <w:bCs w:val="1"/>
                <w:color w:val="FEFEFE"/>
              </w:rPr>
              <w:t>($)</w:t>
            </w:r>
          </w:p>
        </w:tc>
        <w:tc>
          <w:tcPr>
            <w:tcW w:w="220" w:type="dxa"/>
            <w:vAlign w:val="bottom"/>
            <w:shd w:val="clear" w:color="auto" w:fill="62259D"/>
          </w:tcPr>
          <w:p>
            <w:pPr>
              <w:ind w:left="140"/>
              <w:spacing w:after="0"/>
              <w:rPr>
                <w:sz w:val="20"/>
                <w:szCs w:val="20"/>
                <w:color w:val="auto"/>
              </w:rPr>
            </w:pPr>
            <w:r>
              <w:rPr>
                <w:rFonts w:ascii="Arial" w:cs="Arial" w:eastAsia="Arial" w:hAnsi="Arial"/>
                <w:sz w:val="16"/>
                <w:szCs w:val="16"/>
                <w:b w:val="1"/>
                <w:bCs w:val="1"/>
                <w:color w:val="FEFEFE"/>
              </w:rPr>
              <w:t>​</w:t>
            </w:r>
          </w:p>
        </w:tc>
        <w:tc>
          <w:tcPr>
            <w:tcW w:w="100" w:type="dxa"/>
            <w:vAlign w:val="bottom"/>
            <w:shd w:val="clear" w:color="auto" w:fill="62259D"/>
          </w:tcPr>
          <w:p>
            <w:pPr>
              <w:spacing w:after="0"/>
              <w:rPr>
                <w:sz w:val="20"/>
                <w:szCs w:val="20"/>
                <w:color w:val="auto"/>
              </w:rPr>
            </w:pPr>
          </w:p>
        </w:tc>
        <w:tc>
          <w:tcPr>
            <w:tcW w:w="100" w:type="dxa"/>
            <w:vAlign w:val="bottom"/>
            <w:shd w:val="clear" w:color="auto" w:fill="62259D"/>
          </w:tcPr>
          <w:p>
            <w:pPr>
              <w:ind w:left="20"/>
              <w:spacing w:after="0"/>
              <w:rPr>
                <w:sz w:val="20"/>
                <w:szCs w:val="20"/>
                <w:color w:val="auto"/>
              </w:rPr>
            </w:pPr>
            <w:r>
              <w:rPr>
                <w:rFonts w:ascii="Arial" w:cs="Arial" w:eastAsia="Arial" w:hAnsi="Arial"/>
                <w:sz w:val="16"/>
                <w:szCs w:val="16"/>
                <w:b w:val="1"/>
                <w:bCs w:val="1"/>
                <w:color w:val="FEFEFE"/>
              </w:rPr>
              <w:t>​</w:t>
            </w:r>
          </w:p>
        </w:tc>
        <w:tc>
          <w:tcPr>
            <w:tcW w:w="480" w:type="dxa"/>
            <w:vAlign w:val="bottom"/>
            <w:shd w:val="clear" w:color="auto" w:fill="62259D"/>
          </w:tcPr>
          <w:p>
            <w:pPr>
              <w:ind w:left="220"/>
              <w:spacing w:after="0"/>
              <w:rPr>
                <w:sz w:val="20"/>
                <w:szCs w:val="20"/>
                <w:color w:val="auto"/>
              </w:rPr>
            </w:pPr>
            <w:r>
              <w:rPr>
                <w:rFonts w:ascii="Arial" w:cs="Arial" w:eastAsia="Arial" w:hAnsi="Arial"/>
                <w:sz w:val="16"/>
                <w:szCs w:val="16"/>
                <w:b w:val="1"/>
                <w:bCs w:val="1"/>
                <w:color w:val="FEFEFE"/>
              </w:rPr>
              <w:t>($)</w:t>
            </w:r>
          </w:p>
        </w:tc>
        <w:tc>
          <w:tcPr>
            <w:tcW w:w="160" w:type="dxa"/>
            <w:vAlign w:val="bottom"/>
            <w:shd w:val="clear" w:color="auto" w:fill="62259D"/>
          </w:tcPr>
          <w:p>
            <w:pPr>
              <w:spacing w:after="0"/>
              <w:rPr>
                <w:sz w:val="20"/>
                <w:szCs w:val="20"/>
                <w:color w:val="auto"/>
              </w:rPr>
            </w:pPr>
          </w:p>
        </w:tc>
        <w:tc>
          <w:tcPr>
            <w:tcW w:w="400" w:type="dxa"/>
            <w:vAlign w:val="bottom"/>
            <w:shd w:val="clear" w:color="auto" w:fill="62259D"/>
          </w:tcPr>
          <w:p>
            <w:pPr>
              <w:jc w:val="right"/>
              <w:ind w:right="79"/>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29"/>
        </w:trPr>
        <w:tc>
          <w:tcPr>
            <w:tcW w:w="2220" w:type="dxa"/>
            <w:vAlign w:val="bottom"/>
            <w:tcBorders>
              <w:bottom w:val="single" w:sz="8" w:color="E7417A"/>
            </w:tcBorders>
            <w:gridSpan w:val="2"/>
          </w:tcPr>
          <w:p>
            <w:pPr>
              <w:spacing w:after="0"/>
              <w:rPr>
                <w:sz w:val="20"/>
                <w:szCs w:val="20"/>
                <w:color w:val="auto"/>
              </w:rPr>
            </w:pPr>
            <w:r>
              <w:rPr>
                <w:rFonts w:ascii="Arial" w:cs="Arial" w:eastAsia="Arial" w:hAnsi="Arial"/>
                <w:sz w:val="16"/>
                <w:szCs w:val="16"/>
                <w:color w:val="auto"/>
              </w:rPr>
              <w:t>​ R. Stewart Ewing, Jr.</w:t>
            </w:r>
          </w:p>
        </w:tc>
        <w:tc>
          <w:tcPr>
            <w:tcW w:w="760" w:type="dxa"/>
            <w:vAlign w:val="bottom"/>
            <w:tcBorders>
              <w:bottom w:val="single" w:sz="8" w:color="E7417A"/>
            </w:tcBorders>
          </w:tcPr>
          <w:p>
            <w:pPr>
              <w:ind w:left="5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E7417A"/>
            </w:tcBorders>
            <w:gridSpan w:val="3"/>
          </w:tcPr>
          <w:p>
            <w:pPr>
              <w:jc w:val="right"/>
              <w:ind w:right="379"/>
              <w:spacing w:after="0"/>
              <w:rPr>
                <w:sz w:val="20"/>
                <w:szCs w:val="20"/>
                <w:color w:val="auto"/>
              </w:rPr>
            </w:pPr>
            <w:r>
              <w:rPr>
                <w:rFonts w:ascii="Arial" w:cs="Arial" w:eastAsia="Arial" w:hAnsi="Arial"/>
                <w:sz w:val="16"/>
                <w:szCs w:val="16"/>
                <w:color w:val="auto"/>
              </w:rPr>
              <w:t>​ ​105,000</w:t>
            </w:r>
          </w:p>
        </w:tc>
        <w:tc>
          <w:tcPr>
            <w:tcW w:w="520" w:type="dxa"/>
            <w:vAlign w:val="bottom"/>
            <w:tcBorders>
              <w:bottom w:val="single" w:sz="8" w:color="E7417A"/>
            </w:tcBorders>
          </w:tcPr>
          <w:p>
            <w:pPr>
              <w:ind w:left="3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417A"/>
            </w:tcBorders>
            <w:gridSpan w:val="2"/>
          </w:tcPr>
          <w:p>
            <w:pPr>
              <w:jc w:val="right"/>
              <w:ind w:right="259"/>
              <w:spacing w:after="0"/>
              <w:rPr>
                <w:sz w:val="20"/>
                <w:szCs w:val="20"/>
                <w:color w:val="auto"/>
              </w:rPr>
            </w:pPr>
            <w:r>
              <w:rPr>
                <w:rFonts w:ascii="Arial" w:cs="Arial" w:eastAsia="Arial" w:hAnsi="Arial"/>
                <w:sz w:val="16"/>
                <w:szCs w:val="16"/>
                <w:color w:val="auto"/>
              </w:rPr>
              <w:t>​​164,050</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417A"/>
            </w:tcBorders>
            <w:gridSpan w:val="4"/>
          </w:tcPr>
          <w:p>
            <w:pPr>
              <w:jc w:val="right"/>
              <w:ind w:right="279"/>
              <w:spacing w:after="0"/>
              <w:rPr>
                <w:sz w:val="20"/>
                <w:szCs w:val="20"/>
                <w:color w:val="auto"/>
              </w:rPr>
            </w:pPr>
            <w:r>
              <w:rPr>
                <w:rFonts w:ascii="Arial" w:cs="Arial" w:eastAsia="Arial" w:hAnsi="Arial"/>
                <w:sz w:val="16"/>
                <w:szCs w:val="16"/>
                <w:color w:val="auto"/>
              </w:rPr>
              <w:t>​​263,950​</w:t>
            </w:r>
          </w:p>
        </w:tc>
        <w:tc>
          <w:tcPr>
            <w:tcW w:w="0" w:type="dxa"/>
            <w:vAlign w:val="bottom"/>
          </w:tcPr>
          <w:p>
            <w:pPr>
              <w:spacing w:after="0"/>
              <w:rPr>
                <w:sz w:val="1"/>
                <w:szCs w:val="1"/>
                <w:color w:val="auto"/>
              </w:rPr>
            </w:pPr>
          </w:p>
        </w:tc>
      </w:tr>
      <w:tr>
        <w:trPr>
          <w:trHeight w:val="169"/>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2160" w:type="dxa"/>
            <w:vAlign w:val="bottom"/>
          </w:tcPr>
          <w:p>
            <w:pPr>
              <w:ind w:left="40"/>
              <w:spacing w:after="0" w:line="169" w:lineRule="exact"/>
              <w:rPr>
                <w:sz w:val="20"/>
                <w:szCs w:val="20"/>
                <w:color w:val="auto"/>
              </w:rPr>
            </w:pPr>
            <w:r>
              <w:rPr>
                <w:rFonts w:ascii="Arial" w:cs="Arial" w:eastAsia="Arial" w:hAnsi="Arial"/>
                <w:sz w:val="16"/>
                <w:szCs w:val="16"/>
                <w:color w:val="auto"/>
              </w:rPr>
              <w:t>Bruns H. Grayson</w:t>
            </w:r>
          </w:p>
        </w:tc>
        <w:tc>
          <w:tcPr>
            <w:tcW w:w="76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ind w:left="8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59"/>
              <w:spacing w:after="0" w:line="169" w:lineRule="exact"/>
              <w:rPr>
                <w:sz w:val="20"/>
                <w:szCs w:val="20"/>
                <w:color w:val="auto"/>
              </w:rPr>
            </w:pPr>
            <w:r>
              <w:rPr>
                <w:rFonts w:ascii="Arial" w:cs="Arial" w:eastAsia="Arial" w:hAnsi="Arial"/>
                <w:sz w:val="16"/>
                <w:szCs w:val="16"/>
                <w:color w:val="auto"/>
              </w:rPr>
              <w:t>​135,000</w:t>
            </w:r>
            <w:r>
              <w:rPr>
                <w:rFonts w:ascii="Arial" w:cs="Arial" w:eastAsia="Arial" w:hAnsi="Arial"/>
                <w:sz w:val="19"/>
                <w:szCs w:val="19"/>
                <w:color w:val="auto"/>
                <w:vertAlign w:val="superscript"/>
              </w:rPr>
              <w:t>(3)</w:t>
            </w:r>
          </w:p>
        </w:tc>
        <w:tc>
          <w:tcPr>
            <w:tcW w:w="520" w:type="dxa"/>
            <w:vAlign w:val="bottom"/>
            <w:vMerge w:val="restart"/>
          </w:tcPr>
          <w:p>
            <w:pPr>
              <w:ind w:left="360"/>
              <w:spacing w:after="0"/>
              <w:rPr>
                <w:sz w:val="20"/>
                <w:szCs w:val="20"/>
                <w:color w:val="auto"/>
              </w:rPr>
            </w:pPr>
            <w:r>
              <w:rPr>
                <w:rFonts w:ascii="Arial" w:cs="Arial" w:eastAsia="Arial" w:hAnsi="Arial"/>
                <w:sz w:val="16"/>
                <w:szCs w:val="16"/>
                <w:color w:val="auto"/>
              </w:rPr>
              <w:t>​ ​</w:t>
            </w:r>
          </w:p>
        </w:tc>
        <w:tc>
          <w:tcPr>
            <w:tcW w:w="3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59"/>
              <w:spacing w:after="0" w:line="169" w:lineRule="exact"/>
              <w:rPr>
                <w:sz w:val="20"/>
                <w:szCs w:val="20"/>
                <w:color w:val="auto"/>
              </w:rPr>
            </w:pPr>
            <w:r>
              <w:rPr>
                <w:rFonts w:ascii="Arial" w:cs="Arial" w:eastAsia="Arial" w:hAnsi="Arial"/>
                <w:sz w:val="16"/>
                <w:szCs w:val="16"/>
                <w:color w:val="auto"/>
              </w:rPr>
              <w:t>​164,050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4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​263,950</w:t>
            </w:r>
          </w:p>
        </w:tc>
        <w:tc>
          <w:tcPr>
            <w:tcW w:w="40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0" w:type="dxa"/>
            <w:vAlign w:val="bottom"/>
            <w:tcBorders>
              <w:bottom w:val="single" w:sz="8" w:color="E7417A"/>
            </w:tcBorders>
            <w:vMerge w:val="continue"/>
          </w:tcPr>
          <w:p>
            <w:pPr>
              <w:spacing w:after="0"/>
              <w:rPr>
                <w:sz w:val="4"/>
                <w:szCs w:val="4"/>
                <w:color w:val="auto"/>
              </w:rPr>
            </w:pPr>
          </w:p>
        </w:tc>
        <w:tc>
          <w:tcPr>
            <w:tcW w:w="2160" w:type="dxa"/>
            <w:vAlign w:val="bottom"/>
            <w:tcBorders>
              <w:bottom w:val="single" w:sz="8" w:color="E7417A"/>
            </w:tcBorders>
          </w:tcPr>
          <w:p>
            <w:pPr>
              <w:spacing w:after="0"/>
              <w:rPr>
                <w:sz w:val="4"/>
                <w:szCs w:val="4"/>
                <w:color w:val="auto"/>
              </w:rPr>
            </w:pPr>
          </w:p>
        </w:tc>
        <w:tc>
          <w:tcPr>
            <w:tcW w:w="760" w:type="dxa"/>
            <w:vAlign w:val="bottom"/>
            <w:tcBorders>
              <w:bottom w:val="single" w:sz="8" w:color="E7417A"/>
            </w:tcBorders>
            <w:vMerge w:val="continue"/>
          </w:tcPr>
          <w:p>
            <w:pPr>
              <w:spacing w:after="0"/>
              <w:rPr>
                <w:sz w:val="4"/>
                <w:szCs w:val="4"/>
                <w:color w:val="auto"/>
              </w:rPr>
            </w:pPr>
          </w:p>
        </w:tc>
        <w:tc>
          <w:tcPr>
            <w:tcW w:w="200" w:type="dxa"/>
            <w:vAlign w:val="bottom"/>
            <w:tcBorders>
              <w:bottom w:val="single" w:sz="8" w:color="E7417A"/>
            </w:tcBorders>
            <w:vMerge w:val="continue"/>
          </w:tcPr>
          <w:p>
            <w:pPr>
              <w:spacing w:after="0"/>
              <w:rPr>
                <w:sz w:val="4"/>
                <w:szCs w:val="4"/>
                <w:color w:val="auto"/>
              </w:rPr>
            </w:pPr>
          </w:p>
        </w:tc>
        <w:tc>
          <w:tcPr>
            <w:tcW w:w="920" w:type="dxa"/>
            <w:vAlign w:val="bottom"/>
            <w:tcBorders>
              <w:bottom w:val="single" w:sz="8" w:color="E7417A"/>
            </w:tcBorders>
            <w:vMerge w:val="continue"/>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1020" w:type="dxa"/>
            <w:vAlign w:val="bottom"/>
            <w:tcBorders>
              <w:bottom w:val="single" w:sz="8" w:color="E7417A"/>
            </w:tcBorders>
          </w:tcPr>
          <w:p>
            <w:pPr>
              <w:spacing w:after="0"/>
              <w:rPr>
                <w:sz w:val="4"/>
                <w:szCs w:val="4"/>
                <w:color w:val="auto"/>
              </w:rPr>
            </w:pPr>
          </w:p>
        </w:tc>
        <w:tc>
          <w:tcPr>
            <w:tcW w:w="520" w:type="dxa"/>
            <w:vAlign w:val="bottom"/>
            <w:tcBorders>
              <w:bottom w:val="single" w:sz="8" w:color="E7417A"/>
            </w:tcBorders>
            <w:vMerge w:val="continue"/>
          </w:tcPr>
          <w:p>
            <w:pPr>
              <w:spacing w:after="0"/>
              <w:rPr>
                <w:sz w:val="4"/>
                <w:szCs w:val="4"/>
                <w:color w:val="auto"/>
              </w:rPr>
            </w:pPr>
          </w:p>
        </w:tc>
        <w:tc>
          <w:tcPr>
            <w:tcW w:w="320" w:type="dxa"/>
            <w:vAlign w:val="bottom"/>
            <w:tcBorders>
              <w:bottom w:val="single" w:sz="8" w:color="E7417A"/>
            </w:tcBorders>
            <w:vMerge w:val="continue"/>
          </w:tcPr>
          <w:p>
            <w:pPr>
              <w:spacing w:after="0"/>
              <w:rPr>
                <w:sz w:val="4"/>
                <w:szCs w:val="4"/>
                <w:color w:val="auto"/>
              </w:rPr>
            </w:pPr>
          </w:p>
        </w:tc>
        <w:tc>
          <w:tcPr>
            <w:tcW w:w="500" w:type="dxa"/>
            <w:vAlign w:val="bottom"/>
            <w:tcBorders>
              <w:bottom w:val="single" w:sz="8" w:color="E7417A"/>
            </w:tcBorders>
          </w:tcPr>
          <w:p>
            <w:pPr>
              <w:ind w:left="360"/>
              <w:spacing w:after="0" w:line="54" w:lineRule="exact"/>
              <w:rPr>
                <w:sz w:val="20"/>
                <w:szCs w:val="20"/>
                <w:color w:val="auto"/>
              </w:rPr>
            </w:pPr>
            <w:r>
              <w:rPr>
                <w:rFonts w:ascii="Arial" w:cs="Arial" w:eastAsia="Arial" w:hAnsi="Arial"/>
                <w:sz w:val="6"/>
                <w:szCs w:val="6"/>
                <w:color w:val="auto"/>
              </w:rPr>
              <w:t>​</w:t>
            </w:r>
          </w:p>
        </w:tc>
        <w:tc>
          <w:tcPr>
            <w:tcW w:w="840" w:type="dxa"/>
            <w:vAlign w:val="bottom"/>
            <w:tcBorders>
              <w:bottom w:val="single" w:sz="8" w:color="E7417A"/>
            </w:tcBorders>
          </w:tcPr>
          <w:p>
            <w:pPr>
              <w:spacing w:after="0"/>
              <w:rPr>
                <w:sz w:val="4"/>
                <w:szCs w:val="4"/>
                <w:color w:val="auto"/>
              </w:rPr>
            </w:pPr>
          </w:p>
        </w:tc>
        <w:tc>
          <w:tcPr>
            <w:tcW w:w="220" w:type="dxa"/>
            <w:vAlign w:val="bottom"/>
            <w:tcBorders>
              <w:bottom w:val="single" w:sz="8" w:color="E7417A"/>
            </w:tcBorders>
            <w:vMerge w:val="continue"/>
          </w:tcPr>
          <w:p>
            <w:pPr>
              <w:spacing w:after="0"/>
              <w:rPr>
                <w:sz w:val="4"/>
                <w:szCs w:val="4"/>
                <w:color w:val="auto"/>
              </w:rPr>
            </w:pPr>
          </w:p>
        </w:tc>
        <w:tc>
          <w:tcPr>
            <w:tcW w:w="100" w:type="dxa"/>
            <w:vAlign w:val="bottom"/>
            <w:tcBorders>
              <w:bottom w:val="single" w:sz="8" w:color="E7417A"/>
            </w:tcBorders>
            <w:vMerge w:val="continue"/>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480" w:type="dxa"/>
            <w:vAlign w:val="bottom"/>
            <w:tcBorders>
              <w:bottom w:val="single" w:sz="8" w:color="E7417A"/>
            </w:tcBorders>
          </w:tcPr>
          <w:p>
            <w:pPr>
              <w:ind w:left="20"/>
              <w:spacing w:after="0" w:line="54" w:lineRule="exact"/>
              <w:rPr>
                <w:sz w:val="20"/>
                <w:szCs w:val="20"/>
                <w:color w:val="auto"/>
              </w:rPr>
            </w:pPr>
            <w:r>
              <w:rPr>
                <w:rFonts w:ascii="Arial" w:cs="Arial" w:eastAsia="Arial" w:hAnsi="Arial"/>
                <w:sz w:val="6"/>
                <w:szCs w:val="6"/>
                <w:color w:val="auto"/>
              </w:rPr>
              <w:t>​</w:t>
            </w:r>
          </w:p>
        </w:tc>
        <w:tc>
          <w:tcPr>
            <w:tcW w:w="160" w:type="dxa"/>
            <w:vAlign w:val="bottom"/>
            <w:tcBorders>
              <w:bottom w:val="single" w:sz="8" w:color="E7417A"/>
            </w:tcBorders>
          </w:tcPr>
          <w:p>
            <w:pPr>
              <w:spacing w:after="0"/>
              <w:rPr>
                <w:sz w:val="4"/>
                <w:szCs w:val="4"/>
                <w:color w:val="auto"/>
              </w:rPr>
            </w:pPr>
          </w:p>
        </w:tc>
        <w:tc>
          <w:tcPr>
            <w:tcW w:w="400" w:type="dxa"/>
            <w:vAlign w:val="bottom"/>
            <w:tcBorders>
              <w:bottom w:val="single" w:sz="8" w:color="E7417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E7417A"/>
            </w:tcBorders>
            <w:gridSpan w:val="2"/>
          </w:tcPr>
          <w:p>
            <w:pPr>
              <w:spacing w:after="0"/>
              <w:rPr>
                <w:sz w:val="20"/>
                <w:szCs w:val="20"/>
                <w:color w:val="auto"/>
              </w:rPr>
            </w:pPr>
            <w:r>
              <w:rPr>
                <w:rFonts w:ascii="Arial" w:cs="Arial" w:eastAsia="Arial" w:hAnsi="Arial"/>
                <w:sz w:val="16"/>
                <w:szCs w:val="16"/>
                <w:color w:val="auto"/>
              </w:rPr>
              <w:t>​ Beatriz V. Infante</w:t>
            </w:r>
          </w:p>
        </w:tc>
        <w:tc>
          <w:tcPr>
            <w:tcW w:w="760" w:type="dxa"/>
            <w:vAlign w:val="bottom"/>
            <w:tcBorders>
              <w:bottom w:val="single" w:sz="8" w:color="E7417A"/>
            </w:tcBorders>
          </w:tcPr>
          <w:p>
            <w:pPr>
              <w:ind w:left="5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E7417A"/>
            </w:tcBorders>
            <w:gridSpan w:val="3"/>
          </w:tcPr>
          <w:p>
            <w:pPr>
              <w:jc w:val="right"/>
              <w:ind w:right="379"/>
              <w:spacing w:after="0"/>
              <w:rPr>
                <w:sz w:val="20"/>
                <w:szCs w:val="20"/>
                <w:color w:val="auto"/>
              </w:rPr>
            </w:pPr>
            <w:r>
              <w:rPr>
                <w:rFonts w:ascii="Arial" w:cs="Arial" w:eastAsia="Arial" w:hAnsi="Arial"/>
                <w:sz w:val="16"/>
                <w:szCs w:val="16"/>
                <w:color w:val="auto"/>
              </w:rPr>
              <w:t>​ ​107,000</w:t>
            </w:r>
          </w:p>
        </w:tc>
        <w:tc>
          <w:tcPr>
            <w:tcW w:w="520" w:type="dxa"/>
            <w:vAlign w:val="bottom"/>
            <w:tcBorders>
              <w:bottom w:val="single" w:sz="8" w:color="E7417A"/>
            </w:tcBorders>
          </w:tcPr>
          <w:p>
            <w:pPr>
              <w:ind w:left="3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417A"/>
            </w:tcBorders>
            <w:gridSpan w:val="2"/>
          </w:tcPr>
          <w:p>
            <w:pPr>
              <w:jc w:val="right"/>
              <w:ind w:right="259"/>
              <w:spacing w:after="0"/>
              <w:rPr>
                <w:sz w:val="20"/>
                <w:szCs w:val="20"/>
                <w:color w:val="auto"/>
              </w:rPr>
            </w:pPr>
            <w:r>
              <w:rPr>
                <w:rFonts w:ascii="Arial" w:cs="Arial" w:eastAsia="Arial" w:hAnsi="Arial"/>
                <w:sz w:val="16"/>
                <w:szCs w:val="16"/>
                <w:color w:val="auto"/>
              </w:rPr>
              <w:t>​​164,050</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spacing w:after="0"/>
              <w:rPr>
                <w:sz w:val="19"/>
                <w:szCs w:val="19"/>
                <w:color w:val="auto"/>
              </w:rPr>
            </w:pPr>
          </w:p>
        </w:tc>
        <w:tc>
          <w:tcPr>
            <w:tcW w:w="1040" w:type="dxa"/>
            <w:vAlign w:val="bottom"/>
            <w:tcBorders>
              <w:bottom w:val="single" w:sz="8" w:color="E7417A"/>
            </w:tcBorders>
            <w:gridSpan w:val="3"/>
          </w:tcPr>
          <w:p>
            <w:pPr>
              <w:jc w:val="right"/>
              <w:ind w:right="279"/>
              <w:spacing w:after="0"/>
              <w:rPr>
                <w:sz w:val="20"/>
                <w:szCs w:val="20"/>
                <w:color w:val="auto"/>
              </w:rPr>
            </w:pPr>
            <w:r>
              <w:rPr>
                <w:rFonts w:ascii="Arial" w:cs="Arial" w:eastAsia="Arial" w:hAnsi="Arial"/>
                <w:sz w:val="16"/>
                <w:szCs w:val="16"/>
                <w:color w:val="auto"/>
              </w:rPr>
              <w:t>​​263,950​</w:t>
            </w:r>
          </w:p>
        </w:tc>
        <w:tc>
          <w:tcPr>
            <w:tcW w:w="0" w:type="dxa"/>
            <w:vAlign w:val="bottom"/>
          </w:tcPr>
          <w:p>
            <w:pPr>
              <w:spacing w:after="0"/>
              <w:rPr>
                <w:sz w:val="1"/>
                <w:szCs w:val="1"/>
                <w:color w:val="auto"/>
              </w:rPr>
            </w:pPr>
          </w:p>
        </w:tc>
      </w:tr>
      <w:tr>
        <w:trPr>
          <w:trHeight w:val="223"/>
        </w:trPr>
        <w:tc>
          <w:tcPr>
            <w:tcW w:w="2220" w:type="dxa"/>
            <w:vAlign w:val="bottom"/>
            <w:tcBorders>
              <w:bottom w:val="single" w:sz="8" w:color="E7417A"/>
            </w:tcBorders>
            <w:gridSpan w:val="2"/>
          </w:tcPr>
          <w:p>
            <w:pPr>
              <w:spacing w:after="0"/>
              <w:rPr>
                <w:sz w:val="20"/>
                <w:szCs w:val="20"/>
                <w:color w:val="auto"/>
              </w:rPr>
            </w:pPr>
            <w:r>
              <w:rPr>
                <w:rFonts w:ascii="Arial" w:cs="Arial" w:eastAsia="Arial" w:hAnsi="Arial"/>
                <w:sz w:val="16"/>
                <w:szCs w:val="16"/>
                <w:color w:val="auto"/>
              </w:rPr>
              <w:t>​ Scott Mair</w:t>
            </w:r>
          </w:p>
        </w:tc>
        <w:tc>
          <w:tcPr>
            <w:tcW w:w="760" w:type="dxa"/>
            <w:vAlign w:val="bottom"/>
            <w:tcBorders>
              <w:bottom w:val="single" w:sz="8" w:color="E7417A"/>
            </w:tcBorders>
          </w:tcPr>
          <w:p>
            <w:pPr>
              <w:ind w:left="5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E7417A"/>
            </w:tcBorders>
            <w:gridSpan w:val="3"/>
          </w:tcPr>
          <w:p>
            <w:pPr>
              <w:jc w:val="right"/>
              <w:ind w:right="379"/>
              <w:spacing w:after="0"/>
              <w:rPr>
                <w:sz w:val="20"/>
                <w:szCs w:val="20"/>
                <w:color w:val="auto"/>
              </w:rPr>
            </w:pPr>
            <w:r>
              <w:rPr>
                <w:rFonts w:ascii="Arial" w:cs="Arial" w:eastAsia="Arial" w:hAnsi="Arial"/>
                <w:sz w:val="16"/>
                <w:szCs w:val="16"/>
                <w:color w:val="auto"/>
              </w:rPr>
              <w:t>​ ​ 115,000</w:t>
            </w:r>
          </w:p>
        </w:tc>
        <w:tc>
          <w:tcPr>
            <w:tcW w:w="520" w:type="dxa"/>
            <w:vAlign w:val="bottom"/>
            <w:tcBorders>
              <w:bottom w:val="single" w:sz="8" w:color="E7417A"/>
            </w:tcBorders>
          </w:tcPr>
          <w:p>
            <w:pPr>
              <w:ind w:left="3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7417A"/>
            </w:tcBorders>
            <w:gridSpan w:val="2"/>
          </w:tcPr>
          <w:p>
            <w:pPr>
              <w:jc w:val="right"/>
              <w:ind w:right="259"/>
              <w:spacing w:after="0"/>
              <w:rPr>
                <w:sz w:val="20"/>
                <w:szCs w:val="20"/>
                <w:color w:val="auto"/>
              </w:rPr>
            </w:pPr>
            <w:r>
              <w:rPr>
                <w:rFonts w:ascii="Arial" w:cs="Arial" w:eastAsia="Arial" w:hAnsi="Arial"/>
                <w:sz w:val="16"/>
                <w:szCs w:val="16"/>
                <w:color w:val="auto"/>
              </w:rPr>
              <w:t>​​260,550</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7417A"/>
            </w:tcBorders>
            <w:gridSpan w:val="4"/>
          </w:tcPr>
          <w:p>
            <w:pPr>
              <w:jc w:val="right"/>
              <w:ind w:right="279"/>
              <w:spacing w:after="0"/>
              <w:rPr>
                <w:sz w:val="20"/>
                <w:szCs w:val="20"/>
                <w:color w:val="auto"/>
              </w:rPr>
            </w:pPr>
            <w:r>
              <w:rPr>
                <w:rFonts w:ascii="Arial" w:cs="Arial" w:eastAsia="Arial" w:hAnsi="Arial"/>
                <w:sz w:val="16"/>
                <w:szCs w:val="16"/>
                <w:color w:val="auto"/>
              </w:rPr>
              <w:t>​​367,450​</w:t>
            </w:r>
          </w:p>
        </w:tc>
        <w:tc>
          <w:tcPr>
            <w:tcW w:w="0" w:type="dxa"/>
            <w:vAlign w:val="bottom"/>
          </w:tcPr>
          <w:p>
            <w:pPr>
              <w:spacing w:after="0"/>
              <w:rPr>
                <w:sz w:val="1"/>
                <w:szCs w:val="1"/>
                <w:color w:val="auto"/>
              </w:rPr>
            </w:pPr>
          </w:p>
        </w:tc>
      </w:tr>
      <w:tr>
        <w:trPr>
          <w:trHeight w:val="169"/>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2160" w:type="dxa"/>
            <w:vAlign w:val="bottom"/>
          </w:tcPr>
          <w:p>
            <w:pPr>
              <w:ind w:left="40"/>
              <w:spacing w:after="0" w:line="169" w:lineRule="exact"/>
              <w:rPr>
                <w:sz w:val="20"/>
                <w:szCs w:val="20"/>
                <w:color w:val="auto"/>
              </w:rPr>
            </w:pPr>
            <w:r>
              <w:rPr>
                <w:rFonts w:ascii="Arial" w:cs="Arial" w:eastAsia="Arial" w:hAnsi="Arial"/>
                <w:sz w:val="16"/>
                <w:szCs w:val="16"/>
                <w:color w:val="auto"/>
              </w:rPr>
              <w:t>Shaul Shani</w:t>
            </w:r>
          </w:p>
        </w:tc>
        <w:tc>
          <w:tcPr>
            <w:tcW w:w="76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ind w:left="8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59"/>
              <w:spacing w:after="0" w:line="169" w:lineRule="exact"/>
              <w:rPr>
                <w:sz w:val="20"/>
                <w:szCs w:val="20"/>
                <w:color w:val="auto"/>
              </w:rPr>
            </w:pPr>
            <w:r>
              <w:rPr>
                <w:rFonts w:ascii="Arial" w:cs="Arial" w:eastAsia="Arial" w:hAnsi="Arial"/>
                <w:sz w:val="16"/>
                <w:szCs w:val="16"/>
                <w:color w:val="auto"/>
                <w:w w:val="97"/>
              </w:rPr>
              <w:t>​ 110,000</w:t>
            </w:r>
            <w:r>
              <w:rPr>
                <w:rFonts w:ascii="Arial" w:cs="Arial" w:eastAsia="Arial" w:hAnsi="Arial"/>
                <w:sz w:val="19"/>
                <w:szCs w:val="19"/>
                <w:color w:val="auto"/>
                <w:w w:val="97"/>
                <w:vertAlign w:val="superscript"/>
              </w:rPr>
              <w:t>(3)</w:t>
            </w:r>
          </w:p>
        </w:tc>
        <w:tc>
          <w:tcPr>
            <w:tcW w:w="520" w:type="dxa"/>
            <w:vAlign w:val="bottom"/>
            <w:vMerge w:val="restart"/>
          </w:tcPr>
          <w:p>
            <w:pPr>
              <w:ind w:left="360"/>
              <w:spacing w:after="0"/>
              <w:rPr>
                <w:sz w:val="20"/>
                <w:szCs w:val="20"/>
                <w:color w:val="auto"/>
              </w:rPr>
            </w:pPr>
            <w:r>
              <w:rPr>
                <w:rFonts w:ascii="Arial" w:cs="Arial" w:eastAsia="Arial" w:hAnsi="Arial"/>
                <w:sz w:val="16"/>
                <w:szCs w:val="16"/>
                <w:color w:val="auto"/>
              </w:rPr>
              <w:t>​ ​</w:t>
            </w:r>
          </w:p>
        </w:tc>
        <w:tc>
          <w:tcPr>
            <w:tcW w:w="3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59"/>
              <w:spacing w:after="0" w:line="169" w:lineRule="exact"/>
              <w:rPr>
                <w:sz w:val="20"/>
                <w:szCs w:val="20"/>
                <w:color w:val="auto"/>
              </w:rPr>
            </w:pPr>
            <w:r>
              <w:rPr>
                <w:rFonts w:ascii="Arial" w:cs="Arial" w:eastAsia="Arial" w:hAnsi="Arial"/>
                <w:sz w:val="16"/>
                <w:szCs w:val="16"/>
                <w:color w:val="auto"/>
              </w:rPr>
              <w:t>​890,073</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64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​994,973</w:t>
            </w:r>
          </w:p>
        </w:tc>
        <w:tc>
          <w:tcPr>
            <w:tcW w:w="40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0" w:type="dxa"/>
            <w:vAlign w:val="bottom"/>
            <w:tcBorders>
              <w:bottom w:val="single" w:sz="8" w:color="E7417A"/>
            </w:tcBorders>
            <w:vMerge w:val="continue"/>
          </w:tcPr>
          <w:p>
            <w:pPr>
              <w:spacing w:after="0"/>
              <w:rPr>
                <w:sz w:val="4"/>
                <w:szCs w:val="4"/>
                <w:color w:val="auto"/>
              </w:rPr>
            </w:pPr>
          </w:p>
        </w:tc>
        <w:tc>
          <w:tcPr>
            <w:tcW w:w="2160" w:type="dxa"/>
            <w:vAlign w:val="bottom"/>
            <w:tcBorders>
              <w:bottom w:val="single" w:sz="8" w:color="E7417A"/>
            </w:tcBorders>
          </w:tcPr>
          <w:p>
            <w:pPr>
              <w:spacing w:after="0"/>
              <w:rPr>
                <w:sz w:val="4"/>
                <w:szCs w:val="4"/>
                <w:color w:val="auto"/>
              </w:rPr>
            </w:pPr>
          </w:p>
        </w:tc>
        <w:tc>
          <w:tcPr>
            <w:tcW w:w="760" w:type="dxa"/>
            <w:vAlign w:val="bottom"/>
            <w:tcBorders>
              <w:bottom w:val="single" w:sz="8" w:color="E7417A"/>
            </w:tcBorders>
            <w:vMerge w:val="continue"/>
          </w:tcPr>
          <w:p>
            <w:pPr>
              <w:spacing w:after="0"/>
              <w:rPr>
                <w:sz w:val="4"/>
                <w:szCs w:val="4"/>
                <w:color w:val="auto"/>
              </w:rPr>
            </w:pPr>
          </w:p>
        </w:tc>
        <w:tc>
          <w:tcPr>
            <w:tcW w:w="200" w:type="dxa"/>
            <w:vAlign w:val="bottom"/>
            <w:tcBorders>
              <w:bottom w:val="single" w:sz="8" w:color="E7417A"/>
            </w:tcBorders>
            <w:vMerge w:val="continue"/>
          </w:tcPr>
          <w:p>
            <w:pPr>
              <w:spacing w:after="0"/>
              <w:rPr>
                <w:sz w:val="4"/>
                <w:szCs w:val="4"/>
                <w:color w:val="auto"/>
              </w:rPr>
            </w:pPr>
          </w:p>
        </w:tc>
        <w:tc>
          <w:tcPr>
            <w:tcW w:w="920" w:type="dxa"/>
            <w:vAlign w:val="bottom"/>
            <w:tcBorders>
              <w:bottom w:val="single" w:sz="8" w:color="E7417A"/>
            </w:tcBorders>
            <w:vMerge w:val="continue"/>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1020" w:type="dxa"/>
            <w:vAlign w:val="bottom"/>
            <w:tcBorders>
              <w:bottom w:val="single" w:sz="8" w:color="E7417A"/>
            </w:tcBorders>
          </w:tcPr>
          <w:p>
            <w:pPr>
              <w:spacing w:after="0"/>
              <w:rPr>
                <w:sz w:val="4"/>
                <w:szCs w:val="4"/>
                <w:color w:val="auto"/>
              </w:rPr>
            </w:pPr>
          </w:p>
        </w:tc>
        <w:tc>
          <w:tcPr>
            <w:tcW w:w="520" w:type="dxa"/>
            <w:vAlign w:val="bottom"/>
            <w:tcBorders>
              <w:bottom w:val="single" w:sz="8" w:color="E7417A"/>
            </w:tcBorders>
            <w:vMerge w:val="continue"/>
          </w:tcPr>
          <w:p>
            <w:pPr>
              <w:spacing w:after="0"/>
              <w:rPr>
                <w:sz w:val="4"/>
                <w:szCs w:val="4"/>
                <w:color w:val="auto"/>
              </w:rPr>
            </w:pPr>
          </w:p>
        </w:tc>
        <w:tc>
          <w:tcPr>
            <w:tcW w:w="320" w:type="dxa"/>
            <w:vAlign w:val="bottom"/>
            <w:tcBorders>
              <w:bottom w:val="single" w:sz="8" w:color="E7417A"/>
            </w:tcBorders>
            <w:vMerge w:val="continue"/>
          </w:tcPr>
          <w:p>
            <w:pPr>
              <w:spacing w:after="0"/>
              <w:rPr>
                <w:sz w:val="4"/>
                <w:szCs w:val="4"/>
                <w:color w:val="auto"/>
              </w:rPr>
            </w:pPr>
          </w:p>
        </w:tc>
        <w:tc>
          <w:tcPr>
            <w:tcW w:w="500" w:type="dxa"/>
            <w:vAlign w:val="bottom"/>
            <w:tcBorders>
              <w:bottom w:val="single" w:sz="8" w:color="E7417A"/>
            </w:tcBorders>
          </w:tcPr>
          <w:p>
            <w:pPr>
              <w:ind w:left="360"/>
              <w:spacing w:after="0" w:line="54" w:lineRule="exact"/>
              <w:rPr>
                <w:sz w:val="20"/>
                <w:szCs w:val="20"/>
                <w:color w:val="auto"/>
              </w:rPr>
            </w:pPr>
            <w:r>
              <w:rPr>
                <w:rFonts w:ascii="Arial" w:cs="Arial" w:eastAsia="Arial" w:hAnsi="Arial"/>
                <w:sz w:val="6"/>
                <w:szCs w:val="6"/>
                <w:color w:val="auto"/>
              </w:rPr>
              <w:t>​</w:t>
            </w:r>
          </w:p>
        </w:tc>
        <w:tc>
          <w:tcPr>
            <w:tcW w:w="840" w:type="dxa"/>
            <w:vAlign w:val="bottom"/>
            <w:tcBorders>
              <w:bottom w:val="single" w:sz="8" w:color="E7417A"/>
            </w:tcBorders>
          </w:tcPr>
          <w:p>
            <w:pPr>
              <w:spacing w:after="0"/>
              <w:rPr>
                <w:sz w:val="4"/>
                <w:szCs w:val="4"/>
                <w:color w:val="auto"/>
              </w:rPr>
            </w:pPr>
          </w:p>
        </w:tc>
        <w:tc>
          <w:tcPr>
            <w:tcW w:w="220" w:type="dxa"/>
            <w:vAlign w:val="bottom"/>
            <w:tcBorders>
              <w:bottom w:val="single" w:sz="8" w:color="E7417A"/>
            </w:tcBorders>
            <w:vMerge w:val="continue"/>
          </w:tcPr>
          <w:p>
            <w:pPr>
              <w:spacing w:after="0"/>
              <w:rPr>
                <w:sz w:val="4"/>
                <w:szCs w:val="4"/>
                <w:color w:val="auto"/>
              </w:rPr>
            </w:pPr>
          </w:p>
        </w:tc>
        <w:tc>
          <w:tcPr>
            <w:tcW w:w="100" w:type="dxa"/>
            <w:vAlign w:val="bottom"/>
            <w:tcBorders>
              <w:bottom w:val="single" w:sz="8" w:color="E7417A"/>
            </w:tcBorders>
            <w:vMerge w:val="continue"/>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480" w:type="dxa"/>
            <w:vAlign w:val="bottom"/>
            <w:tcBorders>
              <w:bottom w:val="single" w:sz="8" w:color="E7417A"/>
            </w:tcBorders>
          </w:tcPr>
          <w:p>
            <w:pPr>
              <w:ind w:left="20"/>
              <w:spacing w:after="0" w:line="54" w:lineRule="exact"/>
              <w:rPr>
                <w:sz w:val="20"/>
                <w:szCs w:val="20"/>
                <w:color w:val="auto"/>
              </w:rPr>
            </w:pPr>
            <w:r>
              <w:rPr>
                <w:rFonts w:ascii="Arial" w:cs="Arial" w:eastAsia="Arial" w:hAnsi="Arial"/>
                <w:sz w:val="6"/>
                <w:szCs w:val="6"/>
                <w:color w:val="auto"/>
              </w:rPr>
              <w:t>​</w:t>
            </w:r>
          </w:p>
        </w:tc>
        <w:tc>
          <w:tcPr>
            <w:tcW w:w="160" w:type="dxa"/>
            <w:vAlign w:val="bottom"/>
            <w:tcBorders>
              <w:bottom w:val="single" w:sz="8" w:color="E7417A"/>
            </w:tcBorders>
          </w:tcPr>
          <w:p>
            <w:pPr>
              <w:spacing w:after="0"/>
              <w:rPr>
                <w:sz w:val="4"/>
                <w:szCs w:val="4"/>
                <w:color w:val="auto"/>
              </w:rPr>
            </w:pPr>
          </w:p>
        </w:tc>
        <w:tc>
          <w:tcPr>
            <w:tcW w:w="400" w:type="dxa"/>
            <w:vAlign w:val="bottom"/>
            <w:tcBorders>
              <w:bottom w:val="single" w:sz="8" w:color="E7417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2160" w:type="dxa"/>
            <w:vAlign w:val="bottom"/>
          </w:tcPr>
          <w:p>
            <w:pPr>
              <w:ind w:left="40"/>
              <w:spacing w:after="0" w:line="169" w:lineRule="exact"/>
              <w:rPr>
                <w:sz w:val="20"/>
                <w:szCs w:val="20"/>
                <w:color w:val="auto"/>
              </w:rPr>
            </w:pPr>
            <w:r>
              <w:rPr>
                <w:rFonts w:ascii="Arial" w:cs="Arial" w:eastAsia="Arial" w:hAnsi="Arial"/>
                <w:sz w:val="16"/>
                <w:szCs w:val="16"/>
                <w:color w:val="auto"/>
              </w:rPr>
              <w:t>Richard W. Smith</w:t>
            </w:r>
            <w:r>
              <w:rPr>
                <w:rFonts w:ascii="Arial" w:cs="Arial" w:eastAsia="Arial" w:hAnsi="Arial"/>
                <w:sz w:val="19"/>
                <w:szCs w:val="19"/>
                <w:color w:val="auto"/>
                <w:vertAlign w:val="superscript"/>
              </w:rPr>
              <w:t>(4)</w:t>
            </w:r>
          </w:p>
        </w:tc>
        <w:tc>
          <w:tcPr>
            <w:tcW w:w="760" w:type="dxa"/>
            <w:vAlign w:val="bottom"/>
            <w:vMerge w:val="restart"/>
          </w:tcPr>
          <w:p>
            <w:pPr>
              <w:ind w:left="58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ind w:left="8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line="169"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379"/>
              <w:spacing w:after="0" w:line="169" w:lineRule="exact"/>
              <w:rPr>
                <w:sz w:val="20"/>
                <w:szCs w:val="20"/>
                <w:color w:val="auto"/>
              </w:rPr>
            </w:pPr>
            <w:r>
              <w:rPr>
                <w:rFonts w:ascii="Arial" w:cs="Arial" w:eastAsia="Arial" w:hAnsi="Arial"/>
                <w:sz w:val="16"/>
                <w:szCs w:val="16"/>
                <w:color w:val="auto"/>
              </w:rPr>
              <w:t>0</w:t>
            </w:r>
          </w:p>
        </w:tc>
        <w:tc>
          <w:tcPr>
            <w:tcW w:w="520" w:type="dxa"/>
            <w:vAlign w:val="bottom"/>
            <w:vMerge w:val="restart"/>
          </w:tcPr>
          <w:p>
            <w:pPr>
              <w:ind w:left="360"/>
              <w:spacing w:after="0"/>
              <w:rPr>
                <w:sz w:val="20"/>
                <w:szCs w:val="20"/>
                <w:color w:val="auto"/>
              </w:rPr>
            </w:pPr>
            <w:r>
              <w:rPr>
                <w:rFonts w:ascii="Arial" w:cs="Arial" w:eastAsia="Arial" w:hAnsi="Arial"/>
                <w:sz w:val="16"/>
                <w:szCs w:val="16"/>
                <w:color w:val="auto"/>
              </w:rPr>
              <w:t>​ ​</w:t>
            </w:r>
          </w:p>
        </w:tc>
        <w:tc>
          <w:tcPr>
            <w:tcW w:w="320" w:type="dxa"/>
            <w:vAlign w:val="bottom"/>
            <w:vMerge w:val="restart"/>
          </w:tcPr>
          <w:p>
            <w:pPr>
              <w:jc w:val="center"/>
              <w:spacing w:after="0"/>
              <w:rPr>
                <w:sz w:val="20"/>
                <w:szCs w:val="20"/>
                <w:color w:val="auto"/>
              </w:rPr>
            </w:pPr>
            <w:r>
              <w:rPr>
                <w:rFonts w:ascii="Arial" w:cs="Arial" w:eastAsia="Arial" w:hAnsi="Arial"/>
                <w:sz w:val="16"/>
                <w:szCs w:val="16"/>
                <w:color w:val="auto"/>
              </w:rPr>
              <w:t>​</w:t>
            </w:r>
          </w:p>
        </w:tc>
        <w:tc>
          <w:tcPr>
            <w:tcW w:w="500" w:type="dxa"/>
            <w:vAlign w:val="bottom"/>
          </w:tcPr>
          <w:p>
            <w:pPr>
              <w:ind w:left="380"/>
              <w:spacing w:after="0" w:line="169"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259"/>
              <w:spacing w:after="0" w:line="169" w:lineRule="exact"/>
              <w:rPr>
                <w:sz w:val="20"/>
                <w:szCs w:val="20"/>
                <w:color w:val="auto"/>
              </w:rPr>
            </w:pPr>
            <w:r>
              <w:rPr>
                <w:rFonts w:ascii="Arial" w:cs="Arial" w:eastAsia="Arial" w:hAnsi="Arial"/>
                <w:sz w:val="16"/>
                <w:szCs w:val="16"/>
                <w:color w:val="auto"/>
              </w:rPr>
              <w:t>0</w:t>
            </w:r>
          </w:p>
        </w:tc>
        <w:tc>
          <w:tcPr>
            <w:tcW w:w="220" w:type="dxa"/>
            <w:vAlign w:val="bottom"/>
            <w:vMerge w:val="restart"/>
          </w:tcPr>
          <w:p>
            <w:pPr>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480" w:type="dxa"/>
            <w:vAlign w:val="bottom"/>
          </w:tcPr>
          <w:p>
            <w:pPr>
              <w:ind w:left="40"/>
              <w:spacing w:after="0" w:line="169" w:lineRule="exact"/>
              <w:rPr>
                <w:sz w:val="20"/>
                <w:szCs w:val="20"/>
                <w:color w:val="auto"/>
              </w:rPr>
            </w:pPr>
            <w:r>
              <w:rPr>
                <w:rFonts w:ascii="Arial" w:cs="Arial" w:eastAsia="Arial" w:hAnsi="Arial"/>
                <w:sz w:val="16"/>
                <w:szCs w:val="16"/>
                <w:color w:val="auto"/>
              </w:rPr>
              <w:t>​</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rPr>
              <w:t>0</w:t>
            </w:r>
          </w:p>
        </w:tc>
        <w:tc>
          <w:tcPr>
            <w:tcW w:w="40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0" w:type="dxa"/>
            <w:vAlign w:val="bottom"/>
            <w:tcBorders>
              <w:bottom w:val="single" w:sz="8" w:color="E7417A"/>
            </w:tcBorders>
            <w:vMerge w:val="continue"/>
          </w:tcPr>
          <w:p>
            <w:pPr>
              <w:spacing w:after="0"/>
              <w:rPr>
                <w:sz w:val="4"/>
                <w:szCs w:val="4"/>
                <w:color w:val="auto"/>
              </w:rPr>
            </w:pPr>
          </w:p>
        </w:tc>
        <w:tc>
          <w:tcPr>
            <w:tcW w:w="2160" w:type="dxa"/>
            <w:vAlign w:val="bottom"/>
            <w:tcBorders>
              <w:bottom w:val="single" w:sz="8" w:color="E7417A"/>
            </w:tcBorders>
          </w:tcPr>
          <w:p>
            <w:pPr>
              <w:spacing w:after="0"/>
              <w:rPr>
                <w:sz w:val="4"/>
                <w:szCs w:val="4"/>
                <w:color w:val="auto"/>
              </w:rPr>
            </w:pPr>
          </w:p>
        </w:tc>
        <w:tc>
          <w:tcPr>
            <w:tcW w:w="760" w:type="dxa"/>
            <w:vAlign w:val="bottom"/>
            <w:tcBorders>
              <w:bottom w:val="single" w:sz="8" w:color="E7417A"/>
            </w:tcBorders>
            <w:vMerge w:val="continue"/>
          </w:tcPr>
          <w:p>
            <w:pPr>
              <w:spacing w:after="0"/>
              <w:rPr>
                <w:sz w:val="4"/>
                <w:szCs w:val="4"/>
                <w:color w:val="auto"/>
              </w:rPr>
            </w:pPr>
          </w:p>
        </w:tc>
        <w:tc>
          <w:tcPr>
            <w:tcW w:w="200" w:type="dxa"/>
            <w:vAlign w:val="bottom"/>
            <w:tcBorders>
              <w:bottom w:val="single" w:sz="8" w:color="E7417A"/>
            </w:tcBorders>
            <w:vMerge w:val="continue"/>
          </w:tcPr>
          <w:p>
            <w:pPr>
              <w:spacing w:after="0"/>
              <w:rPr>
                <w:sz w:val="4"/>
                <w:szCs w:val="4"/>
                <w:color w:val="auto"/>
              </w:rPr>
            </w:pPr>
          </w:p>
        </w:tc>
        <w:tc>
          <w:tcPr>
            <w:tcW w:w="920" w:type="dxa"/>
            <w:vAlign w:val="bottom"/>
            <w:tcBorders>
              <w:bottom w:val="single" w:sz="8" w:color="E7417A"/>
            </w:tcBorders>
            <w:vMerge w:val="continue"/>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1020" w:type="dxa"/>
            <w:vAlign w:val="bottom"/>
            <w:tcBorders>
              <w:bottom w:val="single" w:sz="8" w:color="E7417A"/>
            </w:tcBorders>
          </w:tcPr>
          <w:p>
            <w:pPr>
              <w:spacing w:after="0"/>
              <w:rPr>
                <w:sz w:val="4"/>
                <w:szCs w:val="4"/>
                <w:color w:val="auto"/>
              </w:rPr>
            </w:pPr>
          </w:p>
        </w:tc>
        <w:tc>
          <w:tcPr>
            <w:tcW w:w="520" w:type="dxa"/>
            <w:vAlign w:val="bottom"/>
            <w:tcBorders>
              <w:bottom w:val="single" w:sz="8" w:color="E7417A"/>
            </w:tcBorders>
            <w:vMerge w:val="continue"/>
          </w:tcPr>
          <w:p>
            <w:pPr>
              <w:spacing w:after="0"/>
              <w:rPr>
                <w:sz w:val="4"/>
                <w:szCs w:val="4"/>
                <w:color w:val="auto"/>
              </w:rPr>
            </w:pPr>
          </w:p>
        </w:tc>
        <w:tc>
          <w:tcPr>
            <w:tcW w:w="320" w:type="dxa"/>
            <w:vAlign w:val="bottom"/>
            <w:tcBorders>
              <w:bottom w:val="single" w:sz="8" w:color="E7417A"/>
            </w:tcBorders>
            <w:vMerge w:val="continue"/>
          </w:tcPr>
          <w:p>
            <w:pPr>
              <w:spacing w:after="0"/>
              <w:rPr>
                <w:sz w:val="4"/>
                <w:szCs w:val="4"/>
                <w:color w:val="auto"/>
              </w:rPr>
            </w:pPr>
          </w:p>
        </w:tc>
        <w:tc>
          <w:tcPr>
            <w:tcW w:w="500" w:type="dxa"/>
            <w:vAlign w:val="bottom"/>
            <w:tcBorders>
              <w:bottom w:val="single" w:sz="8" w:color="E7417A"/>
            </w:tcBorders>
          </w:tcPr>
          <w:p>
            <w:pPr>
              <w:ind w:left="360"/>
              <w:spacing w:after="0" w:line="54" w:lineRule="exact"/>
              <w:rPr>
                <w:sz w:val="20"/>
                <w:szCs w:val="20"/>
                <w:color w:val="auto"/>
              </w:rPr>
            </w:pPr>
            <w:r>
              <w:rPr>
                <w:rFonts w:ascii="Arial" w:cs="Arial" w:eastAsia="Arial" w:hAnsi="Arial"/>
                <w:sz w:val="6"/>
                <w:szCs w:val="6"/>
                <w:color w:val="auto"/>
              </w:rPr>
              <w:t>​</w:t>
            </w:r>
          </w:p>
        </w:tc>
        <w:tc>
          <w:tcPr>
            <w:tcW w:w="840" w:type="dxa"/>
            <w:vAlign w:val="bottom"/>
            <w:tcBorders>
              <w:bottom w:val="single" w:sz="8" w:color="E7417A"/>
            </w:tcBorders>
          </w:tcPr>
          <w:p>
            <w:pPr>
              <w:spacing w:after="0"/>
              <w:rPr>
                <w:sz w:val="4"/>
                <w:szCs w:val="4"/>
                <w:color w:val="auto"/>
              </w:rPr>
            </w:pPr>
          </w:p>
        </w:tc>
        <w:tc>
          <w:tcPr>
            <w:tcW w:w="220" w:type="dxa"/>
            <w:vAlign w:val="bottom"/>
            <w:tcBorders>
              <w:bottom w:val="single" w:sz="8" w:color="E7417A"/>
            </w:tcBorders>
            <w:vMerge w:val="continue"/>
          </w:tcPr>
          <w:p>
            <w:pPr>
              <w:spacing w:after="0"/>
              <w:rPr>
                <w:sz w:val="4"/>
                <w:szCs w:val="4"/>
                <w:color w:val="auto"/>
              </w:rPr>
            </w:pPr>
          </w:p>
        </w:tc>
        <w:tc>
          <w:tcPr>
            <w:tcW w:w="100" w:type="dxa"/>
            <w:vAlign w:val="bottom"/>
            <w:tcBorders>
              <w:bottom w:val="single" w:sz="8" w:color="E7417A"/>
            </w:tcBorders>
            <w:vMerge w:val="continue"/>
          </w:tcPr>
          <w:p>
            <w:pPr>
              <w:spacing w:after="0"/>
              <w:rPr>
                <w:sz w:val="4"/>
                <w:szCs w:val="4"/>
                <w:color w:val="auto"/>
              </w:rPr>
            </w:pPr>
          </w:p>
        </w:tc>
        <w:tc>
          <w:tcPr>
            <w:tcW w:w="100" w:type="dxa"/>
            <w:vAlign w:val="bottom"/>
            <w:tcBorders>
              <w:bottom w:val="single" w:sz="8" w:color="E7417A"/>
            </w:tcBorders>
          </w:tcPr>
          <w:p>
            <w:pPr>
              <w:spacing w:after="0"/>
              <w:rPr>
                <w:sz w:val="4"/>
                <w:szCs w:val="4"/>
                <w:color w:val="auto"/>
              </w:rPr>
            </w:pPr>
          </w:p>
        </w:tc>
        <w:tc>
          <w:tcPr>
            <w:tcW w:w="480" w:type="dxa"/>
            <w:vAlign w:val="bottom"/>
            <w:tcBorders>
              <w:bottom w:val="single" w:sz="8" w:color="E7417A"/>
            </w:tcBorders>
          </w:tcPr>
          <w:p>
            <w:pPr>
              <w:ind w:left="20"/>
              <w:spacing w:after="0" w:line="54" w:lineRule="exact"/>
              <w:rPr>
                <w:sz w:val="20"/>
                <w:szCs w:val="20"/>
                <w:color w:val="auto"/>
              </w:rPr>
            </w:pPr>
            <w:r>
              <w:rPr>
                <w:rFonts w:ascii="Arial" w:cs="Arial" w:eastAsia="Arial" w:hAnsi="Arial"/>
                <w:sz w:val="6"/>
                <w:szCs w:val="6"/>
                <w:color w:val="auto"/>
              </w:rPr>
              <w:t>​</w:t>
            </w:r>
          </w:p>
        </w:tc>
        <w:tc>
          <w:tcPr>
            <w:tcW w:w="160" w:type="dxa"/>
            <w:vAlign w:val="bottom"/>
            <w:tcBorders>
              <w:bottom w:val="single" w:sz="8" w:color="E7417A"/>
            </w:tcBorders>
          </w:tcPr>
          <w:p>
            <w:pPr>
              <w:spacing w:after="0"/>
              <w:rPr>
                <w:sz w:val="4"/>
                <w:szCs w:val="4"/>
                <w:color w:val="auto"/>
              </w:rPr>
            </w:pPr>
          </w:p>
        </w:tc>
        <w:tc>
          <w:tcPr>
            <w:tcW w:w="400" w:type="dxa"/>
            <w:vAlign w:val="bottom"/>
            <w:tcBorders>
              <w:bottom w:val="single" w:sz="8" w:color="E7417A"/>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220" w:type="dxa"/>
            <w:vAlign w:val="bottom"/>
            <w:tcBorders>
              <w:bottom w:val="single" w:sz="8" w:color="62259D"/>
            </w:tcBorders>
            <w:gridSpan w:val="2"/>
          </w:tcPr>
          <w:p>
            <w:pPr>
              <w:spacing w:after="0"/>
              <w:rPr>
                <w:sz w:val="20"/>
                <w:szCs w:val="20"/>
                <w:color w:val="auto"/>
              </w:rPr>
            </w:pPr>
            <w:r>
              <w:rPr>
                <w:rFonts w:ascii="Arial" w:cs="Arial" w:eastAsia="Arial" w:hAnsi="Arial"/>
                <w:sz w:val="16"/>
                <w:szCs w:val="16"/>
                <w:color w:val="auto"/>
              </w:rPr>
              <w:t>​ Tanya Tamone</w:t>
            </w:r>
          </w:p>
        </w:tc>
        <w:tc>
          <w:tcPr>
            <w:tcW w:w="760" w:type="dxa"/>
            <w:vAlign w:val="bottom"/>
            <w:tcBorders>
              <w:bottom w:val="single" w:sz="8" w:color="62259D"/>
            </w:tcBorders>
          </w:tcPr>
          <w:p>
            <w:pPr>
              <w:ind w:left="5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62259D"/>
            </w:tcBorders>
            <w:gridSpan w:val="2"/>
          </w:tcPr>
          <w:p>
            <w:pPr>
              <w:ind w:left="840"/>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62259D"/>
            </w:tcBorders>
          </w:tcPr>
          <w:p>
            <w:pPr>
              <w:jc w:val="right"/>
              <w:ind w:right="379"/>
              <w:spacing w:after="0"/>
              <w:rPr>
                <w:sz w:val="20"/>
                <w:szCs w:val="20"/>
                <w:color w:val="auto"/>
              </w:rPr>
            </w:pPr>
            <w:r>
              <w:rPr>
                <w:rFonts w:ascii="Arial" w:cs="Arial" w:eastAsia="Arial" w:hAnsi="Arial"/>
                <w:sz w:val="16"/>
                <w:szCs w:val="16"/>
                <w:color w:val="auto"/>
              </w:rPr>
              <w:t>75,000</w:t>
            </w:r>
          </w:p>
        </w:tc>
        <w:tc>
          <w:tcPr>
            <w:tcW w:w="520" w:type="dxa"/>
            <w:vAlign w:val="bottom"/>
            <w:tcBorders>
              <w:bottom w:val="single" w:sz="8" w:color="62259D"/>
            </w:tcBorders>
          </w:tcPr>
          <w:p>
            <w:pPr>
              <w:ind w:left="360"/>
              <w:spacing w:after="0"/>
              <w:rPr>
                <w:sz w:val="20"/>
                <w:szCs w:val="20"/>
                <w:color w:val="auto"/>
              </w:rPr>
            </w:pPr>
            <w:r>
              <w:rPr>
                <w:rFonts w:ascii="Arial" w:cs="Arial" w:eastAsia="Arial" w:hAnsi="Arial"/>
                <w:sz w:val="16"/>
                <w:szCs w:val="16"/>
                <w:color w:val="auto"/>
              </w:rPr>
              <w:t>​ ​</w:t>
            </w:r>
          </w:p>
        </w:tc>
        <w:tc>
          <w:tcPr>
            <w:tcW w:w="320" w:type="dxa"/>
            <w:vAlign w:val="bottom"/>
            <w:tcBorders>
              <w:bottom w:val="single" w:sz="8" w:color="62259D"/>
            </w:tcBorders>
          </w:tcPr>
          <w:p>
            <w:pPr>
              <w:jc w:val="center"/>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62259D"/>
            </w:tcBorders>
            <w:gridSpan w:val="2"/>
          </w:tcPr>
          <w:p>
            <w:pPr>
              <w:jc w:val="right"/>
              <w:ind w:right="259"/>
              <w:spacing w:after="0"/>
              <w:rPr>
                <w:sz w:val="20"/>
                <w:szCs w:val="20"/>
                <w:color w:val="auto"/>
              </w:rPr>
            </w:pPr>
            <w:r>
              <w:rPr>
                <w:rFonts w:ascii="Arial" w:cs="Arial" w:eastAsia="Arial" w:hAnsi="Arial"/>
                <w:sz w:val="16"/>
                <w:szCs w:val="16"/>
                <w:color w:val="auto"/>
              </w:rPr>
              <w:t>​​164,050</w:t>
            </w:r>
          </w:p>
        </w:tc>
        <w:tc>
          <w:tcPr>
            <w:tcW w:w="22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62259D"/>
            </w:tcBorders>
          </w:tcPr>
          <w:p>
            <w:pPr>
              <w:spacing w:after="0"/>
              <w:rPr>
                <w:sz w:val="19"/>
                <w:szCs w:val="19"/>
                <w:color w:val="auto"/>
              </w:rPr>
            </w:pPr>
          </w:p>
        </w:tc>
        <w:tc>
          <w:tcPr>
            <w:tcW w:w="1040" w:type="dxa"/>
            <w:vAlign w:val="bottom"/>
            <w:tcBorders>
              <w:bottom w:val="single" w:sz="8" w:color="62259D"/>
            </w:tcBorders>
            <w:gridSpan w:val="3"/>
          </w:tcPr>
          <w:p>
            <w:pPr>
              <w:jc w:val="right"/>
              <w:ind w:right="279"/>
              <w:spacing w:after="0"/>
              <w:rPr>
                <w:sz w:val="20"/>
                <w:szCs w:val="20"/>
                <w:color w:val="auto"/>
              </w:rPr>
            </w:pPr>
            <w:r>
              <w:rPr>
                <w:rFonts w:ascii="Arial" w:cs="Arial" w:eastAsia="Arial" w:hAnsi="Arial"/>
                <w:sz w:val="16"/>
                <w:szCs w:val="16"/>
                <w:color w:val="auto"/>
              </w:rPr>
              <w:t>​​239,050​</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400" w:right="119" w:hanging="368"/>
        <w:spacing w:after="0" w:line="266" w:lineRule="auto"/>
        <w:tabs>
          <w:tab w:leader="none" w:pos="14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amounts in this column do not reflect compensation actually received by the applicable director. Instead, the amounts reflect the grant date fair value of restricted stock unit awards, as calculated in accordance with Accounting Standards Codification 718, </w:t>
      </w:r>
      <w:r>
        <w:rPr>
          <w:rFonts w:ascii="Arial" w:cs="Arial" w:eastAsia="Arial" w:hAnsi="Arial"/>
          <w:sz w:val="16"/>
          <w:szCs w:val="16"/>
          <w:i w:val="1"/>
          <w:iCs w:val="1"/>
          <w:color w:val="auto"/>
        </w:rPr>
        <w:t>Compensation — Stock-Based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ASC 718</w:t>
      </w:r>
      <w:r>
        <w:rPr>
          <w:rFonts w:ascii="Arial" w:cs="Arial" w:eastAsia="Arial" w:hAnsi="Arial"/>
          <w:sz w:val="16"/>
          <w:szCs w:val="16"/>
          <w:color w:val="auto"/>
        </w:rPr>
        <w:t>”).</w:t>
      </w:r>
    </w:p>
    <w:p>
      <w:pPr>
        <w:spacing w:after="0" w:line="76" w:lineRule="exact"/>
        <w:rPr>
          <w:rFonts w:ascii="Arial" w:cs="Arial" w:eastAsia="Arial" w:hAnsi="Arial"/>
          <w:sz w:val="16"/>
          <w:szCs w:val="16"/>
          <w:color w:val="auto"/>
        </w:rPr>
      </w:pPr>
    </w:p>
    <w:p>
      <w:pPr>
        <w:ind w:left="1400" w:right="439"/>
        <w:spacing w:after="0" w:line="304" w:lineRule="auto"/>
        <w:rPr>
          <w:rFonts w:ascii="Arial" w:cs="Arial" w:eastAsia="Arial" w:hAnsi="Arial"/>
          <w:sz w:val="16"/>
          <w:szCs w:val="16"/>
          <w:color w:val="auto"/>
        </w:rPr>
      </w:pPr>
      <w:r>
        <w:rPr>
          <w:rFonts w:ascii="Arial" w:cs="Arial" w:eastAsia="Arial" w:hAnsi="Arial"/>
          <w:sz w:val="16"/>
          <w:szCs w:val="16"/>
          <w:color w:val="auto"/>
        </w:rPr>
        <w:t>The amounts reported for each member of the Board represents the grant date fair value of his or her grants during 2025. The grants made to each director during 2025 were as follows:</w:t>
      </w:r>
    </w:p>
    <w:p>
      <w:pPr>
        <w:spacing w:after="0" w:line="115"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2120" w:type="dxa"/>
            <w:vAlign w:val="bottom"/>
            <w:shd w:val="clear" w:color="auto" w:fill="62259D"/>
          </w:tcPr>
          <w:p>
            <w:pPr>
              <w:spacing w:after="0"/>
              <w:rPr>
                <w:sz w:val="18"/>
                <w:szCs w:val="18"/>
                <w:color w:val="auto"/>
              </w:rPr>
            </w:pPr>
          </w:p>
        </w:tc>
        <w:tc>
          <w:tcPr>
            <w:tcW w:w="640" w:type="dxa"/>
            <w:vAlign w:val="bottom"/>
            <w:shd w:val="clear" w:color="auto" w:fill="62259D"/>
          </w:tcPr>
          <w:p>
            <w:pPr>
              <w:spacing w:after="0"/>
              <w:rPr>
                <w:sz w:val="18"/>
                <w:szCs w:val="18"/>
                <w:color w:val="auto"/>
              </w:rPr>
            </w:pPr>
          </w:p>
        </w:tc>
        <w:tc>
          <w:tcPr>
            <w:tcW w:w="200" w:type="dxa"/>
            <w:vAlign w:val="bottom"/>
            <w:shd w:val="clear" w:color="auto" w:fill="62259D"/>
          </w:tcPr>
          <w:p>
            <w:pPr>
              <w:spacing w:after="0"/>
              <w:rPr>
                <w:sz w:val="18"/>
                <w:szCs w:val="18"/>
                <w:color w:val="auto"/>
              </w:rPr>
            </w:pPr>
          </w:p>
        </w:tc>
        <w:tc>
          <w:tcPr>
            <w:tcW w:w="2860" w:type="dxa"/>
            <w:vAlign w:val="bottom"/>
            <w:gridSpan w:val="3"/>
            <w:shd w:val="clear" w:color="auto" w:fill="62259D"/>
          </w:tcPr>
          <w:p>
            <w:pPr>
              <w:ind w:left="20"/>
              <w:spacing w:after="0"/>
              <w:rPr>
                <w:sz w:val="20"/>
                <w:szCs w:val="20"/>
                <w:color w:val="auto"/>
              </w:rPr>
            </w:pPr>
            <w:r>
              <w:rPr>
                <w:rFonts w:ascii="Arial" w:cs="Arial" w:eastAsia="Arial" w:hAnsi="Arial"/>
                <w:sz w:val="16"/>
                <w:szCs w:val="16"/>
                <w:b w:val="1"/>
                <w:bCs w:val="1"/>
                <w:color w:val="FEFEFE"/>
              </w:rPr>
              <w:t>Restricted Stock Units (“RSUs”)</w:t>
            </w:r>
          </w:p>
        </w:tc>
        <w:tc>
          <w:tcPr>
            <w:tcW w:w="300" w:type="dxa"/>
            <w:vAlign w:val="bottom"/>
            <w:shd w:val="clear" w:color="auto" w:fill="62259D"/>
          </w:tcPr>
          <w:p>
            <w:pPr>
              <w:spacing w:after="0"/>
              <w:rPr>
                <w:sz w:val="18"/>
                <w:szCs w:val="18"/>
                <w:color w:val="auto"/>
              </w:rPr>
            </w:pPr>
          </w:p>
        </w:tc>
        <w:tc>
          <w:tcPr>
            <w:tcW w:w="182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Grant Date Fair Value</w:t>
            </w:r>
          </w:p>
        </w:tc>
        <w:tc>
          <w:tcPr>
            <w:tcW w:w="440" w:type="dxa"/>
            <w:vAlign w:val="bottom"/>
            <w:shd w:val="clear" w:color="auto" w:fill="62259D"/>
          </w:tcPr>
          <w:p>
            <w:pPr>
              <w:spacing w:after="0"/>
              <w:rPr>
                <w:sz w:val="18"/>
                <w:szCs w:val="18"/>
                <w:color w:val="auto"/>
              </w:rPr>
            </w:pPr>
          </w:p>
        </w:tc>
      </w:tr>
      <w:tr>
        <w:trPr>
          <w:trHeight w:val="230"/>
        </w:trPr>
        <w:tc>
          <w:tcPr>
            <w:tcW w:w="2120" w:type="dxa"/>
            <w:vAlign w:val="bottom"/>
            <w:shd w:val="clear" w:color="auto" w:fill="62259D"/>
          </w:tcPr>
          <w:p>
            <w:pPr>
              <w:ind w:left="40"/>
              <w:spacing w:after="0"/>
              <w:rPr>
                <w:sz w:val="20"/>
                <w:szCs w:val="20"/>
                <w:color w:val="auto"/>
              </w:rPr>
            </w:pPr>
            <w:r>
              <w:rPr>
                <w:rFonts w:ascii="Arial" w:cs="Arial" w:eastAsia="Arial" w:hAnsi="Arial"/>
                <w:sz w:val="16"/>
                <w:szCs w:val="16"/>
                <w:b w:val="1"/>
                <w:bCs w:val="1"/>
                <w:color w:val="FEFEFE"/>
              </w:rPr>
              <w:t>​Director</w:t>
            </w:r>
          </w:p>
        </w:tc>
        <w:tc>
          <w:tcPr>
            <w:tcW w:w="640" w:type="dxa"/>
            <w:vAlign w:val="bottom"/>
            <w:shd w:val="clear" w:color="auto" w:fill="62259D"/>
          </w:tcPr>
          <w:p>
            <w:pPr>
              <w:ind w:left="580"/>
              <w:spacing w:after="0"/>
              <w:rPr>
                <w:sz w:val="20"/>
                <w:szCs w:val="20"/>
                <w:color w:val="auto"/>
              </w:rPr>
            </w:pPr>
            <w:r>
              <w:rPr>
                <w:rFonts w:ascii="Arial" w:cs="Arial" w:eastAsia="Arial" w:hAnsi="Arial"/>
                <w:sz w:val="16"/>
                <w:szCs w:val="16"/>
                <w:b w:val="1"/>
                <w:bCs w:val="1"/>
                <w:color w:val="FEFEFE"/>
              </w:rPr>
              <w:t>​</w:t>
            </w:r>
          </w:p>
        </w:tc>
        <w:tc>
          <w:tcPr>
            <w:tcW w:w="200" w:type="dxa"/>
            <w:vAlign w:val="bottom"/>
            <w:shd w:val="clear" w:color="auto" w:fill="62259D"/>
          </w:tcPr>
          <w:p>
            <w:pPr>
              <w:ind w:left="120"/>
              <w:spacing w:after="0"/>
              <w:rPr>
                <w:sz w:val="20"/>
                <w:szCs w:val="20"/>
                <w:color w:val="auto"/>
              </w:rPr>
            </w:pPr>
            <w:r>
              <w:rPr>
                <w:rFonts w:ascii="Arial" w:cs="Arial" w:eastAsia="Arial" w:hAnsi="Arial"/>
                <w:sz w:val="16"/>
                <w:szCs w:val="16"/>
                <w:b w:val="1"/>
                <w:bCs w:val="1"/>
                <w:color w:val="FEFEFE"/>
              </w:rPr>
              <w:t>​</w:t>
            </w:r>
          </w:p>
        </w:tc>
        <w:tc>
          <w:tcPr>
            <w:tcW w:w="1180" w:type="dxa"/>
            <w:vAlign w:val="bottom"/>
            <w:shd w:val="clear" w:color="auto" w:fill="62259D"/>
          </w:tcPr>
          <w:p>
            <w:pPr>
              <w:spacing w:after="0"/>
              <w:rPr>
                <w:sz w:val="20"/>
                <w:szCs w:val="20"/>
                <w:color w:val="auto"/>
              </w:rPr>
            </w:pPr>
          </w:p>
        </w:tc>
        <w:tc>
          <w:tcPr>
            <w:tcW w:w="1140" w:type="dxa"/>
            <w:vAlign w:val="bottom"/>
            <w:shd w:val="clear" w:color="auto" w:fill="62259D"/>
          </w:tcPr>
          <w:p>
            <w:pPr>
              <w:ind w:left="120"/>
              <w:spacing w:after="0"/>
              <w:rPr>
                <w:sz w:val="20"/>
                <w:szCs w:val="20"/>
                <w:color w:val="auto"/>
              </w:rPr>
            </w:pPr>
            <w:r>
              <w:rPr>
                <w:rFonts w:ascii="Arial" w:cs="Arial" w:eastAsia="Arial" w:hAnsi="Arial"/>
                <w:sz w:val="16"/>
                <w:szCs w:val="16"/>
                <w:b w:val="1"/>
                <w:bCs w:val="1"/>
                <w:color w:val="FEFEFE"/>
              </w:rPr>
              <w:t>(#)</w:t>
            </w:r>
          </w:p>
        </w:tc>
        <w:tc>
          <w:tcPr>
            <w:tcW w:w="540" w:type="dxa"/>
            <w:vAlign w:val="bottom"/>
            <w:shd w:val="clear" w:color="auto" w:fill="62259D"/>
          </w:tcPr>
          <w:p>
            <w:pPr>
              <w:spacing w:after="0"/>
              <w:rPr>
                <w:sz w:val="20"/>
                <w:szCs w:val="20"/>
                <w:color w:val="auto"/>
              </w:rPr>
            </w:pPr>
          </w:p>
        </w:tc>
        <w:tc>
          <w:tcPr>
            <w:tcW w:w="30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  ​</w:t>
            </w:r>
          </w:p>
        </w:tc>
        <w:tc>
          <w:tcPr>
            <w:tcW w:w="1820" w:type="dxa"/>
            <w:vAlign w:val="bottom"/>
            <w:shd w:val="clear" w:color="auto" w:fill="62259D"/>
          </w:tcPr>
          <w:p>
            <w:pPr>
              <w:jc w:val="right"/>
              <w:ind w:right="708"/>
              <w:spacing w:after="0"/>
              <w:rPr>
                <w:sz w:val="20"/>
                <w:szCs w:val="20"/>
                <w:color w:val="auto"/>
              </w:rPr>
            </w:pPr>
            <w:r>
              <w:rPr>
                <w:rFonts w:ascii="Arial" w:cs="Arial" w:eastAsia="Arial" w:hAnsi="Arial"/>
                <w:sz w:val="16"/>
                <w:szCs w:val="16"/>
                <w:b w:val="1"/>
                <w:bCs w:val="1"/>
                <w:color w:val="FEFEFE"/>
              </w:rPr>
              <w:t>($)</w:t>
            </w:r>
          </w:p>
        </w:tc>
        <w:tc>
          <w:tcPr>
            <w:tcW w:w="440" w:type="dxa"/>
            <w:vAlign w:val="bottom"/>
            <w:shd w:val="clear" w:color="auto" w:fill="62259D"/>
          </w:tcPr>
          <w:p>
            <w:pPr>
              <w:ind w:left="240"/>
              <w:spacing w:after="0"/>
              <w:rPr>
                <w:sz w:val="20"/>
                <w:szCs w:val="20"/>
                <w:color w:val="auto"/>
              </w:rPr>
            </w:pPr>
            <w:r>
              <w:rPr>
                <w:rFonts w:ascii="Arial" w:cs="Arial" w:eastAsia="Arial" w:hAnsi="Arial"/>
                <w:sz w:val="16"/>
                <w:szCs w:val="16"/>
                <w:b w:val="1"/>
                <w:bCs w:val="1"/>
                <w:color w:val="FEFEFE"/>
              </w:rPr>
              <w:t>​</w:t>
            </w:r>
          </w:p>
        </w:tc>
      </w:tr>
      <w:tr>
        <w:trPr>
          <w:trHeight w:val="230"/>
        </w:trPr>
        <w:tc>
          <w:tcPr>
            <w:tcW w:w="2120" w:type="dxa"/>
            <w:vAlign w:val="bottom"/>
            <w:tcBorders>
              <w:bottom w:val="single" w:sz="8" w:color="E7417A"/>
            </w:tcBorders>
          </w:tcPr>
          <w:p>
            <w:pP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 xml:space="preserve"> R. Stewart Ewing, Jr.</w:t>
            </w:r>
          </w:p>
        </w:tc>
        <w:tc>
          <w:tcPr>
            <w:tcW w:w="64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7417A"/>
            </w:tcBorders>
          </w:tcPr>
          <w:p>
            <w:pPr>
              <w:ind w:left="1000"/>
              <w:spacing w:after="0" w:line="23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6"/>
                <w:szCs w:val="26"/>
                <w:color w:val="auto"/>
                <w:vertAlign w:val="subscript"/>
              </w:rPr>
              <w:t>​</w:t>
            </w:r>
          </w:p>
        </w:tc>
        <w:tc>
          <w:tcPr>
            <w:tcW w:w="1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42,500</w:t>
            </w:r>
            <w:r>
              <w:rPr>
                <w:rFonts w:ascii="Arial" w:cs="Arial" w:eastAsia="Arial" w:hAnsi="Arial"/>
                <w:sz w:val="19"/>
                <w:szCs w:val="19"/>
                <w:color w:val="auto"/>
                <w:vertAlign w:val="superscript"/>
              </w:rPr>
              <w:t>(a)</w:t>
            </w:r>
          </w:p>
        </w:tc>
        <w:tc>
          <w:tcPr>
            <w:tcW w:w="54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E7417A"/>
            </w:tcBorders>
          </w:tcPr>
          <w:p>
            <w:pPr>
              <w:jc w:val="cente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4"/>
                <w:szCs w:val="14"/>
                <w:color w:val="auto"/>
              </w:rPr>
              <w:t>​164,050</w:t>
            </w:r>
          </w:p>
        </w:tc>
        <w:tc>
          <w:tcPr>
            <w:tcW w:w="44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23"/>
        </w:trPr>
        <w:tc>
          <w:tcPr>
            <w:tcW w:w="2120" w:type="dxa"/>
            <w:vAlign w:val="bottom"/>
            <w:tcBorders>
              <w:bottom w:val="single" w:sz="8" w:color="E7417A"/>
            </w:tcBorders>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Bruns H. Grayson</w:t>
            </w:r>
          </w:p>
        </w:tc>
        <w:tc>
          <w:tcPr>
            <w:tcW w:w="64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7417A"/>
            </w:tcBorders>
          </w:tcPr>
          <w:p>
            <w:pPr>
              <w:ind w:left="100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w:t>
            </w:r>
          </w:p>
        </w:tc>
        <w:tc>
          <w:tcPr>
            <w:tcW w:w="1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42,500</w:t>
            </w:r>
            <w:r>
              <w:rPr>
                <w:rFonts w:ascii="Arial" w:cs="Arial" w:eastAsia="Arial" w:hAnsi="Arial"/>
                <w:sz w:val="19"/>
                <w:szCs w:val="19"/>
                <w:color w:val="auto"/>
                <w:vertAlign w:val="superscript"/>
              </w:rPr>
              <w:t>(a)</w:t>
            </w:r>
          </w:p>
        </w:tc>
        <w:tc>
          <w:tcPr>
            <w:tcW w:w="54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E7417A"/>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​164,050</w:t>
            </w:r>
          </w:p>
        </w:tc>
        <w:tc>
          <w:tcPr>
            <w:tcW w:w="44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23"/>
        </w:trPr>
        <w:tc>
          <w:tcPr>
            <w:tcW w:w="2120" w:type="dxa"/>
            <w:vAlign w:val="bottom"/>
            <w:tcBorders>
              <w:bottom w:val="single" w:sz="8" w:color="E7417A"/>
            </w:tcBorders>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Beatriz V. Infante</w:t>
            </w:r>
          </w:p>
        </w:tc>
        <w:tc>
          <w:tcPr>
            <w:tcW w:w="64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7417A"/>
            </w:tcBorders>
          </w:tcPr>
          <w:p>
            <w:pPr>
              <w:ind w:left="1000"/>
              <w:spacing w:after="0" w:line="22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bscript"/>
              </w:rPr>
              <w:t>​</w:t>
            </w:r>
          </w:p>
        </w:tc>
        <w:tc>
          <w:tcPr>
            <w:tcW w:w="1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42,500</w:t>
            </w:r>
            <w:r>
              <w:rPr>
                <w:rFonts w:ascii="Arial" w:cs="Arial" w:eastAsia="Arial" w:hAnsi="Arial"/>
                <w:sz w:val="19"/>
                <w:szCs w:val="19"/>
                <w:color w:val="auto"/>
                <w:vertAlign w:val="superscript"/>
              </w:rPr>
              <w:t>(a)</w:t>
            </w:r>
          </w:p>
        </w:tc>
        <w:tc>
          <w:tcPr>
            <w:tcW w:w="54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E7417A"/>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​164,050</w:t>
            </w:r>
          </w:p>
        </w:tc>
        <w:tc>
          <w:tcPr>
            <w:tcW w:w="44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23"/>
        </w:trPr>
        <w:tc>
          <w:tcPr>
            <w:tcW w:w="2120" w:type="dxa"/>
            <w:vAlign w:val="bottom"/>
            <w:tcBorders>
              <w:bottom w:val="single" w:sz="8" w:color="E7417A"/>
            </w:tcBorders>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Scott Mair</w:t>
            </w:r>
          </w:p>
        </w:tc>
        <w:tc>
          <w:tcPr>
            <w:tcW w:w="64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7417A"/>
            </w:tcBorders>
          </w:tcPr>
          <w:p>
            <w:pPr>
              <w:ind w:left="1000"/>
              <w:spacing w:after="0" w:line="22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bscript"/>
              </w:rPr>
              <w:t>​</w:t>
            </w:r>
          </w:p>
        </w:tc>
        <w:tc>
          <w:tcPr>
            <w:tcW w:w="11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67,500</w:t>
            </w:r>
            <w:r>
              <w:rPr>
                <w:rFonts w:ascii="Arial" w:cs="Arial" w:eastAsia="Arial" w:hAnsi="Arial"/>
                <w:sz w:val="19"/>
                <w:szCs w:val="19"/>
                <w:color w:val="auto"/>
                <w:vertAlign w:val="superscript"/>
              </w:rPr>
              <w:t>(a)(b)</w:t>
            </w:r>
          </w:p>
        </w:tc>
        <w:tc>
          <w:tcPr>
            <w:tcW w:w="54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E7417A"/>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​260,550</w:t>
            </w:r>
          </w:p>
        </w:tc>
        <w:tc>
          <w:tcPr>
            <w:tcW w:w="44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23"/>
        </w:trPr>
        <w:tc>
          <w:tcPr>
            <w:tcW w:w="2120" w:type="dxa"/>
            <w:vAlign w:val="bottom"/>
            <w:tcBorders>
              <w:bottom w:val="single" w:sz="8" w:color="E7417A"/>
            </w:tcBorders>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Shaul Shani</w:t>
            </w:r>
          </w:p>
        </w:tc>
        <w:tc>
          <w:tcPr>
            <w:tcW w:w="64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320" w:type="dxa"/>
            <w:vAlign w:val="bottom"/>
            <w:tcBorders>
              <w:bottom w:val="single" w:sz="8" w:color="E7417A"/>
            </w:tcBorders>
            <w:gridSpan w:val="2"/>
          </w:tcPr>
          <w:p>
            <w:pPr>
              <w:ind w:left="1000"/>
              <w:spacing w:after="0" w:line="22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bscript"/>
              </w:rPr>
              <w:t>​227,110</w:t>
            </w:r>
            <w:r>
              <w:rPr>
                <w:rFonts w:ascii="Arial" w:cs="Arial" w:eastAsia="Arial" w:hAnsi="Arial"/>
                <w:sz w:val="16"/>
                <w:szCs w:val="16"/>
                <w:color w:val="auto"/>
                <w:vertAlign w:val="superscript"/>
              </w:rPr>
              <w:t>(a)(c)</w:t>
            </w:r>
          </w:p>
        </w:tc>
        <w:tc>
          <w:tcPr>
            <w:tcW w:w="54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E7417A"/>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​890,073</w:t>
            </w:r>
          </w:p>
        </w:tc>
        <w:tc>
          <w:tcPr>
            <w:tcW w:w="44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23"/>
        </w:trPr>
        <w:tc>
          <w:tcPr>
            <w:tcW w:w="2120" w:type="dxa"/>
            <w:vAlign w:val="bottom"/>
            <w:tcBorders>
              <w:bottom w:val="single" w:sz="8" w:color="62259D"/>
            </w:tcBorders>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Tanya Tamone</w:t>
            </w:r>
          </w:p>
        </w:tc>
        <w:tc>
          <w:tcPr>
            <w:tcW w:w="640" w:type="dxa"/>
            <w:vAlign w:val="bottom"/>
            <w:tcBorders>
              <w:bottom w:val="single" w:sz="8" w:color="62259D"/>
            </w:tcBorders>
          </w:tcPr>
          <w:p>
            <w:pPr>
              <w:ind w:left="4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62259D"/>
            </w:tcBorders>
          </w:tcPr>
          <w:p>
            <w:pPr>
              <w:ind w:left="1000"/>
              <w:spacing w:after="0" w:line="223"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bscript"/>
              </w:rPr>
              <w:t>​</w:t>
            </w:r>
          </w:p>
        </w:tc>
        <w:tc>
          <w:tcPr>
            <w:tcW w:w="1140" w:type="dxa"/>
            <w:vAlign w:val="bottom"/>
            <w:tcBorders>
              <w:bottom w:val="single" w:sz="8" w:color="62259D"/>
            </w:tcBorders>
          </w:tcPr>
          <w:p>
            <w:pPr>
              <w:ind w:left="40"/>
              <w:spacing w:after="0"/>
              <w:rPr>
                <w:sz w:val="20"/>
                <w:szCs w:val="20"/>
                <w:color w:val="auto"/>
              </w:rPr>
            </w:pPr>
            <w:r>
              <w:rPr>
                <w:rFonts w:ascii="Arial" w:cs="Arial" w:eastAsia="Arial" w:hAnsi="Arial"/>
                <w:sz w:val="16"/>
                <w:szCs w:val="16"/>
                <w:color w:val="auto"/>
              </w:rPr>
              <w:t>42,500</w:t>
            </w:r>
            <w:r>
              <w:rPr>
                <w:rFonts w:ascii="Arial" w:cs="Arial" w:eastAsia="Arial" w:hAnsi="Arial"/>
                <w:sz w:val="19"/>
                <w:szCs w:val="19"/>
                <w:color w:val="auto"/>
                <w:vertAlign w:val="superscript"/>
              </w:rPr>
              <w:t>(a)</w:t>
            </w:r>
          </w:p>
        </w:tc>
        <w:tc>
          <w:tcPr>
            <w:tcW w:w="540" w:type="dxa"/>
            <w:vAlign w:val="bottom"/>
            <w:tcBorders>
              <w:bottom w:val="single" w:sz="8" w:color="62259D"/>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62259D"/>
            </w:tcBorders>
          </w:tcPr>
          <w:p>
            <w:pPr>
              <w:jc w:val="center"/>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62259D"/>
            </w:tcBorders>
          </w:tcPr>
          <w:p>
            <w:pPr>
              <w:jc w:val="cente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​164,050</w:t>
            </w:r>
          </w:p>
        </w:tc>
        <w:tc>
          <w:tcPr>
            <w:tcW w:w="44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w:t>
            </w:r>
          </w:p>
        </w:tc>
      </w:tr>
    </w:tbl>
    <w:p>
      <w:pPr>
        <w:spacing w:after="0" w:line="215" w:lineRule="exact"/>
        <w:rPr>
          <w:sz w:val="20"/>
          <w:szCs w:val="20"/>
          <w:color w:val="auto"/>
        </w:rPr>
      </w:pPr>
    </w:p>
    <w:p>
      <w:pPr>
        <w:ind w:left="1860" w:hanging="360"/>
        <w:spacing w:after="0"/>
        <w:tabs>
          <w:tab w:leader="none" w:pos="18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Annual director award of 42,500 RSUs granted on June 16, 2025 and will vest on June 16, 2026.</w:t>
      </w:r>
    </w:p>
    <w:p>
      <w:pPr>
        <w:spacing w:after="0" w:line="86" w:lineRule="exact"/>
        <w:rPr>
          <w:rFonts w:ascii="Arial" w:cs="Arial" w:eastAsia="Arial" w:hAnsi="Arial"/>
          <w:sz w:val="16"/>
          <w:szCs w:val="16"/>
          <w:color w:val="auto"/>
        </w:rPr>
      </w:pPr>
    </w:p>
    <w:p>
      <w:pPr>
        <w:ind w:left="1860" w:right="399" w:hanging="360"/>
        <w:spacing w:after="0" w:line="286" w:lineRule="auto"/>
        <w:tabs>
          <w:tab w:leader="none" w:pos="18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Includes special one-time grant of 25,000 RSUs to Mr. Mair in connection with his appointment as Vice Chairman. These RSUs were granted on June 16, 2025 and will vest on June 16, 2026.</w:t>
      </w:r>
    </w:p>
    <w:p>
      <w:pPr>
        <w:spacing w:after="0" w:line="34" w:lineRule="exact"/>
        <w:rPr>
          <w:rFonts w:ascii="Arial" w:cs="Arial" w:eastAsia="Arial" w:hAnsi="Arial"/>
          <w:sz w:val="16"/>
          <w:szCs w:val="16"/>
          <w:color w:val="auto"/>
        </w:rPr>
      </w:pPr>
    </w:p>
    <w:p>
      <w:pPr>
        <w:ind w:left="1860" w:right="519" w:hanging="360"/>
        <w:spacing w:after="0" w:line="266" w:lineRule="auto"/>
        <w:tabs>
          <w:tab w:leader="none" w:pos="18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Includes special one-time grant of 185,210 RSUs to Mr. Shani as described above in connection with services provided to the Company while electing to not take his cash fees earned as director compensation. These RSUs were granted on October 15, 2025 and will vest on October 15, 2026.</w:t>
      </w:r>
    </w:p>
    <w:p>
      <w:pPr>
        <w:spacing w:after="0" w:line="153"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E7417A"/>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9166BA"/>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9166BA"/>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8"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As of December 31, 2025, our non-employee directors held an aggregate of 464,410 unvested RSUs as follows:</w:t>
      </w:r>
    </w:p>
    <w:p>
      <w:pPr>
        <w:spacing w:after="0" w:line="195"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3400" w:type="dxa"/>
            <w:vAlign w:val="bottom"/>
            <w:shd w:val="clear" w:color="auto" w:fill="62259D"/>
          </w:tcPr>
          <w:p>
            <w:pPr>
              <w:spacing w:after="0"/>
              <w:rPr>
                <w:sz w:val="18"/>
                <w:szCs w:val="18"/>
                <w:color w:val="auto"/>
              </w:rPr>
            </w:pPr>
          </w:p>
        </w:tc>
        <w:tc>
          <w:tcPr>
            <w:tcW w:w="1940" w:type="dxa"/>
            <w:vAlign w:val="bottom"/>
            <w:shd w:val="clear" w:color="auto" w:fill="62259D"/>
          </w:tcPr>
          <w:p>
            <w:pPr>
              <w:spacing w:after="0"/>
              <w:rPr>
                <w:sz w:val="18"/>
                <w:szCs w:val="18"/>
                <w:color w:val="auto"/>
              </w:rPr>
            </w:pPr>
          </w:p>
        </w:tc>
        <w:tc>
          <w:tcPr>
            <w:tcW w:w="246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Number of Unvested RSUs</w:t>
            </w:r>
          </w:p>
        </w:tc>
        <w:tc>
          <w:tcPr>
            <w:tcW w:w="580" w:type="dxa"/>
            <w:vAlign w:val="bottom"/>
            <w:shd w:val="clear" w:color="auto" w:fill="62259D"/>
          </w:tcPr>
          <w:p>
            <w:pPr>
              <w:spacing w:after="0"/>
              <w:rPr>
                <w:sz w:val="18"/>
                <w:szCs w:val="18"/>
                <w:color w:val="auto"/>
              </w:rPr>
            </w:pPr>
          </w:p>
        </w:tc>
      </w:tr>
      <w:tr>
        <w:trPr>
          <w:trHeight w:val="189"/>
        </w:trPr>
        <w:tc>
          <w:tcPr>
            <w:tcW w:w="3400" w:type="dxa"/>
            <w:vAlign w:val="bottom"/>
            <w:shd w:val="clear" w:color="auto" w:fill="62259D"/>
          </w:tcPr>
          <w:p>
            <w:pPr>
              <w:spacing w:after="0"/>
              <w:rPr>
                <w:sz w:val="16"/>
                <w:szCs w:val="16"/>
                <w:color w:val="auto"/>
              </w:rPr>
            </w:pPr>
          </w:p>
        </w:tc>
        <w:tc>
          <w:tcPr>
            <w:tcW w:w="1940" w:type="dxa"/>
            <w:vAlign w:val="bottom"/>
            <w:shd w:val="clear" w:color="auto" w:fill="62259D"/>
          </w:tcPr>
          <w:p>
            <w:pPr>
              <w:spacing w:after="0"/>
              <w:rPr>
                <w:sz w:val="16"/>
                <w:szCs w:val="16"/>
                <w:color w:val="auto"/>
              </w:rPr>
            </w:pPr>
          </w:p>
        </w:tc>
        <w:tc>
          <w:tcPr>
            <w:tcW w:w="3040" w:type="dxa"/>
            <w:vAlign w:val="bottom"/>
            <w:gridSpan w:val="3"/>
            <w:shd w:val="clear" w:color="auto" w:fill="62259D"/>
          </w:tcPr>
          <w:p>
            <w:pPr>
              <w:jc w:val="right"/>
              <w:ind w:right="419"/>
              <w:spacing w:after="0"/>
              <w:rPr>
                <w:sz w:val="20"/>
                <w:szCs w:val="20"/>
                <w:color w:val="auto"/>
              </w:rPr>
            </w:pPr>
            <w:r>
              <w:rPr>
                <w:rFonts w:ascii="Arial" w:cs="Arial" w:eastAsia="Arial" w:hAnsi="Arial"/>
                <w:sz w:val="16"/>
                <w:szCs w:val="16"/>
                <w:b w:val="1"/>
                <w:bCs w:val="1"/>
                <w:color w:val="FEFEFE"/>
              </w:rPr>
              <w:t>Held as of December 31, 2025</w:t>
            </w:r>
          </w:p>
        </w:tc>
      </w:tr>
      <w:tr>
        <w:trPr>
          <w:trHeight w:val="230"/>
        </w:trPr>
        <w:tc>
          <w:tcPr>
            <w:tcW w:w="340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 Director</w:t>
            </w:r>
          </w:p>
        </w:tc>
        <w:tc>
          <w:tcPr>
            <w:tcW w:w="1940" w:type="dxa"/>
            <w:vAlign w:val="bottom"/>
            <w:shd w:val="clear" w:color="auto" w:fill="62259D"/>
          </w:tcPr>
          <w:p>
            <w:pPr>
              <w:ind w:left="1760"/>
              <w:spacing w:after="0"/>
              <w:rPr>
                <w:sz w:val="20"/>
                <w:szCs w:val="20"/>
                <w:color w:val="auto"/>
              </w:rPr>
            </w:pPr>
            <w:r>
              <w:rPr>
                <w:rFonts w:ascii="Arial" w:cs="Arial" w:eastAsia="Arial" w:hAnsi="Arial"/>
                <w:sz w:val="16"/>
                <w:szCs w:val="16"/>
                <w:b w:val="1"/>
                <w:bCs w:val="1"/>
                <w:color w:val="FEFEFE"/>
              </w:rPr>
              <w:t>​ ​</w:t>
            </w:r>
          </w:p>
        </w:tc>
        <w:tc>
          <w:tcPr>
            <w:tcW w:w="1080" w:type="dxa"/>
            <w:vAlign w:val="bottom"/>
            <w:shd w:val="clear" w:color="auto" w:fill="62259D"/>
          </w:tcPr>
          <w:p>
            <w:pPr>
              <w:spacing w:after="0"/>
              <w:rPr>
                <w:sz w:val="20"/>
                <w:szCs w:val="20"/>
                <w:color w:val="auto"/>
              </w:rPr>
            </w:pPr>
          </w:p>
        </w:tc>
        <w:tc>
          <w:tcPr>
            <w:tcW w:w="1380" w:type="dxa"/>
            <w:vAlign w:val="bottom"/>
            <w:shd w:val="clear" w:color="auto" w:fill="62259D"/>
          </w:tcPr>
          <w:p>
            <w:pPr>
              <w:jc w:val="right"/>
              <w:ind w:right="959"/>
              <w:spacing w:after="0"/>
              <w:rPr>
                <w:sz w:val="20"/>
                <w:szCs w:val="20"/>
                <w:color w:val="auto"/>
              </w:rPr>
            </w:pPr>
            <w:r>
              <w:rPr>
                <w:rFonts w:ascii="Arial" w:cs="Arial" w:eastAsia="Arial" w:hAnsi="Arial"/>
                <w:sz w:val="16"/>
                <w:szCs w:val="16"/>
                <w:b w:val="1"/>
                <w:bCs w:val="1"/>
                <w:color w:val="FEFEFE"/>
              </w:rPr>
              <w:t>(#)</w:t>
            </w:r>
          </w:p>
        </w:tc>
        <w:tc>
          <w:tcPr>
            <w:tcW w:w="580" w:type="dxa"/>
            <w:vAlign w:val="bottom"/>
            <w:shd w:val="clear" w:color="auto" w:fill="62259D"/>
          </w:tcPr>
          <w:p>
            <w:pPr>
              <w:jc w:val="right"/>
              <w:ind w:right="319"/>
              <w:spacing w:after="0"/>
              <w:rPr>
                <w:sz w:val="20"/>
                <w:szCs w:val="20"/>
                <w:color w:val="auto"/>
              </w:rPr>
            </w:pPr>
            <w:r>
              <w:rPr>
                <w:rFonts w:ascii="Arial" w:cs="Arial" w:eastAsia="Arial" w:hAnsi="Arial"/>
                <w:sz w:val="16"/>
                <w:szCs w:val="16"/>
                <w:b w:val="1"/>
                <w:bCs w:val="1"/>
                <w:color w:val="FEFEFE"/>
              </w:rPr>
              <w:t>​</w:t>
            </w:r>
          </w:p>
        </w:tc>
      </w:tr>
      <w:tr>
        <w:trPr>
          <w:trHeight w:val="229"/>
        </w:trPr>
        <w:tc>
          <w:tcPr>
            <w:tcW w:w="34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R. Stewart Ewing, Jr.</w:t>
            </w:r>
          </w:p>
        </w:tc>
        <w:tc>
          <w:tcPr>
            <w:tcW w:w="1940" w:type="dxa"/>
            <w:vAlign w:val="bottom"/>
            <w:tcBorders>
              <w:bottom w:val="single" w:sz="8" w:color="E7417A"/>
            </w:tcBorders>
          </w:tcPr>
          <w:p>
            <w:pPr>
              <w:ind w:left="176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E7417A"/>
            </w:tcBorders>
          </w:tcPr>
          <w:p>
            <w:pPr>
              <w:ind w:left="9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7417A"/>
            </w:tcBorders>
          </w:tcPr>
          <w:p>
            <w:pPr>
              <w:jc w:val="right"/>
              <w:ind w:right="759"/>
              <w:spacing w:after="0"/>
              <w:rPr>
                <w:sz w:val="20"/>
                <w:szCs w:val="20"/>
                <w:color w:val="auto"/>
              </w:rPr>
            </w:pPr>
            <w:r>
              <w:rPr>
                <w:rFonts w:ascii="Arial" w:cs="Arial" w:eastAsia="Arial" w:hAnsi="Arial"/>
                <w:sz w:val="16"/>
                <w:szCs w:val="16"/>
                <w:color w:val="auto"/>
              </w:rPr>
              <w:t>42,500</w:t>
            </w:r>
          </w:p>
        </w:tc>
        <w:tc>
          <w:tcPr>
            <w:tcW w:w="580" w:type="dxa"/>
            <w:vAlign w:val="bottom"/>
            <w:tcBorders>
              <w:bottom w:val="single" w:sz="8" w:color="E7417A"/>
            </w:tcBorders>
          </w:tcPr>
          <w:p>
            <w:pPr>
              <w:jc w:val="right"/>
              <w:ind w:right="319"/>
              <w:spacing w:after="0"/>
              <w:rPr>
                <w:sz w:val="20"/>
                <w:szCs w:val="20"/>
                <w:color w:val="auto"/>
              </w:rPr>
            </w:pPr>
            <w:r>
              <w:rPr>
                <w:rFonts w:ascii="Arial" w:cs="Arial" w:eastAsia="Arial" w:hAnsi="Arial"/>
                <w:sz w:val="16"/>
                <w:szCs w:val="16"/>
                <w:color w:val="auto"/>
              </w:rPr>
              <w:t>​ ​</w:t>
            </w:r>
          </w:p>
        </w:tc>
      </w:tr>
      <w:tr>
        <w:trPr>
          <w:trHeight w:val="223"/>
        </w:trPr>
        <w:tc>
          <w:tcPr>
            <w:tcW w:w="34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Bruns H. Grayson</w:t>
            </w:r>
          </w:p>
        </w:tc>
        <w:tc>
          <w:tcPr>
            <w:tcW w:w="1940" w:type="dxa"/>
            <w:vAlign w:val="bottom"/>
            <w:tcBorders>
              <w:bottom w:val="single" w:sz="8" w:color="E7417A"/>
            </w:tcBorders>
          </w:tcPr>
          <w:p>
            <w:pPr>
              <w:ind w:left="1760"/>
              <w:spacing w:after="0"/>
              <w:rPr>
                <w:sz w:val="20"/>
                <w:szCs w:val="20"/>
                <w:color w:val="auto"/>
              </w:rPr>
            </w:pPr>
            <w:r>
              <w:rPr>
                <w:rFonts w:ascii="Arial" w:cs="Arial" w:eastAsia="Arial" w:hAnsi="Arial"/>
                <w:sz w:val="16"/>
                <w:szCs w:val="16"/>
                <w:color w:val="auto"/>
              </w:rPr>
              <w:t>​ ​</w:t>
            </w:r>
          </w:p>
        </w:tc>
        <w:tc>
          <w:tcPr>
            <w:tcW w:w="2460" w:type="dxa"/>
            <w:vAlign w:val="bottom"/>
            <w:tcBorders>
              <w:bottom w:val="single" w:sz="8" w:color="E7417A"/>
            </w:tcBorders>
            <w:gridSpan w:val="2"/>
          </w:tcPr>
          <w:p>
            <w:pPr>
              <w:jc w:val="right"/>
              <w:ind w:right="759"/>
              <w:spacing w:after="0"/>
              <w:rPr>
                <w:sz w:val="20"/>
                <w:szCs w:val="20"/>
                <w:color w:val="auto"/>
              </w:rPr>
            </w:pPr>
            <w:r>
              <w:rPr>
                <w:rFonts w:ascii="Arial" w:cs="Arial" w:eastAsia="Arial" w:hAnsi="Arial"/>
                <w:sz w:val="16"/>
                <w:szCs w:val="16"/>
                <w:color w:val="auto"/>
              </w:rPr>
              <w:t>​​ 42,500</w:t>
            </w:r>
          </w:p>
        </w:tc>
        <w:tc>
          <w:tcPr>
            <w:tcW w:w="580" w:type="dxa"/>
            <w:vAlign w:val="bottom"/>
            <w:tcBorders>
              <w:bottom w:val="single" w:sz="8" w:color="E7417A"/>
            </w:tcBorders>
          </w:tcPr>
          <w:p>
            <w:pPr>
              <w:jc w:val="right"/>
              <w:ind w:right="319"/>
              <w:spacing w:after="0"/>
              <w:rPr>
                <w:sz w:val="20"/>
                <w:szCs w:val="20"/>
                <w:color w:val="auto"/>
              </w:rPr>
            </w:pPr>
            <w:r>
              <w:rPr>
                <w:rFonts w:ascii="Arial" w:cs="Arial" w:eastAsia="Arial" w:hAnsi="Arial"/>
                <w:sz w:val="16"/>
                <w:szCs w:val="16"/>
                <w:color w:val="auto"/>
              </w:rPr>
              <w:t>​ ​</w:t>
            </w:r>
          </w:p>
        </w:tc>
      </w:tr>
      <w:tr>
        <w:trPr>
          <w:trHeight w:val="223"/>
        </w:trPr>
        <w:tc>
          <w:tcPr>
            <w:tcW w:w="34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Beatriz V. Infante</w:t>
            </w:r>
          </w:p>
        </w:tc>
        <w:tc>
          <w:tcPr>
            <w:tcW w:w="1940" w:type="dxa"/>
            <w:vAlign w:val="bottom"/>
            <w:tcBorders>
              <w:bottom w:val="single" w:sz="8" w:color="E7417A"/>
            </w:tcBorders>
          </w:tcPr>
          <w:p>
            <w:pPr>
              <w:ind w:left="176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E7417A"/>
            </w:tcBorders>
          </w:tcPr>
          <w:p>
            <w:pPr>
              <w:ind w:left="9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7417A"/>
            </w:tcBorders>
          </w:tcPr>
          <w:p>
            <w:pPr>
              <w:jc w:val="right"/>
              <w:ind w:right="759"/>
              <w:spacing w:after="0"/>
              <w:rPr>
                <w:sz w:val="20"/>
                <w:szCs w:val="20"/>
                <w:color w:val="auto"/>
              </w:rPr>
            </w:pPr>
            <w:r>
              <w:rPr>
                <w:rFonts w:ascii="Arial" w:cs="Arial" w:eastAsia="Arial" w:hAnsi="Arial"/>
                <w:sz w:val="16"/>
                <w:szCs w:val="16"/>
                <w:color w:val="auto"/>
              </w:rPr>
              <w:t>42,500</w:t>
            </w:r>
          </w:p>
        </w:tc>
        <w:tc>
          <w:tcPr>
            <w:tcW w:w="580" w:type="dxa"/>
            <w:vAlign w:val="bottom"/>
            <w:tcBorders>
              <w:bottom w:val="single" w:sz="8" w:color="E7417A"/>
            </w:tcBorders>
          </w:tcPr>
          <w:p>
            <w:pPr>
              <w:jc w:val="right"/>
              <w:ind w:right="319"/>
              <w:spacing w:after="0"/>
              <w:rPr>
                <w:sz w:val="20"/>
                <w:szCs w:val="20"/>
                <w:color w:val="auto"/>
              </w:rPr>
            </w:pPr>
            <w:r>
              <w:rPr>
                <w:rFonts w:ascii="Arial" w:cs="Arial" w:eastAsia="Arial" w:hAnsi="Arial"/>
                <w:sz w:val="16"/>
                <w:szCs w:val="16"/>
                <w:color w:val="auto"/>
              </w:rPr>
              <w:t>​ ​</w:t>
            </w:r>
          </w:p>
        </w:tc>
      </w:tr>
      <w:tr>
        <w:trPr>
          <w:trHeight w:val="223"/>
        </w:trPr>
        <w:tc>
          <w:tcPr>
            <w:tcW w:w="34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Scott Mair</w:t>
            </w:r>
          </w:p>
        </w:tc>
        <w:tc>
          <w:tcPr>
            <w:tcW w:w="1940" w:type="dxa"/>
            <w:vAlign w:val="bottom"/>
            <w:tcBorders>
              <w:bottom w:val="single" w:sz="8" w:color="E7417A"/>
            </w:tcBorders>
          </w:tcPr>
          <w:p>
            <w:pPr>
              <w:ind w:left="176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E7417A"/>
            </w:tcBorders>
          </w:tcPr>
          <w:p>
            <w:pPr>
              <w:ind w:left="9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7417A"/>
            </w:tcBorders>
          </w:tcPr>
          <w:p>
            <w:pPr>
              <w:jc w:val="right"/>
              <w:ind w:right="759"/>
              <w:spacing w:after="0"/>
              <w:rPr>
                <w:sz w:val="20"/>
                <w:szCs w:val="20"/>
                <w:color w:val="auto"/>
              </w:rPr>
            </w:pPr>
            <w:r>
              <w:rPr>
                <w:rFonts w:ascii="Arial" w:cs="Arial" w:eastAsia="Arial" w:hAnsi="Arial"/>
                <w:sz w:val="16"/>
                <w:szCs w:val="16"/>
                <w:color w:val="auto"/>
              </w:rPr>
              <w:t>67,500</w:t>
            </w:r>
          </w:p>
        </w:tc>
        <w:tc>
          <w:tcPr>
            <w:tcW w:w="580" w:type="dxa"/>
            <w:vAlign w:val="bottom"/>
            <w:tcBorders>
              <w:bottom w:val="single" w:sz="8" w:color="E7417A"/>
            </w:tcBorders>
          </w:tcPr>
          <w:p>
            <w:pPr>
              <w:jc w:val="right"/>
              <w:ind w:right="319"/>
              <w:spacing w:after="0"/>
              <w:rPr>
                <w:sz w:val="20"/>
                <w:szCs w:val="20"/>
                <w:color w:val="auto"/>
              </w:rPr>
            </w:pPr>
            <w:r>
              <w:rPr>
                <w:rFonts w:ascii="Arial" w:cs="Arial" w:eastAsia="Arial" w:hAnsi="Arial"/>
                <w:sz w:val="16"/>
                <w:szCs w:val="16"/>
                <w:color w:val="auto"/>
              </w:rPr>
              <w:t>​ ​</w:t>
            </w:r>
          </w:p>
        </w:tc>
      </w:tr>
      <w:tr>
        <w:trPr>
          <w:trHeight w:val="223"/>
        </w:trPr>
        <w:tc>
          <w:tcPr>
            <w:tcW w:w="34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Shaul Shani</w:t>
            </w:r>
          </w:p>
        </w:tc>
        <w:tc>
          <w:tcPr>
            <w:tcW w:w="1940" w:type="dxa"/>
            <w:vAlign w:val="bottom"/>
            <w:tcBorders>
              <w:bottom w:val="single" w:sz="8" w:color="E7417A"/>
            </w:tcBorders>
          </w:tcPr>
          <w:p>
            <w:pPr>
              <w:ind w:left="1760"/>
              <w:spacing w:after="0"/>
              <w:rPr>
                <w:sz w:val="20"/>
                <w:szCs w:val="20"/>
                <w:color w:val="auto"/>
              </w:rPr>
            </w:pPr>
            <w:r>
              <w:rPr>
                <w:rFonts w:ascii="Arial" w:cs="Arial" w:eastAsia="Arial" w:hAnsi="Arial"/>
                <w:sz w:val="16"/>
                <w:szCs w:val="16"/>
                <w:color w:val="auto"/>
              </w:rPr>
              <w:t>​ ​</w:t>
            </w:r>
          </w:p>
        </w:tc>
        <w:tc>
          <w:tcPr>
            <w:tcW w:w="2460" w:type="dxa"/>
            <w:vAlign w:val="bottom"/>
            <w:tcBorders>
              <w:bottom w:val="single" w:sz="8" w:color="E7417A"/>
            </w:tcBorders>
            <w:gridSpan w:val="2"/>
          </w:tcPr>
          <w:p>
            <w:pPr>
              <w:jc w:val="right"/>
              <w:ind w:right="759"/>
              <w:spacing w:after="0"/>
              <w:rPr>
                <w:sz w:val="20"/>
                <w:szCs w:val="20"/>
                <w:color w:val="auto"/>
              </w:rPr>
            </w:pPr>
            <w:r>
              <w:rPr>
                <w:rFonts w:ascii="Arial" w:cs="Arial" w:eastAsia="Arial" w:hAnsi="Arial"/>
                <w:sz w:val="16"/>
                <w:szCs w:val="16"/>
                <w:color w:val="auto"/>
              </w:rPr>
              <w:t>​​227,110</w:t>
            </w:r>
          </w:p>
        </w:tc>
        <w:tc>
          <w:tcPr>
            <w:tcW w:w="580" w:type="dxa"/>
            <w:vAlign w:val="bottom"/>
            <w:tcBorders>
              <w:bottom w:val="single" w:sz="8" w:color="E7417A"/>
            </w:tcBorders>
          </w:tcPr>
          <w:p>
            <w:pPr>
              <w:jc w:val="right"/>
              <w:ind w:right="319"/>
              <w:spacing w:after="0"/>
              <w:rPr>
                <w:sz w:val="20"/>
                <w:szCs w:val="20"/>
                <w:color w:val="auto"/>
              </w:rPr>
            </w:pPr>
            <w:r>
              <w:rPr>
                <w:rFonts w:ascii="Arial" w:cs="Arial" w:eastAsia="Arial" w:hAnsi="Arial"/>
                <w:sz w:val="16"/>
                <w:szCs w:val="16"/>
                <w:color w:val="auto"/>
              </w:rPr>
              <w:t>​ ​</w:t>
            </w:r>
          </w:p>
        </w:tc>
      </w:tr>
      <w:tr>
        <w:trPr>
          <w:trHeight w:val="223"/>
        </w:trPr>
        <w:tc>
          <w:tcPr>
            <w:tcW w:w="34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Richard W. Smith</w:t>
            </w:r>
          </w:p>
        </w:tc>
        <w:tc>
          <w:tcPr>
            <w:tcW w:w="1940" w:type="dxa"/>
            <w:vAlign w:val="bottom"/>
            <w:tcBorders>
              <w:bottom w:val="single" w:sz="8" w:color="E7417A"/>
            </w:tcBorders>
          </w:tcPr>
          <w:p>
            <w:pPr>
              <w:ind w:left="176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E7417A"/>
            </w:tcBorders>
          </w:tcPr>
          <w:p>
            <w:pPr>
              <w:ind w:left="9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7417A"/>
            </w:tcBorders>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E7417A"/>
            </w:tcBorders>
          </w:tcPr>
          <w:p>
            <w:pPr>
              <w:jc w:val="right"/>
              <w:ind w:right="319"/>
              <w:spacing w:after="0"/>
              <w:rPr>
                <w:sz w:val="20"/>
                <w:szCs w:val="20"/>
                <w:color w:val="auto"/>
              </w:rPr>
            </w:pPr>
            <w:r>
              <w:rPr>
                <w:rFonts w:ascii="Arial" w:cs="Arial" w:eastAsia="Arial" w:hAnsi="Arial"/>
                <w:sz w:val="16"/>
                <w:szCs w:val="16"/>
                <w:color w:val="auto"/>
              </w:rPr>
              <w:t>​ ​</w:t>
            </w:r>
          </w:p>
        </w:tc>
      </w:tr>
      <w:tr>
        <w:trPr>
          <w:trHeight w:val="223"/>
        </w:trPr>
        <w:tc>
          <w:tcPr>
            <w:tcW w:w="340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 Tanya Tamone</w:t>
            </w:r>
          </w:p>
        </w:tc>
        <w:tc>
          <w:tcPr>
            <w:tcW w:w="1940" w:type="dxa"/>
            <w:vAlign w:val="bottom"/>
            <w:tcBorders>
              <w:bottom w:val="single" w:sz="8" w:color="62259D"/>
            </w:tcBorders>
          </w:tcPr>
          <w:p>
            <w:pPr>
              <w:ind w:left="1760"/>
              <w:spacing w:after="0"/>
              <w:rPr>
                <w:sz w:val="20"/>
                <w:szCs w:val="20"/>
                <w:color w:val="auto"/>
              </w:rPr>
            </w:pPr>
            <w:r>
              <w:rPr>
                <w:rFonts w:ascii="Arial" w:cs="Arial" w:eastAsia="Arial" w:hAnsi="Arial"/>
                <w:sz w:val="16"/>
                <w:szCs w:val="16"/>
                <w:color w:val="auto"/>
              </w:rPr>
              <w:t>​ ​</w:t>
            </w:r>
          </w:p>
        </w:tc>
        <w:tc>
          <w:tcPr>
            <w:tcW w:w="2460" w:type="dxa"/>
            <w:vAlign w:val="bottom"/>
            <w:tcBorders>
              <w:bottom w:val="single" w:sz="8" w:color="62259D"/>
            </w:tcBorders>
            <w:gridSpan w:val="2"/>
          </w:tcPr>
          <w:p>
            <w:pPr>
              <w:jc w:val="right"/>
              <w:ind w:right="759"/>
              <w:spacing w:after="0"/>
              <w:rPr>
                <w:sz w:val="20"/>
                <w:szCs w:val="20"/>
                <w:color w:val="auto"/>
              </w:rPr>
            </w:pPr>
            <w:r>
              <w:rPr>
                <w:rFonts w:ascii="Arial" w:cs="Arial" w:eastAsia="Arial" w:hAnsi="Arial"/>
                <w:sz w:val="16"/>
                <w:szCs w:val="16"/>
                <w:color w:val="auto"/>
              </w:rPr>
              <w:t>​​ 42,500</w:t>
            </w:r>
          </w:p>
        </w:tc>
        <w:tc>
          <w:tcPr>
            <w:tcW w:w="580" w:type="dxa"/>
            <w:vAlign w:val="bottom"/>
            <w:tcBorders>
              <w:bottom w:val="single" w:sz="8" w:color="62259D"/>
            </w:tcBorders>
          </w:tcPr>
          <w:p>
            <w:pPr>
              <w:jc w:val="right"/>
              <w:ind w:right="319"/>
              <w:spacing w:after="0"/>
              <w:rPr>
                <w:sz w:val="20"/>
                <w:szCs w:val="20"/>
                <w:color w:val="auto"/>
              </w:rPr>
            </w:pPr>
            <w:r>
              <w:rPr>
                <w:rFonts w:ascii="Arial" w:cs="Arial" w:eastAsia="Arial" w:hAnsi="Arial"/>
                <w:sz w:val="16"/>
                <w:szCs w:val="16"/>
                <w:color w:val="auto"/>
              </w:rPr>
              <w:t>​ ​</w:t>
            </w:r>
          </w:p>
        </w:tc>
      </w:tr>
    </w:tbl>
    <w:p>
      <w:pPr>
        <w:spacing w:after="0" w:line="175" w:lineRule="exact"/>
        <w:rPr>
          <w:sz w:val="20"/>
          <w:szCs w:val="20"/>
          <w:color w:val="auto"/>
        </w:rPr>
      </w:pPr>
    </w:p>
    <w:p>
      <w:pPr>
        <w:ind w:left="1400" w:right="419" w:hanging="368"/>
        <w:spacing w:after="0" w:line="286" w:lineRule="auto"/>
        <w:tabs>
          <w:tab w:leader="none" w:pos="14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Non-employee directors are also eligible to be reimbursed for reasonable out-of-pocket expenses incurred in connection with attendance at our Board or committee meetings.</w:t>
      </w:r>
    </w:p>
    <w:p>
      <w:pPr>
        <w:spacing w:after="0" w:line="20" w:lineRule="exact"/>
        <w:rPr>
          <w:rFonts w:ascii="Arial" w:cs="Arial" w:eastAsia="Arial" w:hAnsi="Arial"/>
          <w:sz w:val="16"/>
          <w:szCs w:val="16"/>
          <w:color w:val="auto"/>
        </w:rPr>
      </w:pPr>
    </w:p>
    <w:p>
      <w:pPr>
        <w:ind w:left="1400" w:right="219" w:hanging="368"/>
        <w:spacing w:after="0" w:line="286" w:lineRule="auto"/>
        <w:tabs>
          <w:tab w:leader="none" w:pos="14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Pursuant to the Director Compensation Policy, Messrs. Grayson and Shani elected to receive 100% of the cash fees otherwise payable to them in unrestricted shares of our common stock.</w:t>
      </w:r>
    </w:p>
    <w:p>
      <w:pPr>
        <w:spacing w:after="0" w:line="7" w:lineRule="exact"/>
        <w:rPr>
          <w:rFonts w:ascii="Arial" w:cs="Arial" w:eastAsia="Arial" w:hAnsi="Arial"/>
          <w:sz w:val="16"/>
          <w:szCs w:val="16"/>
          <w:color w:val="auto"/>
        </w:rPr>
      </w:pPr>
    </w:p>
    <w:p>
      <w:pPr>
        <w:ind w:left="1400" w:right="639" w:hanging="368"/>
        <w:spacing w:after="0" w:line="286" w:lineRule="auto"/>
        <w:tabs>
          <w:tab w:leader="none" w:pos="14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Mr. Smith is not entitled to any equity compensation in connection with his service as a director. Mr. Smith waived receipt of any cash compensation for his service as a director in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9166BA"/>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9166BA"/>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AUDIT MATTERS</w:t>
      </w:r>
    </w:p>
    <w:tbl>
      <w:tblPr>
        <w:tblLayout w:type="fixed"/>
        <w:tblInd w:w="920" w:type="dxa"/>
        <w:tblCellMar>
          <w:top w:w="0" w:type="dxa"/>
          <w:left w:w="0" w:type="dxa"/>
          <w:bottom w:w="0" w:type="dxa"/>
          <w:right w:w="0" w:type="dxa"/>
        </w:tblCellMar>
      </w:tblPr>
      <w:tr>
        <w:trPr>
          <w:trHeight w:val="681"/>
        </w:trPr>
        <w:tc>
          <w:tcPr>
            <w:tcW w:w="940" w:type="dxa"/>
            <w:vAlign w:val="bottom"/>
            <w:shd w:val="clear" w:color="auto" w:fill="62259D"/>
          </w:tcPr>
          <w:p>
            <w:pPr>
              <w:spacing w:after="0" w:line="681" w:lineRule="exact"/>
              <w:rPr>
                <w:sz w:val="20"/>
                <w:szCs w:val="20"/>
                <w:color w:val="auto"/>
              </w:rPr>
            </w:pPr>
            <w:r>
              <w:rPr>
                <w:rFonts w:ascii="Arial" w:cs="Arial" w:eastAsia="Arial" w:hAnsi="Arial"/>
                <w:sz w:val="33"/>
                <w:szCs w:val="33"/>
                <w:b w:val="1"/>
                <w:bCs w:val="1"/>
                <w:color w:val="FEFEFE"/>
              </w:rPr>
              <w:t xml:space="preserve">​ </w:t>
            </w:r>
            <w:r>
              <w:rPr>
                <w:rFonts w:ascii="Arial" w:cs="Arial" w:eastAsia="Arial" w:hAnsi="Arial"/>
                <w:sz w:val="78"/>
                <w:szCs w:val="78"/>
                <w:b w:val="1"/>
                <w:bCs w:val="1"/>
                <w:color w:val="FEFEFE"/>
                <w:vertAlign w:val="subscript"/>
              </w:rPr>
              <w:t>2</w:t>
            </w:r>
          </w:p>
        </w:tc>
        <w:tc>
          <w:tcPr>
            <w:tcW w:w="7920" w:type="dxa"/>
            <w:vAlign w:val="bottom"/>
          </w:tcPr>
          <w:p>
            <w:pPr>
              <w:spacing w:after="0" w:line="681" w:lineRule="exact"/>
              <w:rPr>
                <w:sz w:val="20"/>
                <w:szCs w:val="20"/>
                <w:color w:val="auto"/>
              </w:rPr>
            </w:pPr>
            <w:r>
              <w:rPr>
                <w:rFonts w:ascii="Arial" w:cs="Arial" w:eastAsia="Arial" w:hAnsi="Arial"/>
                <w:sz w:val="71"/>
                <w:szCs w:val="71"/>
                <w:b w:val="1"/>
                <w:bCs w:val="1"/>
                <w:color w:val="FEFEFE"/>
                <w:vertAlign w:val="superscript"/>
              </w:rPr>
              <w:t>​​</w:t>
            </w:r>
            <w:r>
              <w:rPr>
                <w:rFonts w:ascii="Arial" w:cs="Arial" w:eastAsia="Arial" w:hAnsi="Arial"/>
                <w:sz w:val="36"/>
                <w:szCs w:val="36"/>
                <w:b w:val="1"/>
                <w:bCs w:val="1"/>
                <w:color w:val="FEFEFE"/>
              </w:rPr>
              <w:t xml:space="preserve"> Proposal 2 — Ratification of the</w:t>
            </w:r>
          </w:p>
        </w:tc>
        <w:tc>
          <w:tcPr>
            <w:tcW w:w="100" w:type="dxa"/>
            <w:vAlign w:val="bottom"/>
          </w:tcPr>
          <w:p>
            <w:pPr>
              <w:spacing w:after="0"/>
              <w:rPr>
                <w:sz w:val="20"/>
                <w:szCs w:val="20"/>
                <w:color w:val="auto"/>
              </w:rPr>
            </w:pPr>
            <w:r>
              <w:rPr>
                <w:rFonts w:ascii="Arial" w:cs="Arial" w:eastAsia="Arial" w:hAnsi="Arial"/>
                <w:sz w:val="36"/>
                <w:szCs w:val="36"/>
                <w:b w:val="1"/>
                <w:bCs w:val="1"/>
                <w:color w:val="FEFEFE"/>
              </w:rPr>
              <w:t>​</w:t>
            </w:r>
          </w:p>
        </w:tc>
      </w:tr>
      <w:tr>
        <w:trPr>
          <w:trHeight w:val="369"/>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line="368" w:lineRule="exact"/>
              <w:rPr>
                <w:sz w:val="20"/>
                <w:szCs w:val="20"/>
                <w:color w:val="auto"/>
              </w:rPr>
            </w:pPr>
            <w:r>
              <w:rPr>
                <w:rFonts w:ascii="Arial" w:cs="Arial" w:eastAsia="Arial" w:hAnsi="Arial"/>
                <w:sz w:val="36"/>
                <w:szCs w:val="36"/>
                <w:b w:val="1"/>
                <w:bCs w:val="1"/>
                <w:color w:val="FEFEFE"/>
              </w:rPr>
              <w:t>Appointment of Independent Registered</w:t>
            </w:r>
          </w:p>
        </w:tc>
        <w:tc>
          <w:tcPr>
            <w:tcW w:w="100" w:type="dxa"/>
            <w:vAlign w:val="bottom"/>
          </w:tcPr>
          <w:p>
            <w:pPr>
              <w:spacing w:after="0"/>
              <w:rPr>
                <w:sz w:val="24"/>
                <w:szCs w:val="24"/>
                <w:color w:val="auto"/>
              </w:rPr>
            </w:pPr>
          </w:p>
        </w:tc>
      </w:tr>
      <w:tr>
        <w:trPr>
          <w:trHeight w:val="456"/>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rPr>
                <w:sz w:val="20"/>
                <w:szCs w:val="20"/>
                <w:color w:val="auto"/>
              </w:rPr>
            </w:pPr>
            <w:r>
              <w:rPr>
                <w:rFonts w:ascii="Arial" w:cs="Arial" w:eastAsia="Arial" w:hAnsi="Arial"/>
                <w:sz w:val="36"/>
                <w:szCs w:val="36"/>
                <w:b w:val="1"/>
                <w:bCs w:val="1"/>
                <w:color w:val="FEFEFE"/>
              </w:rPr>
              <w:t>Public Accounting Firm</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-822325</wp:posOffset>
            </wp:positionV>
            <wp:extent cx="5031740" cy="8312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031740" cy="831215"/>
                    </a:xfrm>
                    <a:prstGeom prst="rect">
                      <a:avLst/>
                    </a:prstGeom>
                    <a:noFill/>
                  </pic:spPr>
                </pic:pic>
              </a:graphicData>
            </a:graphic>
          </wp:anchor>
        </w:drawing>
      </w:r>
    </w:p>
    <w:p>
      <w:pPr>
        <w:spacing w:after="0" w:line="231" w:lineRule="exact"/>
        <w:rPr>
          <w:sz w:val="20"/>
          <w:szCs w:val="20"/>
          <w:color w:val="auto"/>
        </w:rPr>
      </w:pPr>
    </w:p>
    <w:p>
      <w:pPr>
        <w:ind w:left="920" w:right="260"/>
        <w:spacing w:after="0" w:line="243" w:lineRule="auto"/>
        <w:rPr>
          <w:sz w:val="20"/>
          <w:szCs w:val="20"/>
          <w:color w:val="auto"/>
        </w:rPr>
      </w:pPr>
      <w:r>
        <w:rPr>
          <w:rFonts w:ascii="Arial" w:cs="Arial" w:eastAsia="Arial" w:hAnsi="Arial"/>
          <w:sz w:val="18"/>
          <w:szCs w:val="18"/>
          <w:color w:val="auto"/>
        </w:rPr>
        <w:t>The Audit Committee of the Board of Directors has appointed Deloitte &amp; Touche LLP (“Deloitte”) as the Company’s independent registered public accounting firm for the fiscal year ending December 31, 2026. Deloitte has acted as the independent registered accounting firm of Ribbon since the closing of the GENBAND merger in 2017, and of Sonus Networks, Inc. from August 2005 until the closing of the GENBAND merger. We are asking our stockholders to ratify this appointment. Although ratification of our appointment of Deloitte is not required, we value the opinions of our stockholders and believe that stockholder ratification of our appointment is a good corporate governance practice. If this proposal is not approved at the 2026 Annual Meeting, our Audit Committee may consider this fact when it appoints our independent registered public accounting firm for the fiscal year ending December 31, 2027. Even if the proposal is approved at the 2026 Annual Meeting, the Audit Committee may, at its discretion, direct the appointment of a different independent registered public accounting firm at any time during the year if it determines that such change would be in the interests of the Company and its stockholders.</w:t>
      </w:r>
    </w:p>
    <w:p>
      <w:pPr>
        <w:spacing w:after="0" w:line="118" w:lineRule="exact"/>
        <w:rPr>
          <w:sz w:val="20"/>
          <w:szCs w:val="20"/>
          <w:color w:val="auto"/>
        </w:rPr>
      </w:pPr>
    </w:p>
    <w:p>
      <w:pPr>
        <w:ind w:left="920" w:right="240"/>
        <w:spacing w:after="0" w:line="271" w:lineRule="auto"/>
        <w:rPr>
          <w:sz w:val="20"/>
          <w:szCs w:val="20"/>
          <w:color w:val="auto"/>
        </w:rPr>
      </w:pPr>
      <w:r>
        <w:rPr>
          <w:rFonts w:ascii="Arial" w:cs="Arial" w:eastAsia="Arial" w:hAnsi="Arial"/>
          <w:sz w:val="18"/>
          <w:szCs w:val="18"/>
          <w:color w:val="auto"/>
        </w:rPr>
        <w:t>Representatives of Deloitte are expected to attend the 2026 Annual Meeting and will have the opportunity to make a statement and be available to respond to appropriate questions from stockholders.</w:t>
      </w:r>
    </w:p>
    <w:p>
      <w:pPr>
        <w:spacing w:after="0" w:line="109" w:lineRule="exact"/>
        <w:rPr>
          <w:sz w:val="20"/>
          <w:szCs w:val="20"/>
          <w:color w:val="auto"/>
        </w:rPr>
      </w:pPr>
    </w:p>
    <w:p>
      <w:pPr>
        <w:ind w:left="1120"/>
        <w:spacing w:after="0"/>
        <w:rPr>
          <w:sz w:val="20"/>
          <w:szCs w:val="20"/>
          <w:color w:val="auto"/>
        </w:rPr>
      </w:pPr>
      <w:r>
        <w:rPr>
          <w:rFonts w:ascii="Arial" w:cs="Arial" w:eastAsia="Arial" w:hAnsi="Arial"/>
          <w:sz w:val="16"/>
          <w:szCs w:val="16"/>
          <w:color w:val="FEFEFE"/>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-101600</wp:posOffset>
            </wp:positionV>
            <wp:extent cx="5623560" cy="6172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23560" cy="617220"/>
                    </a:xfrm>
                    <a:prstGeom prst="rect">
                      <a:avLst/>
                    </a:prstGeom>
                    <a:noFill/>
                  </pic:spPr>
                </pic:pic>
              </a:graphicData>
            </a:graphic>
          </wp:anchor>
        </w:drawing>
      </w:r>
    </w:p>
    <w:p>
      <w:pPr>
        <w:ind w:left="2540"/>
        <w:spacing w:after="0" w:line="214" w:lineRule="auto"/>
        <w:rPr>
          <w:sz w:val="20"/>
          <w:szCs w:val="20"/>
          <w:color w:val="auto"/>
        </w:rPr>
      </w:pPr>
      <w:r>
        <w:rPr>
          <w:rFonts w:ascii="Arial" w:cs="Arial" w:eastAsia="Arial" w:hAnsi="Arial"/>
          <w:sz w:val="18"/>
          <w:szCs w:val="18"/>
          <w:color w:val="FEFEFE"/>
        </w:rPr>
        <w:t xml:space="preserve">The Board recommends that stockholders vote </w:t>
      </w:r>
      <w:r>
        <w:rPr>
          <w:rFonts w:ascii="Arial" w:cs="Arial" w:eastAsia="Arial" w:hAnsi="Arial"/>
          <w:sz w:val="18"/>
          <w:szCs w:val="18"/>
          <w:b w:val="1"/>
          <w:bCs w:val="1"/>
          <w:color w:val="FEFEFE"/>
        </w:rPr>
        <w:t>FOR</w:t>
      </w:r>
      <w:r>
        <w:rPr>
          <w:rFonts w:ascii="Arial" w:cs="Arial" w:eastAsia="Arial" w:hAnsi="Arial"/>
          <w:sz w:val="18"/>
          <w:szCs w:val="18"/>
          <w:color w:val="FEFEFE"/>
        </w:rPr>
        <w:t xml:space="preserve"> the ratification of</w:t>
      </w:r>
    </w:p>
    <w:tbl>
      <w:tblPr>
        <w:tblLayout w:type="fixed"/>
        <w:tblInd w:w="920" w:type="dxa"/>
        <w:tblCellMar>
          <w:top w:w="0" w:type="dxa"/>
          <w:left w:w="0" w:type="dxa"/>
          <w:bottom w:w="0" w:type="dxa"/>
          <w:right w:w="0" w:type="dxa"/>
        </w:tblCellMar>
      </w:tblPr>
      <w:tr>
        <w:trPr>
          <w:trHeight w:val="18"/>
        </w:trPr>
        <w:tc>
          <w:tcPr>
            <w:tcW w:w="280" w:type="dxa"/>
            <w:vAlign w:val="bottom"/>
            <w:vMerge w:val="restart"/>
          </w:tcPr>
          <w:p>
            <w:pPr>
              <w:spacing w:after="0" w:line="195" w:lineRule="exact"/>
              <w:rPr>
                <w:sz w:val="20"/>
                <w:szCs w:val="20"/>
                <w:color w:val="auto"/>
              </w:rPr>
            </w:pPr>
            <w:r>
              <w:rPr>
                <w:rFonts w:ascii="Arial" w:cs="Arial" w:eastAsia="Arial" w:hAnsi="Arial"/>
                <w:sz w:val="18"/>
                <w:szCs w:val="18"/>
                <w:color w:val="FEFEFE"/>
              </w:rPr>
              <w:t>​</w:t>
            </w:r>
          </w:p>
        </w:tc>
        <w:tc>
          <w:tcPr>
            <w:tcW w:w="1220" w:type="dxa"/>
            <w:vAlign w:val="bottom"/>
          </w:tcPr>
          <w:p>
            <w:pPr>
              <w:ind w:left="240"/>
              <w:spacing w:after="0" w:line="18" w:lineRule="exact"/>
              <w:rPr>
                <w:sz w:val="20"/>
                <w:szCs w:val="20"/>
                <w:color w:val="auto"/>
              </w:rPr>
            </w:pPr>
            <w:r>
              <w:rPr>
                <w:rFonts w:ascii="Arial" w:cs="Arial" w:eastAsia="Arial" w:hAnsi="Arial"/>
                <w:sz w:val="2"/>
                <w:szCs w:val="2"/>
                <w:b w:val="1"/>
                <w:bCs w:val="1"/>
                <w:color w:val="FEFEFE"/>
              </w:rPr>
              <w:t>2</w:t>
            </w:r>
            <w:r>
              <w:rPr>
                <w:rFonts w:ascii="Arial" w:cs="Arial" w:eastAsia="Arial" w:hAnsi="Arial"/>
                <w:sz w:val="1"/>
                <w:szCs w:val="1"/>
                <w:color w:val="FEFEFE"/>
              </w:rPr>
              <w:t>​</w:t>
            </w:r>
          </w:p>
        </w:tc>
        <w:tc>
          <w:tcPr>
            <w:tcW w:w="5800" w:type="dxa"/>
            <w:vAlign w:val="bottom"/>
            <w:vMerge w:val="restart"/>
          </w:tcPr>
          <w:p>
            <w:pPr>
              <w:ind w:left="120"/>
              <w:spacing w:after="0" w:line="195" w:lineRule="exact"/>
              <w:rPr>
                <w:sz w:val="20"/>
                <w:szCs w:val="20"/>
                <w:color w:val="auto"/>
              </w:rPr>
            </w:pPr>
            <w:r>
              <w:rPr>
                <w:rFonts w:ascii="Arial" w:cs="Arial" w:eastAsia="Arial" w:hAnsi="Arial"/>
                <w:sz w:val="18"/>
                <w:szCs w:val="18"/>
                <w:color w:val="FEFEFE"/>
              </w:rPr>
              <w:t>the appointment of Deloitte as our independent registered public</w:t>
            </w:r>
          </w:p>
        </w:tc>
        <w:tc>
          <w:tcPr>
            <w:tcW w:w="980" w:type="dxa"/>
            <w:vAlign w:val="bottom"/>
            <w:vMerge w:val="restart"/>
          </w:tcPr>
          <w:p>
            <w:pPr>
              <w:ind w:left="340"/>
              <w:spacing w:after="0" w:line="195" w:lineRule="exact"/>
              <w:rPr>
                <w:sz w:val="20"/>
                <w:szCs w:val="20"/>
                <w:color w:val="auto"/>
              </w:rPr>
            </w:pPr>
            <w:r>
              <w:rPr>
                <w:rFonts w:ascii="Arial" w:cs="Arial" w:eastAsia="Arial" w:hAnsi="Arial"/>
                <w:sz w:val="18"/>
                <w:szCs w:val="18"/>
                <w:color w:val="FEFEFE"/>
              </w:rPr>
              <w:t>​</w:t>
            </w:r>
          </w:p>
        </w:tc>
        <w:tc>
          <w:tcPr>
            <w:tcW w:w="640" w:type="dxa"/>
            <w:vAlign w:val="bottom"/>
            <w:vMerge w:val="restart"/>
          </w:tcPr>
          <w:p>
            <w:pPr>
              <w:ind w:left="580"/>
              <w:spacing w:after="0" w:line="195" w:lineRule="exact"/>
              <w:rPr>
                <w:sz w:val="20"/>
                <w:szCs w:val="20"/>
                <w:color w:val="auto"/>
              </w:rPr>
            </w:pPr>
            <w:r>
              <w:rPr>
                <w:rFonts w:ascii="Arial" w:cs="Arial" w:eastAsia="Arial" w:hAnsi="Arial"/>
                <w:sz w:val="18"/>
                <w:szCs w:val="18"/>
                <w:color w:val="FEFEFE"/>
              </w:rPr>
              <w:t>​</w:t>
            </w:r>
          </w:p>
        </w:tc>
        <w:tc>
          <w:tcPr>
            <w:tcW w:w="0" w:type="dxa"/>
            <w:vAlign w:val="bottom"/>
          </w:tcPr>
          <w:p>
            <w:pPr>
              <w:spacing w:after="0" w:line="20" w:lineRule="exact"/>
              <w:rPr>
                <w:sz w:val="1"/>
                <w:szCs w:val="1"/>
                <w:color w:val="auto"/>
              </w:rPr>
            </w:pPr>
          </w:p>
        </w:tc>
      </w:tr>
      <w:tr>
        <w:trPr>
          <w:trHeight w:val="176"/>
        </w:trPr>
        <w:tc>
          <w:tcPr>
            <w:tcW w:w="280" w:type="dxa"/>
            <w:vAlign w:val="bottom"/>
            <w:vMerge w:val="continue"/>
          </w:tcPr>
          <w:p>
            <w:pPr>
              <w:spacing w:after="0"/>
              <w:rPr>
                <w:sz w:val="15"/>
                <w:szCs w:val="15"/>
                <w:color w:val="auto"/>
              </w:rPr>
            </w:pPr>
          </w:p>
        </w:tc>
        <w:tc>
          <w:tcPr>
            <w:tcW w:w="1220" w:type="dxa"/>
            <w:vAlign w:val="bottom"/>
          </w:tcPr>
          <w:p>
            <w:pPr>
              <w:ind w:left="1040"/>
              <w:spacing w:after="0" w:line="176" w:lineRule="exact"/>
              <w:rPr>
                <w:sz w:val="20"/>
                <w:szCs w:val="20"/>
                <w:color w:val="auto"/>
              </w:rPr>
            </w:pPr>
            <w:r>
              <w:rPr>
                <w:rFonts w:ascii="Arial" w:cs="Arial" w:eastAsia="Arial" w:hAnsi="Arial"/>
                <w:sz w:val="18"/>
                <w:szCs w:val="18"/>
                <w:color w:val="FEFEFE"/>
              </w:rPr>
              <w:t>​​</w:t>
            </w:r>
          </w:p>
        </w:tc>
        <w:tc>
          <w:tcPr>
            <w:tcW w:w="58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0" w:type="dxa"/>
            <w:vAlign w:val="bottom"/>
          </w:tcPr>
          <w:p>
            <w:pPr>
              <w:ind w:left="120"/>
              <w:spacing w:after="0"/>
              <w:rPr>
                <w:sz w:val="20"/>
                <w:szCs w:val="20"/>
                <w:color w:val="auto"/>
              </w:rPr>
            </w:pPr>
            <w:r>
              <w:rPr>
                <w:rFonts w:ascii="Arial" w:cs="Arial" w:eastAsia="Arial" w:hAnsi="Arial"/>
                <w:sz w:val="18"/>
                <w:szCs w:val="18"/>
                <w:color w:val="FEFEFE"/>
              </w:rPr>
              <w:t>accounting firm for 2026.</w:t>
            </w: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6"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Deloitte Fees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summary and description of fees for services provided by Deloitte in 2025 and 2024:</w:t>
      </w:r>
    </w:p>
    <w:p>
      <w:pPr>
        <w:spacing w:after="0" w:line="190" w:lineRule="exact"/>
        <w:rPr>
          <w:sz w:val="20"/>
          <w:szCs w:val="20"/>
          <w:color w:val="auto"/>
        </w:rPr>
      </w:pPr>
    </w:p>
    <w:tbl>
      <w:tblPr>
        <w:tblLayout w:type="fixed"/>
        <w:tblInd w:w="920" w:type="dxa"/>
        <w:tblCellMar>
          <w:top w:w="0" w:type="dxa"/>
          <w:left w:w="0" w:type="dxa"/>
          <w:bottom w:w="0" w:type="dxa"/>
          <w:right w:w="0" w:type="dxa"/>
        </w:tblCellMar>
      </w:tblPr>
      <w:tr>
        <w:trPr>
          <w:trHeight w:val="250"/>
        </w:trPr>
        <w:tc>
          <w:tcPr>
            <w:tcW w:w="80" w:type="dxa"/>
            <w:vAlign w:val="bottom"/>
            <w:shd w:val="clear" w:color="auto" w:fill="62259D"/>
          </w:tcPr>
          <w:p>
            <w:pPr>
              <w:spacing w:after="0"/>
              <w:rPr>
                <w:sz w:val="21"/>
                <w:szCs w:val="21"/>
                <w:color w:val="auto"/>
              </w:rPr>
            </w:pPr>
          </w:p>
        </w:tc>
        <w:tc>
          <w:tcPr>
            <w:tcW w:w="2700" w:type="dxa"/>
            <w:vAlign w:val="bottom"/>
            <w:shd w:val="clear" w:color="auto" w:fill="62259D"/>
          </w:tcPr>
          <w:p>
            <w:pPr>
              <w:spacing w:after="0"/>
              <w:rPr>
                <w:sz w:val="21"/>
                <w:szCs w:val="21"/>
                <w:color w:val="auto"/>
              </w:rPr>
            </w:pPr>
          </w:p>
        </w:tc>
        <w:tc>
          <w:tcPr>
            <w:tcW w:w="1320" w:type="dxa"/>
            <w:vAlign w:val="bottom"/>
            <w:shd w:val="clear" w:color="auto" w:fill="62259D"/>
          </w:tcPr>
          <w:p>
            <w:pPr>
              <w:spacing w:after="0"/>
              <w:rPr>
                <w:sz w:val="21"/>
                <w:szCs w:val="21"/>
                <w:color w:val="auto"/>
              </w:rPr>
            </w:pPr>
          </w:p>
        </w:tc>
        <w:tc>
          <w:tcPr>
            <w:tcW w:w="6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w:t>
            </w:r>
          </w:p>
        </w:tc>
        <w:tc>
          <w:tcPr>
            <w:tcW w:w="60" w:type="dxa"/>
            <w:vAlign w:val="bottom"/>
            <w:shd w:val="clear" w:color="auto" w:fill="62259D"/>
          </w:tcPr>
          <w:p>
            <w:pPr>
              <w:spacing w:after="0"/>
              <w:rPr>
                <w:sz w:val="21"/>
                <w:szCs w:val="21"/>
                <w:color w:val="auto"/>
              </w:rPr>
            </w:pPr>
          </w:p>
        </w:tc>
        <w:tc>
          <w:tcPr>
            <w:tcW w:w="800" w:type="dxa"/>
            <w:vAlign w:val="bottom"/>
            <w:shd w:val="clear" w:color="auto" w:fill="62259D"/>
          </w:tcPr>
          <w:p>
            <w:pPr>
              <w:spacing w:after="0"/>
              <w:rPr>
                <w:sz w:val="21"/>
                <w:szCs w:val="21"/>
                <w:color w:val="auto"/>
              </w:rPr>
            </w:pPr>
          </w:p>
        </w:tc>
        <w:tc>
          <w:tcPr>
            <w:tcW w:w="660" w:type="dxa"/>
            <w:vAlign w:val="bottom"/>
            <w:shd w:val="clear" w:color="auto" w:fill="62259D"/>
          </w:tcPr>
          <w:p>
            <w:pPr>
              <w:spacing w:after="0"/>
              <w:rPr>
                <w:sz w:val="21"/>
                <w:szCs w:val="21"/>
                <w:color w:val="auto"/>
              </w:rPr>
            </w:pPr>
          </w:p>
        </w:tc>
        <w:tc>
          <w:tcPr>
            <w:tcW w:w="1580" w:type="dxa"/>
            <w:vAlign w:val="bottom"/>
            <w:shd w:val="clear" w:color="auto" w:fill="62259D"/>
          </w:tcPr>
          <w:p>
            <w:pPr>
              <w:ind w:left="40"/>
              <w:spacing w:after="0"/>
              <w:rPr>
                <w:sz w:val="20"/>
                <w:szCs w:val="20"/>
                <w:color w:val="auto"/>
              </w:rPr>
            </w:pPr>
            <w:r>
              <w:rPr>
                <w:rFonts w:ascii="Arial" w:cs="Arial" w:eastAsia="Arial" w:hAnsi="Arial"/>
                <w:sz w:val="16"/>
                <w:szCs w:val="16"/>
                <w:b w:val="1"/>
                <w:bCs w:val="1"/>
                <w:color w:val="FEFEFE"/>
              </w:rPr>
              <w:t>Fiscal Year Ended</w:t>
            </w:r>
          </w:p>
        </w:tc>
        <w:tc>
          <w:tcPr>
            <w:tcW w:w="120" w:type="dxa"/>
            <w:vAlign w:val="bottom"/>
            <w:shd w:val="clear" w:color="auto" w:fill="62259D"/>
          </w:tcPr>
          <w:p>
            <w:pPr>
              <w:spacing w:after="0"/>
              <w:rPr>
                <w:sz w:val="21"/>
                <w:szCs w:val="21"/>
                <w:color w:val="auto"/>
              </w:rPr>
            </w:pPr>
          </w:p>
        </w:tc>
        <w:tc>
          <w:tcPr>
            <w:tcW w:w="1000" w:type="dxa"/>
            <w:vAlign w:val="bottom"/>
            <w:shd w:val="clear" w:color="auto" w:fill="62259D"/>
          </w:tcPr>
          <w:p>
            <w:pPr>
              <w:spacing w:after="0"/>
              <w:rPr>
                <w:sz w:val="21"/>
                <w:szCs w:val="21"/>
                <w:color w:val="auto"/>
              </w:rPr>
            </w:pPr>
          </w:p>
        </w:tc>
        <w:tc>
          <w:tcPr>
            <w:tcW w:w="48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22"/>
        </w:trPr>
        <w:tc>
          <w:tcPr>
            <w:tcW w:w="2780" w:type="dxa"/>
            <w:vAlign w:val="bottom"/>
            <w:gridSpan w:val="2"/>
            <w:vMerge w:val="restart"/>
            <w:shd w:val="clear" w:color="auto" w:fill="62259D"/>
          </w:tcPr>
          <w:p>
            <w:pPr>
              <w:spacing w:after="0"/>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 xml:space="preserve"> Fee Category</w:t>
            </w:r>
          </w:p>
        </w:tc>
        <w:tc>
          <w:tcPr>
            <w:tcW w:w="1320" w:type="dxa"/>
            <w:vAlign w:val="bottom"/>
            <w:shd w:val="clear" w:color="auto" w:fill="62259D"/>
          </w:tcPr>
          <w:p>
            <w:pPr>
              <w:spacing w:after="0"/>
              <w:rPr>
                <w:sz w:val="19"/>
                <w:szCs w:val="19"/>
                <w:color w:val="auto"/>
              </w:rPr>
            </w:pPr>
          </w:p>
        </w:tc>
        <w:tc>
          <w:tcPr>
            <w:tcW w:w="60" w:type="dxa"/>
            <w:vAlign w:val="bottom"/>
            <w:shd w:val="clear" w:color="auto" w:fill="62259D"/>
          </w:tcPr>
          <w:p>
            <w:pPr>
              <w:spacing w:after="0"/>
              <w:rPr>
                <w:sz w:val="19"/>
                <w:szCs w:val="19"/>
                <w:color w:val="auto"/>
              </w:rPr>
            </w:pPr>
          </w:p>
        </w:tc>
        <w:tc>
          <w:tcPr>
            <w:tcW w:w="60" w:type="dxa"/>
            <w:vAlign w:val="bottom"/>
            <w:shd w:val="clear" w:color="auto" w:fill="62259D"/>
          </w:tcPr>
          <w:p>
            <w:pPr>
              <w:spacing w:after="0"/>
              <w:rPr>
                <w:sz w:val="19"/>
                <w:szCs w:val="19"/>
                <w:color w:val="auto"/>
              </w:rPr>
            </w:pPr>
          </w:p>
        </w:tc>
        <w:tc>
          <w:tcPr>
            <w:tcW w:w="800" w:type="dxa"/>
            <w:vAlign w:val="bottom"/>
            <w:shd w:val="clear" w:color="auto" w:fill="62259D"/>
          </w:tcPr>
          <w:p>
            <w:pPr>
              <w:spacing w:after="0"/>
              <w:rPr>
                <w:sz w:val="19"/>
                <w:szCs w:val="19"/>
                <w:color w:val="auto"/>
              </w:rPr>
            </w:pPr>
          </w:p>
        </w:tc>
        <w:tc>
          <w:tcPr>
            <w:tcW w:w="660" w:type="dxa"/>
            <w:vAlign w:val="bottom"/>
            <w:shd w:val="clear" w:color="auto" w:fill="62259D"/>
          </w:tcPr>
          <w:p>
            <w:pPr>
              <w:jc w:val="right"/>
              <w:ind w:right="159"/>
              <w:spacing w:after="0"/>
              <w:rPr>
                <w:sz w:val="20"/>
                <w:szCs w:val="20"/>
                <w:color w:val="auto"/>
              </w:rPr>
            </w:pPr>
            <w:r>
              <w:rPr>
                <w:rFonts w:ascii="Arial" w:cs="Arial" w:eastAsia="Arial" w:hAnsi="Arial"/>
                <w:sz w:val="16"/>
                <w:szCs w:val="16"/>
                <w:b w:val="1"/>
                <w:bCs w:val="1"/>
                <w:color w:val="FEFEFE"/>
              </w:rPr>
              <w:t>2025</w:t>
            </w:r>
          </w:p>
        </w:tc>
        <w:tc>
          <w:tcPr>
            <w:tcW w:w="1580" w:type="dxa"/>
            <w:vAlign w:val="bottom"/>
            <w:shd w:val="clear" w:color="auto" w:fill="62259D"/>
          </w:tcPr>
          <w:p>
            <w:pPr>
              <w:spacing w:after="0"/>
              <w:rPr>
                <w:sz w:val="19"/>
                <w:szCs w:val="19"/>
                <w:color w:val="auto"/>
              </w:rPr>
            </w:pPr>
          </w:p>
        </w:tc>
        <w:tc>
          <w:tcPr>
            <w:tcW w:w="120" w:type="dxa"/>
            <w:vAlign w:val="bottom"/>
            <w:shd w:val="clear" w:color="auto" w:fill="62259D"/>
          </w:tcPr>
          <w:p>
            <w:pPr>
              <w:spacing w:after="0"/>
              <w:rPr>
                <w:sz w:val="19"/>
                <w:szCs w:val="19"/>
                <w:color w:val="auto"/>
              </w:rPr>
            </w:pPr>
          </w:p>
        </w:tc>
        <w:tc>
          <w:tcPr>
            <w:tcW w:w="1000" w:type="dxa"/>
            <w:vAlign w:val="bottom"/>
            <w:shd w:val="clear" w:color="auto" w:fill="62259D"/>
          </w:tcPr>
          <w:p>
            <w:pPr>
              <w:jc w:val="right"/>
              <w:ind w:right="479"/>
              <w:spacing w:after="0"/>
              <w:rPr>
                <w:sz w:val="20"/>
                <w:szCs w:val="20"/>
                <w:color w:val="auto"/>
              </w:rPr>
            </w:pPr>
            <w:r>
              <w:rPr>
                <w:rFonts w:ascii="Arial" w:cs="Arial" w:eastAsia="Arial" w:hAnsi="Arial"/>
                <w:sz w:val="16"/>
                <w:szCs w:val="16"/>
                <w:b w:val="1"/>
                <w:bCs w:val="1"/>
                <w:color w:val="FEFEFE"/>
              </w:rPr>
              <w:t>2024</w:t>
            </w:r>
          </w:p>
        </w:tc>
        <w:tc>
          <w:tcPr>
            <w:tcW w:w="480" w:type="dxa"/>
            <w:vAlign w:val="bottom"/>
            <w:shd w:val="clear" w:color="auto" w:fill="62259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2"/>
            <w:vMerge w:val="continue"/>
            <w:shd w:val="clear" w:color="auto" w:fill="62259D"/>
          </w:tcPr>
          <w:p>
            <w:pPr>
              <w:spacing w:after="0"/>
              <w:rPr>
                <w:sz w:val="20"/>
                <w:szCs w:val="20"/>
                <w:color w:val="auto"/>
              </w:rPr>
            </w:pPr>
          </w:p>
        </w:tc>
        <w:tc>
          <w:tcPr>
            <w:tcW w:w="1320" w:type="dxa"/>
            <w:vAlign w:val="bottom"/>
            <w:shd w:val="clear" w:color="auto" w:fill="62259D"/>
          </w:tcPr>
          <w:p>
            <w:pPr>
              <w:ind w:left="1220"/>
              <w:spacing w:after="0"/>
              <w:rPr>
                <w:sz w:val="20"/>
                <w:szCs w:val="20"/>
                <w:color w:val="auto"/>
              </w:rPr>
            </w:pPr>
            <w:r>
              <w:rPr>
                <w:rFonts w:ascii="Arial" w:cs="Arial" w:eastAsia="Arial" w:hAnsi="Arial"/>
                <w:sz w:val="16"/>
                <w:szCs w:val="16"/>
                <w:b w:val="1"/>
                <w:bCs w:val="1"/>
                <w:color w:val="FEFEFE"/>
              </w:rPr>
              <w:t>​</w:t>
            </w:r>
          </w:p>
        </w:tc>
        <w:tc>
          <w:tcPr>
            <w:tcW w:w="60" w:type="dxa"/>
            <w:vAlign w:val="bottom"/>
            <w:shd w:val="clear" w:color="auto" w:fill="62259D"/>
          </w:tcPr>
          <w:p>
            <w:pPr>
              <w:spacing w:after="0"/>
              <w:rPr>
                <w:sz w:val="20"/>
                <w:szCs w:val="20"/>
                <w:color w:val="auto"/>
              </w:rPr>
            </w:pPr>
          </w:p>
        </w:tc>
        <w:tc>
          <w:tcPr>
            <w:tcW w:w="6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w:t>
            </w:r>
          </w:p>
        </w:tc>
        <w:tc>
          <w:tcPr>
            <w:tcW w:w="800" w:type="dxa"/>
            <w:vAlign w:val="bottom"/>
            <w:shd w:val="clear" w:color="auto" w:fill="62259D"/>
          </w:tcPr>
          <w:p>
            <w:pPr>
              <w:spacing w:after="0"/>
              <w:rPr>
                <w:sz w:val="20"/>
                <w:szCs w:val="20"/>
                <w:color w:val="auto"/>
              </w:rPr>
            </w:pPr>
          </w:p>
        </w:tc>
        <w:tc>
          <w:tcPr>
            <w:tcW w:w="660" w:type="dxa"/>
            <w:vAlign w:val="bottom"/>
            <w:shd w:val="clear" w:color="auto" w:fill="62259D"/>
          </w:tcPr>
          <w:p>
            <w:pPr>
              <w:jc w:val="right"/>
              <w:ind w:right="219"/>
              <w:spacing w:after="0"/>
              <w:rPr>
                <w:sz w:val="20"/>
                <w:szCs w:val="20"/>
                <w:color w:val="auto"/>
              </w:rPr>
            </w:pPr>
            <w:r>
              <w:rPr>
                <w:rFonts w:ascii="Arial" w:cs="Arial" w:eastAsia="Arial" w:hAnsi="Arial"/>
                <w:sz w:val="16"/>
                <w:szCs w:val="16"/>
                <w:b w:val="1"/>
                <w:bCs w:val="1"/>
                <w:color w:val="FEFEFE"/>
              </w:rPr>
              <w:t>($)</w:t>
            </w:r>
          </w:p>
        </w:tc>
        <w:tc>
          <w:tcPr>
            <w:tcW w:w="1580" w:type="dxa"/>
            <w:vAlign w:val="bottom"/>
            <w:shd w:val="clear" w:color="auto" w:fill="62259D"/>
          </w:tcPr>
          <w:p>
            <w:pPr>
              <w:ind w:left="720"/>
              <w:spacing w:after="0"/>
              <w:rPr>
                <w:sz w:val="20"/>
                <w:szCs w:val="20"/>
                <w:color w:val="auto"/>
              </w:rPr>
            </w:pPr>
            <w:r>
              <w:rPr>
                <w:rFonts w:ascii="Arial" w:cs="Arial" w:eastAsia="Arial" w:hAnsi="Arial"/>
                <w:sz w:val="16"/>
                <w:szCs w:val="16"/>
                <w:b w:val="1"/>
                <w:bCs w:val="1"/>
                <w:color w:val="FEFEFE"/>
              </w:rPr>
              <w:t>​ ​</w:t>
            </w:r>
          </w:p>
        </w:tc>
        <w:tc>
          <w:tcPr>
            <w:tcW w:w="120" w:type="dxa"/>
            <w:vAlign w:val="bottom"/>
            <w:shd w:val="clear" w:color="auto" w:fill="62259D"/>
          </w:tcPr>
          <w:p>
            <w:pPr>
              <w:spacing w:after="0"/>
              <w:rPr>
                <w:sz w:val="20"/>
                <w:szCs w:val="20"/>
                <w:color w:val="auto"/>
              </w:rPr>
            </w:pPr>
          </w:p>
        </w:tc>
        <w:tc>
          <w:tcPr>
            <w:tcW w:w="1000" w:type="dxa"/>
            <w:vAlign w:val="bottom"/>
            <w:shd w:val="clear" w:color="auto" w:fill="62259D"/>
          </w:tcPr>
          <w:p>
            <w:pPr>
              <w:jc w:val="right"/>
              <w:ind w:right="539"/>
              <w:spacing w:after="0"/>
              <w:rPr>
                <w:sz w:val="20"/>
                <w:szCs w:val="20"/>
                <w:color w:val="auto"/>
              </w:rPr>
            </w:pPr>
            <w:r>
              <w:rPr>
                <w:rFonts w:ascii="Arial" w:cs="Arial" w:eastAsia="Arial" w:hAnsi="Arial"/>
                <w:sz w:val="16"/>
                <w:szCs w:val="16"/>
                <w:b w:val="1"/>
                <w:bCs w:val="1"/>
                <w:color w:val="FEFEFE"/>
              </w:rPr>
              <w:t>($)</w:t>
            </w:r>
          </w:p>
        </w:tc>
        <w:tc>
          <w:tcPr>
            <w:tcW w:w="48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189"/>
        </w:trPr>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2700" w:type="dxa"/>
            <w:vAlign w:val="bottom"/>
          </w:tcPr>
          <w:p>
            <w:pPr>
              <w:ind w:left="40"/>
              <w:spacing w:after="0" w:line="189" w:lineRule="exact"/>
              <w:rPr>
                <w:sz w:val="20"/>
                <w:szCs w:val="20"/>
                <w:color w:val="auto"/>
              </w:rPr>
            </w:pPr>
            <w:r>
              <w:rPr>
                <w:rFonts w:ascii="Arial" w:cs="Arial" w:eastAsia="Arial" w:hAnsi="Arial"/>
                <w:sz w:val="16"/>
                <w:szCs w:val="16"/>
                <w:color w:val="auto"/>
              </w:rPr>
              <w:t>Audit fees</w:t>
            </w:r>
            <w:r>
              <w:rPr>
                <w:rFonts w:ascii="Arial" w:cs="Arial" w:eastAsia="Arial" w:hAnsi="Arial"/>
                <w:sz w:val="19"/>
                <w:szCs w:val="19"/>
                <w:color w:val="auto"/>
                <w:vertAlign w:val="superscript"/>
              </w:rPr>
              <w:t>(1)</w:t>
            </w:r>
          </w:p>
        </w:tc>
        <w:tc>
          <w:tcPr>
            <w:tcW w:w="1320" w:type="dxa"/>
            <w:vAlign w:val="bottom"/>
            <w:vMerge w:val="restart"/>
          </w:tcPr>
          <w:p>
            <w:pPr>
              <w:ind w:left="1220"/>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46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2,685,997</w:t>
            </w:r>
          </w:p>
        </w:tc>
        <w:tc>
          <w:tcPr>
            <w:tcW w:w="158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20" w:type="dxa"/>
            <w:vAlign w:val="bottom"/>
            <w:gridSpan w:val="2"/>
          </w:tcPr>
          <w:p>
            <w:pPr>
              <w:jc w:val="right"/>
              <w:ind w:right="279"/>
              <w:spacing w:after="0"/>
              <w:rPr>
                <w:sz w:val="20"/>
                <w:szCs w:val="20"/>
                <w:color w:val="auto"/>
              </w:rPr>
            </w:pPr>
            <w:r>
              <w:rPr>
                <w:rFonts w:ascii="Arial" w:cs="Arial" w:eastAsia="Arial" w:hAnsi="Arial"/>
                <w:sz w:val="16"/>
                <w:szCs w:val="16"/>
                <w:color w:val="auto"/>
              </w:rPr>
              <w:t>​2,440,707</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E7417A"/>
            </w:tcBorders>
            <w:vMerge w:val="continue"/>
          </w:tcPr>
          <w:p>
            <w:pPr>
              <w:spacing w:after="0"/>
              <w:rPr>
                <w:sz w:val="5"/>
                <w:szCs w:val="5"/>
                <w:color w:val="auto"/>
              </w:rPr>
            </w:pPr>
          </w:p>
        </w:tc>
        <w:tc>
          <w:tcPr>
            <w:tcW w:w="2700" w:type="dxa"/>
            <w:vAlign w:val="bottom"/>
            <w:tcBorders>
              <w:bottom w:val="single" w:sz="8" w:color="E7417A"/>
            </w:tcBorders>
          </w:tcPr>
          <w:p>
            <w:pPr>
              <w:spacing w:after="0"/>
              <w:rPr>
                <w:sz w:val="5"/>
                <w:szCs w:val="5"/>
                <w:color w:val="auto"/>
              </w:rPr>
            </w:pPr>
          </w:p>
        </w:tc>
        <w:tc>
          <w:tcPr>
            <w:tcW w:w="132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tcPr>
          <w:p>
            <w:pPr>
              <w:spacing w:after="0"/>
              <w:rPr>
                <w:sz w:val="5"/>
                <w:szCs w:val="5"/>
                <w:color w:val="auto"/>
              </w:rPr>
            </w:pPr>
          </w:p>
        </w:tc>
        <w:tc>
          <w:tcPr>
            <w:tcW w:w="800" w:type="dxa"/>
            <w:vAlign w:val="bottom"/>
            <w:tcBorders>
              <w:bottom w:val="single" w:sz="8" w:color="E7417A"/>
            </w:tcBorders>
          </w:tcPr>
          <w:p>
            <w:pPr>
              <w:spacing w:after="0"/>
              <w:rPr>
                <w:sz w:val="5"/>
                <w:szCs w:val="5"/>
                <w:color w:val="auto"/>
              </w:rPr>
            </w:pPr>
          </w:p>
        </w:tc>
        <w:tc>
          <w:tcPr>
            <w:tcW w:w="660" w:type="dxa"/>
            <w:vAlign w:val="bottom"/>
            <w:tcBorders>
              <w:bottom w:val="single" w:sz="8" w:color="E7417A"/>
            </w:tcBorders>
          </w:tcPr>
          <w:p>
            <w:pPr>
              <w:spacing w:after="0"/>
              <w:rPr>
                <w:sz w:val="5"/>
                <w:szCs w:val="5"/>
                <w:color w:val="auto"/>
              </w:rPr>
            </w:pPr>
          </w:p>
        </w:tc>
        <w:tc>
          <w:tcPr>
            <w:tcW w:w="1580" w:type="dxa"/>
            <w:vAlign w:val="bottom"/>
            <w:tcBorders>
              <w:bottom w:val="single" w:sz="8" w:color="E7417A"/>
            </w:tcBorders>
            <w:vMerge w:val="continue"/>
          </w:tcPr>
          <w:p>
            <w:pPr>
              <w:spacing w:after="0"/>
              <w:rPr>
                <w:sz w:val="5"/>
                <w:szCs w:val="5"/>
                <w:color w:val="auto"/>
              </w:rPr>
            </w:pPr>
          </w:p>
        </w:tc>
        <w:tc>
          <w:tcPr>
            <w:tcW w:w="120" w:type="dxa"/>
            <w:vAlign w:val="bottom"/>
            <w:tcBorders>
              <w:bottom w:val="single" w:sz="8" w:color="E7417A"/>
            </w:tcBorders>
          </w:tcPr>
          <w:p>
            <w:pPr>
              <w:spacing w:after="0" w:line="68" w:lineRule="exact"/>
              <w:rPr>
                <w:sz w:val="20"/>
                <w:szCs w:val="20"/>
                <w:color w:val="auto"/>
              </w:rPr>
            </w:pPr>
            <w:r>
              <w:rPr>
                <w:rFonts w:ascii="Arial" w:cs="Arial" w:eastAsia="Arial" w:hAnsi="Arial"/>
                <w:sz w:val="7"/>
                <w:szCs w:val="7"/>
                <w:color w:val="auto"/>
              </w:rPr>
              <w:t>​</w:t>
            </w:r>
          </w:p>
        </w:tc>
        <w:tc>
          <w:tcPr>
            <w:tcW w:w="1000" w:type="dxa"/>
            <w:vAlign w:val="bottom"/>
            <w:tcBorders>
              <w:bottom w:val="single" w:sz="8" w:color="E7417A"/>
            </w:tcBorders>
          </w:tcPr>
          <w:p>
            <w:pPr>
              <w:spacing w:after="0"/>
              <w:rPr>
                <w:sz w:val="5"/>
                <w:szCs w:val="5"/>
                <w:color w:val="auto"/>
              </w:rPr>
            </w:pPr>
          </w:p>
        </w:tc>
        <w:tc>
          <w:tcPr>
            <w:tcW w:w="48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2700" w:type="dxa"/>
            <w:vAlign w:val="bottom"/>
          </w:tcPr>
          <w:p>
            <w:pPr>
              <w:ind w:left="40"/>
              <w:spacing w:after="0" w:line="183" w:lineRule="exact"/>
              <w:rPr>
                <w:sz w:val="20"/>
                <w:szCs w:val="20"/>
                <w:color w:val="auto"/>
              </w:rPr>
            </w:pPr>
            <w:r>
              <w:rPr>
                <w:rFonts w:ascii="Arial" w:cs="Arial" w:eastAsia="Arial" w:hAnsi="Arial"/>
                <w:sz w:val="16"/>
                <w:szCs w:val="16"/>
                <w:color w:val="auto"/>
              </w:rPr>
              <w:t>Audit-related fees</w:t>
            </w:r>
            <w:r>
              <w:rPr>
                <w:rFonts w:ascii="Arial" w:cs="Arial" w:eastAsia="Arial" w:hAnsi="Arial"/>
                <w:sz w:val="19"/>
                <w:szCs w:val="19"/>
                <w:color w:val="auto"/>
                <w:vertAlign w:val="superscript"/>
              </w:rPr>
              <w:t>(2)</w:t>
            </w:r>
          </w:p>
        </w:tc>
        <w:tc>
          <w:tcPr>
            <w:tcW w:w="1320" w:type="dxa"/>
            <w:vAlign w:val="bottom"/>
            <w:vMerge w:val="restart"/>
          </w:tcPr>
          <w:p>
            <w:pPr>
              <w:ind w:left="1220"/>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800" w:type="dxa"/>
            <w:vAlign w:val="bottom"/>
          </w:tcPr>
          <w:p>
            <w:pPr>
              <w:ind w:left="700"/>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58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E7417A"/>
            </w:tcBorders>
            <w:vMerge w:val="continue"/>
          </w:tcPr>
          <w:p>
            <w:pPr>
              <w:spacing w:after="0"/>
              <w:rPr>
                <w:sz w:val="5"/>
                <w:szCs w:val="5"/>
                <w:color w:val="auto"/>
              </w:rPr>
            </w:pPr>
          </w:p>
        </w:tc>
        <w:tc>
          <w:tcPr>
            <w:tcW w:w="2700" w:type="dxa"/>
            <w:vAlign w:val="bottom"/>
            <w:tcBorders>
              <w:bottom w:val="single" w:sz="8" w:color="E7417A"/>
            </w:tcBorders>
          </w:tcPr>
          <w:p>
            <w:pPr>
              <w:spacing w:after="0"/>
              <w:rPr>
                <w:sz w:val="5"/>
                <w:szCs w:val="5"/>
                <w:color w:val="auto"/>
              </w:rPr>
            </w:pPr>
          </w:p>
        </w:tc>
        <w:tc>
          <w:tcPr>
            <w:tcW w:w="132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tcPr>
          <w:p>
            <w:pPr>
              <w:spacing w:after="0"/>
              <w:rPr>
                <w:sz w:val="5"/>
                <w:szCs w:val="5"/>
                <w:color w:val="auto"/>
              </w:rPr>
            </w:pPr>
          </w:p>
        </w:tc>
        <w:tc>
          <w:tcPr>
            <w:tcW w:w="800" w:type="dxa"/>
            <w:vAlign w:val="bottom"/>
            <w:tcBorders>
              <w:bottom w:val="single" w:sz="8" w:color="E7417A"/>
            </w:tcBorders>
          </w:tcPr>
          <w:p>
            <w:pPr>
              <w:spacing w:after="0"/>
              <w:rPr>
                <w:sz w:val="5"/>
                <w:szCs w:val="5"/>
                <w:color w:val="auto"/>
              </w:rPr>
            </w:pPr>
          </w:p>
        </w:tc>
        <w:tc>
          <w:tcPr>
            <w:tcW w:w="660" w:type="dxa"/>
            <w:vAlign w:val="bottom"/>
            <w:tcBorders>
              <w:bottom w:val="single" w:sz="8" w:color="E7417A"/>
            </w:tcBorders>
          </w:tcPr>
          <w:p>
            <w:pPr>
              <w:spacing w:after="0"/>
              <w:rPr>
                <w:sz w:val="5"/>
                <w:szCs w:val="5"/>
                <w:color w:val="auto"/>
              </w:rPr>
            </w:pPr>
          </w:p>
        </w:tc>
        <w:tc>
          <w:tcPr>
            <w:tcW w:w="1580" w:type="dxa"/>
            <w:vAlign w:val="bottom"/>
            <w:tcBorders>
              <w:bottom w:val="single" w:sz="8" w:color="E7417A"/>
            </w:tcBorders>
            <w:vMerge w:val="continue"/>
          </w:tcPr>
          <w:p>
            <w:pPr>
              <w:spacing w:after="0"/>
              <w:rPr>
                <w:sz w:val="5"/>
                <w:szCs w:val="5"/>
                <w:color w:val="auto"/>
              </w:rPr>
            </w:pPr>
          </w:p>
        </w:tc>
        <w:tc>
          <w:tcPr>
            <w:tcW w:w="120" w:type="dxa"/>
            <w:vAlign w:val="bottom"/>
            <w:tcBorders>
              <w:bottom w:val="single" w:sz="8" w:color="E7417A"/>
            </w:tcBorders>
          </w:tcPr>
          <w:p>
            <w:pPr>
              <w:spacing w:after="0" w:line="68" w:lineRule="exact"/>
              <w:rPr>
                <w:sz w:val="20"/>
                <w:szCs w:val="20"/>
                <w:color w:val="auto"/>
              </w:rPr>
            </w:pPr>
            <w:r>
              <w:rPr>
                <w:rFonts w:ascii="Arial" w:cs="Arial" w:eastAsia="Arial" w:hAnsi="Arial"/>
                <w:sz w:val="7"/>
                <w:szCs w:val="7"/>
                <w:color w:val="auto"/>
              </w:rPr>
              <w:t>​</w:t>
            </w:r>
          </w:p>
        </w:tc>
        <w:tc>
          <w:tcPr>
            <w:tcW w:w="1000" w:type="dxa"/>
            <w:vAlign w:val="bottom"/>
            <w:tcBorders>
              <w:bottom w:val="single" w:sz="8" w:color="E7417A"/>
            </w:tcBorders>
          </w:tcPr>
          <w:p>
            <w:pPr>
              <w:spacing w:after="0"/>
              <w:rPr>
                <w:sz w:val="5"/>
                <w:szCs w:val="5"/>
                <w:color w:val="auto"/>
              </w:rPr>
            </w:pPr>
          </w:p>
        </w:tc>
        <w:tc>
          <w:tcPr>
            <w:tcW w:w="48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2700" w:type="dxa"/>
            <w:vAlign w:val="bottom"/>
          </w:tcPr>
          <w:p>
            <w:pPr>
              <w:ind w:left="40"/>
              <w:spacing w:after="0" w:line="183" w:lineRule="exact"/>
              <w:rPr>
                <w:sz w:val="20"/>
                <w:szCs w:val="20"/>
                <w:color w:val="auto"/>
              </w:rPr>
            </w:pPr>
            <w:r>
              <w:rPr>
                <w:rFonts w:ascii="Arial" w:cs="Arial" w:eastAsia="Arial" w:hAnsi="Arial"/>
                <w:sz w:val="16"/>
                <w:szCs w:val="16"/>
                <w:color w:val="auto"/>
              </w:rPr>
              <w:t>Tax fees</w:t>
            </w:r>
            <w:r>
              <w:rPr>
                <w:rFonts w:ascii="Arial" w:cs="Arial" w:eastAsia="Arial" w:hAnsi="Arial"/>
                <w:sz w:val="19"/>
                <w:szCs w:val="19"/>
                <w:color w:val="auto"/>
                <w:vertAlign w:val="superscript"/>
              </w:rPr>
              <w:t>(3)</w:t>
            </w:r>
          </w:p>
        </w:tc>
        <w:tc>
          <w:tcPr>
            <w:tcW w:w="1320" w:type="dxa"/>
            <w:vAlign w:val="bottom"/>
            <w:vMerge w:val="restart"/>
          </w:tcPr>
          <w:p>
            <w:pPr>
              <w:ind w:left="1220"/>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800" w:type="dxa"/>
            <w:vAlign w:val="bottom"/>
          </w:tcPr>
          <w:p>
            <w:pPr>
              <w:ind w:left="700"/>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128,022</w:t>
            </w:r>
          </w:p>
        </w:tc>
        <w:tc>
          <w:tcPr>
            <w:tcW w:w="158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142,543</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E7417A"/>
            </w:tcBorders>
            <w:vMerge w:val="continue"/>
          </w:tcPr>
          <w:p>
            <w:pPr>
              <w:spacing w:after="0"/>
              <w:rPr>
                <w:sz w:val="5"/>
                <w:szCs w:val="5"/>
                <w:color w:val="auto"/>
              </w:rPr>
            </w:pPr>
          </w:p>
        </w:tc>
        <w:tc>
          <w:tcPr>
            <w:tcW w:w="2700" w:type="dxa"/>
            <w:vAlign w:val="bottom"/>
            <w:tcBorders>
              <w:bottom w:val="single" w:sz="8" w:color="E7417A"/>
            </w:tcBorders>
          </w:tcPr>
          <w:p>
            <w:pPr>
              <w:spacing w:after="0"/>
              <w:rPr>
                <w:sz w:val="5"/>
                <w:szCs w:val="5"/>
                <w:color w:val="auto"/>
              </w:rPr>
            </w:pPr>
          </w:p>
        </w:tc>
        <w:tc>
          <w:tcPr>
            <w:tcW w:w="132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tcPr>
          <w:p>
            <w:pPr>
              <w:spacing w:after="0"/>
              <w:rPr>
                <w:sz w:val="5"/>
                <w:szCs w:val="5"/>
                <w:color w:val="auto"/>
              </w:rPr>
            </w:pPr>
          </w:p>
        </w:tc>
        <w:tc>
          <w:tcPr>
            <w:tcW w:w="800" w:type="dxa"/>
            <w:vAlign w:val="bottom"/>
            <w:tcBorders>
              <w:bottom w:val="single" w:sz="8" w:color="E7417A"/>
            </w:tcBorders>
          </w:tcPr>
          <w:p>
            <w:pPr>
              <w:spacing w:after="0"/>
              <w:rPr>
                <w:sz w:val="5"/>
                <w:szCs w:val="5"/>
                <w:color w:val="auto"/>
              </w:rPr>
            </w:pPr>
          </w:p>
        </w:tc>
        <w:tc>
          <w:tcPr>
            <w:tcW w:w="660" w:type="dxa"/>
            <w:vAlign w:val="bottom"/>
            <w:tcBorders>
              <w:bottom w:val="single" w:sz="8" w:color="E7417A"/>
            </w:tcBorders>
          </w:tcPr>
          <w:p>
            <w:pPr>
              <w:spacing w:after="0"/>
              <w:rPr>
                <w:sz w:val="5"/>
                <w:szCs w:val="5"/>
                <w:color w:val="auto"/>
              </w:rPr>
            </w:pPr>
          </w:p>
        </w:tc>
        <w:tc>
          <w:tcPr>
            <w:tcW w:w="1580" w:type="dxa"/>
            <w:vAlign w:val="bottom"/>
            <w:tcBorders>
              <w:bottom w:val="single" w:sz="8" w:color="E7417A"/>
            </w:tcBorders>
            <w:vMerge w:val="continue"/>
          </w:tcPr>
          <w:p>
            <w:pPr>
              <w:spacing w:after="0"/>
              <w:rPr>
                <w:sz w:val="5"/>
                <w:szCs w:val="5"/>
                <w:color w:val="auto"/>
              </w:rPr>
            </w:pPr>
          </w:p>
        </w:tc>
        <w:tc>
          <w:tcPr>
            <w:tcW w:w="120" w:type="dxa"/>
            <w:vAlign w:val="bottom"/>
            <w:tcBorders>
              <w:bottom w:val="single" w:sz="8" w:color="E7417A"/>
            </w:tcBorders>
          </w:tcPr>
          <w:p>
            <w:pPr>
              <w:spacing w:after="0" w:line="68" w:lineRule="exact"/>
              <w:rPr>
                <w:sz w:val="20"/>
                <w:szCs w:val="20"/>
                <w:color w:val="auto"/>
              </w:rPr>
            </w:pPr>
            <w:r>
              <w:rPr>
                <w:rFonts w:ascii="Arial" w:cs="Arial" w:eastAsia="Arial" w:hAnsi="Arial"/>
                <w:sz w:val="7"/>
                <w:szCs w:val="7"/>
                <w:color w:val="auto"/>
              </w:rPr>
              <w:t>​</w:t>
            </w:r>
          </w:p>
        </w:tc>
        <w:tc>
          <w:tcPr>
            <w:tcW w:w="1000" w:type="dxa"/>
            <w:vAlign w:val="bottom"/>
            <w:tcBorders>
              <w:bottom w:val="single" w:sz="8" w:color="E7417A"/>
            </w:tcBorders>
          </w:tcPr>
          <w:p>
            <w:pPr>
              <w:spacing w:after="0"/>
              <w:rPr>
                <w:sz w:val="5"/>
                <w:szCs w:val="5"/>
                <w:color w:val="auto"/>
              </w:rPr>
            </w:pPr>
          </w:p>
        </w:tc>
        <w:tc>
          <w:tcPr>
            <w:tcW w:w="48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2700" w:type="dxa"/>
            <w:vAlign w:val="bottom"/>
          </w:tcPr>
          <w:p>
            <w:pPr>
              <w:ind w:left="40"/>
              <w:spacing w:after="0" w:line="183" w:lineRule="exact"/>
              <w:rPr>
                <w:sz w:val="20"/>
                <w:szCs w:val="20"/>
                <w:color w:val="auto"/>
              </w:rPr>
            </w:pPr>
            <w:r>
              <w:rPr>
                <w:rFonts w:ascii="Arial" w:cs="Arial" w:eastAsia="Arial" w:hAnsi="Arial"/>
                <w:sz w:val="16"/>
                <w:szCs w:val="16"/>
                <w:color w:val="auto"/>
              </w:rPr>
              <w:t>All other fees</w:t>
            </w:r>
            <w:r>
              <w:rPr>
                <w:rFonts w:ascii="Arial" w:cs="Arial" w:eastAsia="Arial" w:hAnsi="Arial"/>
                <w:sz w:val="19"/>
                <w:szCs w:val="19"/>
                <w:color w:val="auto"/>
                <w:vertAlign w:val="superscript"/>
              </w:rPr>
              <w:t>(4)</w:t>
            </w:r>
          </w:p>
        </w:tc>
        <w:tc>
          <w:tcPr>
            <w:tcW w:w="1320" w:type="dxa"/>
            <w:vAlign w:val="bottom"/>
            <w:vMerge w:val="restart"/>
          </w:tcPr>
          <w:p>
            <w:pPr>
              <w:ind w:left="1220"/>
              <w:spacing w:after="0"/>
              <w:rPr>
                <w:sz w:val="20"/>
                <w:szCs w:val="20"/>
                <w:color w:val="auto"/>
              </w:rPr>
            </w:pPr>
            <w:r>
              <w:rPr>
                <w:rFonts w:ascii="Arial" w:cs="Arial" w:eastAsia="Arial" w:hAnsi="Arial"/>
                <w:sz w:val="16"/>
                <w:szCs w:val="16"/>
                <w:color w:val="auto"/>
              </w:rPr>
              <w:t>​</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800" w:type="dxa"/>
            <w:vAlign w:val="bottom"/>
          </w:tcPr>
          <w:p>
            <w:pPr>
              <w:ind w:left="700"/>
              <w:spacing w:after="0" w:line="183"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4,103</w:t>
            </w:r>
          </w:p>
        </w:tc>
        <w:tc>
          <w:tcPr>
            <w:tcW w:w="1580" w:type="dxa"/>
            <w:vAlign w:val="bottom"/>
            <w:vMerge w:val="restart"/>
          </w:tcPr>
          <w:p>
            <w:pPr>
              <w:ind w:left="6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20" w:type="dxa"/>
            <w:vAlign w:val="bottom"/>
          </w:tcPr>
          <w:p>
            <w:pPr>
              <w:ind w:left="2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4,103</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E7417A"/>
            </w:tcBorders>
            <w:vMerge w:val="continue"/>
          </w:tcPr>
          <w:p>
            <w:pPr>
              <w:spacing w:after="0"/>
              <w:rPr>
                <w:sz w:val="5"/>
                <w:szCs w:val="5"/>
                <w:color w:val="auto"/>
              </w:rPr>
            </w:pPr>
          </w:p>
        </w:tc>
        <w:tc>
          <w:tcPr>
            <w:tcW w:w="2700" w:type="dxa"/>
            <w:vAlign w:val="bottom"/>
            <w:tcBorders>
              <w:bottom w:val="single" w:sz="8" w:color="E7417A"/>
            </w:tcBorders>
          </w:tcPr>
          <w:p>
            <w:pPr>
              <w:spacing w:after="0"/>
              <w:rPr>
                <w:sz w:val="5"/>
                <w:szCs w:val="5"/>
                <w:color w:val="auto"/>
              </w:rPr>
            </w:pPr>
          </w:p>
        </w:tc>
        <w:tc>
          <w:tcPr>
            <w:tcW w:w="132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vMerge w:val="continue"/>
          </w:tcPr>
          <w:p>
            <w:pPr>
              <w:spacing w:after="0"/>
              <w:rPr>
                <w:sz w:val="5"/>
                <w:szCs w:val="5"/>
                <w:color w:val="auto"/>
              </w:rPr>
            </w:pPr>
          </w:p>
        </w:tc>
        <w:tc>
          <w:tcPr>
            <w:tcW w:w="60" w:type="dxa"/>
            <w:vAlign w:val="bottom"/>
            <w:tcBorders>
              <w:bottom w:val="single" w:sz="8" w:color="E7417A"/>
            </w:tcBorders>
          </w:tcPr>
          <w:p>
            <w:pPr>
              <w:spacing w:after="0"/>
              <w:rPr>
                <w:sz w:val="5"/>
                <w:szCs w:val="5"/>
                <w:color w:val="auto"/>
              </w:rPr>
            </w:pPr>
          </w:p>
        </w:tc>
        <w:tc>
          <w:tcPr>
            <w:tcW w:w="800" w:type="dxa"/>
            <w:vAlign w:val="bottom"/>
            <w:tcBorders>
              <w:bottom w:val="single" w:sz="8" w:color="E7417A"/>
            </w:tcBorders>
          </w:tcPr>
          <w:p>
            <w:pPr>
              <w:spacing w:after="0"/>
              <w:rPr>
                <w:sz w:val="5"/>
                <w:szCs w:val="5"/>
                <w:color w:val="auto"/>
              </w:rPr>
            </w:pPr>
          </w:p>
        </w:tc>
        <w:tc>
          <w:tcPr>
            <w:tcW w:w="660" w:type="dxa"/>
            <w:vAlign w:val="bottom"/>
            <w:tcBorders>
              <w:bottom w:val="single" w:sz="8" w:color="E7417A"/>
            </w:tcBorders>
          </w:tcPr>
          <w:p>
            <w:pPr>
              <w:spacing w:after="0"/>
              <w:rPr>
                <w:sz w:val="5"/>
                <w:szCs w:val="5"/>
                <w:color w:val="auto"/>
              </w:rPr>
            </w:pPr>
          </w:p>
        </w:tc>
        <w:tc>
          <w:tcPr>
            <w:tcW w:w="1580" w:type="dxa"/>
            <w:vAlign w:val="bottom"/>
            <w:tcBorders>
              <w:bottom w:val="single" w:sz="8" w:color="E7417A"/>
            </w:tcBorders>
            <w:vMerge w:val="continue"/>
          </w:tcPr>
          <w:p>
            <w:pPr>
              <w:spacing w:after="0"/>
              <w:rPr>
                <w:sz w:val="5"/>
                <w:szCs w:val="5"/>
                <w:color w:val="auto"/>
              </w:rPr>
            </w:pPr>
          </w:p>
        </w:tc>
        <w:tc>
          <w:tcPr>
            <w:tcW w:w="120" w:type="dxa"/>
            <w:vAlign w:val="bottom"/>
            <w:tcBorders>
              <w:bottom w:val="single" w:sz="8" w:color="E7417A"/>
            </w:tcBorders>
          </w:tcPr>
          <w:p>
            <w:pPr>
              <w:spacing w:after="0" w:line="68" w:lineRule="exact"/>
              <w:rPr>
                <w:sz w:val="20"/>
                <w:szCs w:val="20"/>
                <w:color w:val="auto"/>
              </w:rPr>
            </w:pPr>
            <w:r>
              <w:rPr>
                <w:rFonts w:ascii="Arial" w:cs="Arial" w:eastAsia="Arial" w:hAnsi="Arial"/>
                <w:sz w:val="7"/>
                <w:szCs w:val="7"/>
                <w:color w:val="auto"/>
              </w:rPr>
              <w:t>​</w:t>
            </w:r>
          </w:p>
        </w:tc>
        <w:tc>
          <w:tcPr>
            <w:tcW w:w="1000" w:type="dxa"/>
            <w:vAlign w:val="bottom"/>
            <w:tcBorders>
              <w:bottom w:val="single" w:sz="8" w:color="E7417A"/>
            </w:tcBorders>
          </w:tcPr>
          <w:p>
            <w:pPr>
              <w:spacing w:after="0"/>
              <w:rPr>
                <w:sz w:val="5"/>
                <w:szCs w:val="5"/>
                <w:color w:val="auto"/>
              </w:rPr>
            </w:pPr>
          </w:p>
        </w:tc>
        <w:tc>
          <w:tcPr>
            <w:tcW w:w="48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2780" w:type="dxa"/>
            <w:vAlign w:val="bottom"/>
            <w:tcBorders>
              <w:bottom w:val="single" w:sz="8" w:color="62259D"/>
            </w:tcBorders>
            <w:gridSpan w:val="2"/>
            <w:shd w:val="clear" w:color="auto" w:fill="F2F2F2"/>
          </w:tcPr>
          <w:p>
            <w:pPr>
              <w:spacing w:after="0"/>
              <w:rPr>
                <w:sz w:val="20"/>
                <w:szCs w:val="20"/>
                <w:color w:val="auto"/>
              </w:rPr>
            </w:pPr>
            <w:r>
              <w:rPr>
                <w:rFonts w:ascii="Arial" w:cs="Arial" w:eastAsia="Arial" w:hAnsi="Arial"/>
                <w:sz w:val="16"/>
                <w:szCs w:val="16"/>
                <w:color w:val="auto"/>
              </w:rPr>
              <w:t>​   Total</w:t>
            </w:r>
          </w:p>
        </w:tc>
        <w:tc>
          <w:tcPr>
            <w:tcW w:w="1380" w:type="dxa"/>
            <w:vAlign w:val="bottom"/>
            <w:tcBorders>
              <w:bottom w:val="single" w:sz="8" w:color="62259D"/>
            </w:tcBorders>
            <w:gridSpan w:val="2"/>
            <w:shd w:val="clear" w:color="auto" w:fill="F2F2F2"/>
          </w:tcPr>
          <w:p>
            <w:pPr>
              <w:jc w:val="right"/>
              <w:spacing w:after="0"/>
              <w:rPr>
                <w:sz w:val="20"/>
                <w:szCs w:val="20"/>
                <w:color w:val="auto"/>
              </w:rPr>
            </w:pPr>
            <w:r>
              <w:rPr>
                <w:rFonts w:ascii="Arial" w:cs="Arial" w:eastAsia="Arial" w:hAnsi="Arial"/>
                <w:sz w:val="16"/>
                <w:szCs w:val="16"/>
                <w:color w:val="auto"/>
              </w:rPr>
              <w:t>​ ​</w:t>
            </w:r>
          </w:p>
        </w:tc>
        <w:tc>
          <w:tcPr>
            <w:tcW w:w="60" w:type="dxa"/>
            <w:vAlign w:val="bottom"/>
            <w:tcBorders>
              <w:bottom w:val="single" w:sz="8" w:color="62259D"/>
            </w:tcBorders>
            <w:shd w:val="clear" w:color="auto" w:fill="F2F2F2"/>
          </w:tcPr>
          <w:p>
            <w:pPr>
              <w:spacing w:after="0"/>
              <w:rPr>
                <w:sz w:val="20"/>
                <w:szCs w:val="20"/>
                <w:color w:val="auto"/>
              </w:rPr>
            </w:pPr>
          </w:p>
        </w:tc>
        <w:tc>
          <w:tcPr>
            <w:tcW w:w="1460" w:type="dxa"/>
            <w:vAlign w:val="bottom"/>
            <w:tcBorders>
              <w:bottom w:val="single" w:sz="8" w:color="62259D"/>
            </w:tcBorders>
            <w:gridSpan w:val="2"/>
            <w:shd w:val="clear" w:color="auto" w:fill="F2F2F2"/>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2,818,122</w:t>
            </w:r>
          </w:p>
        </w:tc>
        <w:tc>
          <w:tcPr>
            <w:tcW w:w="1580" w:type="dxa"/>
            <w:vAlign w:val="bottom"/>
            <w:tcBorders>
              <w:bottom w:val="single" w:sz="8" w:color="62259D"/>
            </w:tcBorders>
            <w:shd w:val="clear" w:color="auto" w:fill="F2F2F2"/>
          </w:tcPr>
          <w:p>
            <w:pPr>
              <w:ind w:left="660"/>
              <w:spacing w:after="0"/>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w:t>
            </w:r>
          </w:p>
        </w:tc>
        <w:tc>
          <w:tcPr>
            <w:tcW w:w="1120" w:type="dxa"/>
            <w:vAlign w:val="bottom"/>
            <w:tcBorders>
              <w:bottom w:val="single" w:sz="8" w:color="62259D"/>
            </w:tcBorders>
            <w:gridSpan w:val="2"/>
            <w:shd w:val="clear" w:color="auto" w:fill="F2F2F2"/>
          </w:tcPr>
          <w:p>
            <w:pPr>
              <w:jc w:val="right"/>
              <w:ind w:right="279"/>
              <w:spacing w:after="0"/>
              <w:rPr>
                <w:sz w:val="20"/>
                <w:szCs w:val="20"/>
                <w:color w:val="auto"/>
              </w:rPr>
            </w:pPr>
            <w:r>
              <w:rPr>
                <w:rFonts w:ascii="Arial" w:cs="Arial" w:eastAsia="Arial" w:hAnsi="Arial"/>
                <w:sz w:val="16"/>
                <w:szCs w:val="16"/>
                <w:color w:val="auto"/>
              </w:rPr>
              <w:t>​​2,587,353</w:t>
            </w:r>
          </w:p>
        </w:tc>
        <w:tc>
          <w:tcPr>
            <w:tcW w:w="480" w:type="dxa"/>
            <w:vAlign w:val="bottom"/>
            <w:tcBorders>
              <w:bottom w:val="single" w:sz="8" w:color="62259D"/>
            </w:tcBorders>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400" w:right="140" w:hanging="368"/>
        <w:spacing w:after="0" w:line="252" w:lineRule="auto"/>
        <w:tabs>
          <w:tab w:leader="none" w:pos="140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Audit fees. </w:t>
      </w:r>
      <w:r>
        <w:rPr>
          <w:rFonts w:ascii="Arial" w:cs="Arial" w:eastAsia="Arial" w:hAnsi="Arial"/>
          <w:sz w:val="16"/>
          <w:szCs w:val="16"/>
          <w:color w:val="auto"/>
        </w:rPr>
        <w:t>These amounts represent fees for the audit of our consolidated financial statements included in our</w:t>
      </w:r>
      <w:r>
        <w:rPr>
          <w:rFonts w:ascii="Arial" w:cs="Arial" w:eastAsia="Arial" w:hAnsi="Arial"/>
          <w:sz w:val="16"/>
          <w:szCs w:val="16"/>
          <w:b w:val="1"/>
          <w:bCs w:val="1"/>
          <w:color w:val="auto"/>
        </w:rPr>
        <w:t xml:space="preserve"> </w:t>
      </w:r>
      <w:r>
        <w:rPr>
          <w:rFonts w:ascii="Arial" w:cs="Arial" w:eastAsia="Arial" w:hAnsi="Arial"/>
          <w:sz w:val="16"/>
          <w:szCs w:val="16"/>
          <w:color w:val="auto"/>
        </w:rPr>
        <w:t>Annual Reports on Form 10-K, the review of financial statements included in our Quarterly Reports on Form 10-Q, the audit of our internal control over financial reporting and the services that an independent auditor would customarily provide in connection with subsidiary audits, statutory requirements, regulatory filing and similar engagements for the fiscal year, such as consents and assistance with review of documents filed with the SEC. Audit fees also include advice on accounting matters that may arise in connection with, or as a result of, the audit or the review of periodic consolidated financial statements and statutory audits that non-U.S. jurisdictions require.</w:t>
      </w:r>
    </w:p>
    <w:p>
      <w:pPr>
        <w:spacing w:after="0" w:line="357"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9166BA"/>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9166BA"/>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8" w:lineRule="exact"/>
        <w:rPr>
          <w:sz w:val="20"/>
          <w:szCs w:val="20"/>
          <w:color w:val="auto"/>
        </w:rPr>
      </w:pPr>
    </w:p>
    <w:p>
      <w:pPr>
        <w:ind w:left="1400" w:right="399" w:hanging="368"/>
        <w:spacing w:after="0" w:line="286" w:lineRule="auto"/>
        <w:tabs>
          <w:tab w:leader="none" w:pos="1400"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Audit-related fees. </w:t>
      </w:r>
      <w:r>
        <w:rPr>
          <w:rFonts w:ascii="Arial" w:cs="Arial" w:eastAsia="Arial" w:hAnsi="Arial"/>
          <w:sz w:val="16"/>
          <w:szCs w:val="16"/>
          <w:color w:val="auto"/>
        </w:rPr>
        <w:t>Audit-related fees consist of fees related to due diligence services and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consultations regarding the application of generally accepted accounting principles to proposed transactions.</w:t>
      </w:r>
    </w:p>
    <w:p>
      <w:pPr>
        <w:spacing w:after="0" w:line="7" w:lineRule="exact"/>
        <w:rPr>
          <w:rFonts w:ascii="Arial" w:cs="Arial" w:eastAsia="Arial" w:hAnsi="Arial"/>
          <w:sz w:val="16"/>
          <w:szCs w:val="16"/>
          <w:color w:val="auto"/>
        </w:rPr>
      </w:pPr>
    </w:p>
    <w:p>
      <w:pPr>
        <w:ind w:left="1400" w:right="559" w:hanging="368"/>
        <w:spacing w:after="0" w:line="266" w:lineRule="auto"/>
        <w:tabs>
          <w:tab w:leader="none" w:pos="1400"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Tax fees. </w:t>
      </w:r>
      <w:r>
        <w:rPr>
          <w:rFonts w:ascii="Arial" w:cs="Arial" w:eastAsia="Arial" w:hAnsi="Arial"/>
          <w:sz w:val="16"/>
          <w:szCs w:val="16"/>
          <w:color w:val="auto"/>
        </w:rPr>
        <w:t>Tax fees consist of professional services for tax compliance, tax advice and tax planning. These</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include assistance regarding federal, state and international tax compliance, value-added tax compliance, and transfer pricing advice and planning.</w:t>
      </w:r>
    </w:p>
    <w:p>
      <w:pPr>
        <w:spacing w:after="0" w:line="36" w:lineRule="exact"/>
        <w:rPr>
          <w:rFonts w:ascii="Arial" w:cs="Arial" w:eastAsia="Arial" w:hAnsi="Arial"/>
          <w:sz w:val="16"/>
          <w:szCs w:val="16"/>
          <w:color w:val="auto"/>
        </w:rPr>
      </w:pPr>
    </w:p>
    <w:p>
      <w:pPr>
        <w:ind w:left="1400" w:right="439" w:hanging="368"/>
        <w:spacing w:after="0" w:line="286" w:lineRule="auto"/>
        <w:tabs>
          <w:tab w:leader="none" w:pos="1400"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All other fees. </w:t>
      </w:r>
      <w:r>
        <w:rPr>
          <w:rFonts w:ascii="Arial" w:cs="Arial" w:eastAsia="Arial" w:hAnsi="Arial"/>
          <w:sz w:val="16"/>
          <w:szCs w:val="16"/>
          <w:color w:val="auto"/>
        </w:rPr>
        <w:t>All other fees consist of professional products and services other than the services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above, including fees for our subscription to Deloitte’s online accounting research tool.</w:t>
      </w:r>
    </w:p>
    <w:p>
      <w:pPr>
        <w:spacing w:after="0" w:line="118" w:lineRule="exact"/>
        <w:rPr>
          <w:sz w:val="20"/>
          <w:szCs w:val="20"/>
          <w:color w:val="auto"/>
        </w:rPr>
      </w:pPr>
    </w:p>
    <w:p>
      <w:pPr>
        <w:ind w:left="920" w:right="859"/>
        <w:spacing w:after="0" w:line="274" w:lineRule="auto"/>
        <w:rPr>
          <w:sz w:val="20"/>
          <w:szCs w:val="20"/>
          <w:color w:val="auto"/>
        </w:rPr>
      </w:pPr>
      <w:r>
        <w:rPr>
          <w:rFonts w:ascii="Arial" w:cs="Arial" w:eastAsia="Arial" w:hAnsi="Arial"/>
          <w:sz w:val="36"/>
          <w:szCs w:val="36"/>
          <w:b w:val="1"/>
          <w:bCs w:val="1"/>
          <w:color w:val="E7417A"/>
        </w:rPr>
        <w:t>Policy on Audit Committee Pre-Approval of Audit and Non-Audit Services</w:t>
      </w:r>
    </w:p>
    <w:p>
      <w:pPr>
        <w:spacing w:after="0" w:line="19" w:lineRule="exact"/>
        <w:rPr>
          <w:sz w:val="20"/>
          <w:szCs w:val="20"/>
          <w:color w:val="auto"/>
        </w:rPr>
      </w:pPr>
    </w:p>
    <w:p>
      <w:pPr>
        <w:ind w:left="920" w:right="139"/>
        <w:spacing w:after="0" w:line="243" w:lineRule="auto"/>
        <w:rPr>
          <w:sz w:val="20"/>
          <w:szCs w:val="20"/>
          <w:color w:val="auto"/>
        </w:rPr>
      </w:pPr>
      <w:r>
        <w:rPr>
          <w:rFonts w:ascii="Arial" w:cs="Arial" w:eastAsia="Arial" w:hAnsi="Arial"/>
          <w:sz w:val="18"/>
          <w:szCs w:val="18"/>
          <w:color w:val="auto"/>
        </w:rPr>
        <w:t>The Audit Committee has adopted a policy to pre-approve audit and permissible non-audit services provided by the independent registered public accounting firm. These services may include audit services, audit-related services, tax services and other services. Prior to our engagement of the independent registered public accounting firm for the next year’s audit, the independent registered public accounting firm and our management submit a list of services expected to be rendered during that year for each of the four categories of services to the Audit Committee for approval. Pre-approval is generally provided for up to one year and any pre-approval is detailed as to the particular service or category of services. The independent registered public accounting firm and our management periodically report to the Audit Committee regarding the extent of services provided by the independent registered public accounting firm in accordance with this pre- approval process. The Audit Committee may also pre-approve particular services on a case-by-case basis. The Audit Committee pre-approved all of the services and fees of Deloitte set forth above in accordance with such policy.</w:t>
      </w:r>
    </w:p>
    <w:p>
      <w:pPr>
        <w:spacing w:after="0" w:line="327" w:lineRule="exact"/>
        <w:rPr>
          <w:sz w:val="20"/>
          <w:szCs w:val="20"/>
          <w:color w:val="auto"/>
        </w:rPr>
      </w:pPr>
    </w:p>
    <w:p>
      <w:pPr>
        <w:ind w:left="920" w:right="199"/>
        <w:spacing w:after="0" w:line="247" w:lineRule="auto"/>
        <w:rPr>
          <w:sz w:val="20"/>
          <w:szCs w:val="20"/>
          <w:color w:val="auto"/>
        </w:rPr>
      </w:pPr>
      <w:r>
        <w:rPr>
          <w:rFonts w:ascii="Arial" w:cs="Arial" w:eastAsia="Arial" w:hAnsi="Arial"/>
          <w:sz w:val="18"/>
          <w:szCs w:val="18"/>
          <w:color w:val="auto"/>
        </w:rPr>
        <w:t>Our Audit Committee requires the regular rotation of the lead audit partner and concurring partner as required by Section 203 of the Sarbanes-Oxley Act of 2002 and is responsible for recommending to our Board policies for hiring employees or former employees of the independent registered public accounting firm. The Audit Committee has determined that the provision of services described above to us by Deloitte is compatible with maintaining Deloitte’s independence.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9166BA"/>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9166BA"/>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Audit Committee Report</w:t>
      </w:r>
    </w:p>
    <w:p>
      <w:pPr>
        <w:spacing w:after="0" w:line="160" w:lineRule="exact"/>
        <w:rPr>
          <w:sz w:val="20"/>
          <w:szCs w:val="20"/>
          <w:color w:val="auto"/>
        </w:rPr>
      </w:pPr>
    </w:p>
    <w:p>
      <w:pPr>
        <w:ind w:left="920" w:right="299"/>
        <w:spacing w:after="0" w:line="247"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or incorporated by reference in future filings with the SEC, or subject to the liabilities of Section 18 of the Securities Exchange Act of 1934, as amended (the “Exchange Act”), except to the extent that we specifically request that it be treated as soliciting material or specifically incorporate it by reference into a document filed under the Securities Act of 1933, as amended, or the Exchange Act</w:t>
      </w:r>
      <w:r>
        <w:rPr>
          <w:rFonts w:ascii="Arial" w:cs="Arial" w:eastAsia="Arial" w:hAnsi="Arial"/>
          <w:sz w:val="18"/>
          <w:szCs w:val="18"/>
          <w:color w:val="auto"/>
        </w:rPr>
        <w:t>.</w:t>
      </w:r>
    </w:p>
    <w:p>
      <w:pPr>
        <w:spacing w:after="0" w:line="107" w:lineRule="exact"/>
        <w:rPr>
          <w:sz w:val="20"/>
          <w:szCs w:val="20"/>
          <w:color w:val="auto"/>
        </w:rPr>
      </w:pPr>
    </w:p>
    <w:p>
      <w:pPr>
        <w:ind w:left="920" w:right="139"/>
        <w:spacing w:after="0" w:line="243" w:lineRule="auto"/>
        <w:rPr>
          <w:sz w:val="20"/>
          <w:szCs w:val="20"/>
          <w:color w:val="auto"/>
        </w:rPr>
      </w:pPr>
      <w:r>
        <w:rPr>
          <w:rFonts w:ascii="Arial" w:cs="Arial" w:eastAsia="Arial" w:hAnsi="Arial"/>
          <w:sz w:val="18"/>
          <w:szCs w:val="18"/>
          <w:color w:val="auto"/>
        </w:rPr>
        <w:t>We reviewed Ribbon’s audited financial statements for the fiscal year ended December 31, 2025 and discussed these financial statements with Ribbon’s management, including a discussion of the quality, not just the acceptability, of the accounting principles, the reasonableness of significant judgments and the clarity of disclosures in the financial statements. Ribbon’s management is responsible for Ribbon’s financial reporting process, including its system of internal controls, and for the preparation of consolidated financial statements in accordance with generally accepted accounting principles. Ribbon’s independent registered public accounting firm, Deloitte, is responsible for performing an independent audit of Ribbon’s financial statements in accordance with standards of the Public Company Accounting Oversight Board (United States) (“</w:t>
      </w:r>
      <w:r>
        <w:rPr>
          <w:rFonts w:ascii="Arial" w:cs="Arial" w:eastAsia="Arial" w:hAnsi="Arial"/>
          <w:sz w:val="18"/>
          <w:szCs w:val="18"/>
          <w:i w:val="1"/>
          <w:iCs w:val="1"/>
          <w:color w:val="auto"/>
        </w:rPr>
        <w:t>PCAOB</w:t>
      </w:r>
      <w:r>
        <w:rPr>
          <w:rFonts w:ascii="Arial" w:cs="Arial" w:eastAsia="Arial" w:hAnsi="Arial"/>
          <w:sz w:val="18"/>
          <w:szCs w:val="18"/>
          <w:color w:val="auto"/>
        </w:rPr>
        <w:t>”) and issuing a report on those financial statements and issuing a report on the effectiveness of Ribbon’s internal control over financial reporting as of the end of the fiscal year. Our responsibility is to monitor and review these processes. We also reviewed and discussed with Deloitte the audited financial statements and the matters required by the SEC and PCAOB.</w:t>
      </w:r>
    </w:p>
    <w:p>
      <w:pPr>
        <w:spacing w:after="0" w:line="118" w:lineRule="exact"/>
        <w:rPr>
          <w:sz w:val="20"/>
          <w:szCs w:val="20"/>
          <w:color w:val="auto"/>
        </w:rPr>
      </w:pPr>
    </w:p>
    <w:p>
      <w:pPr>
        <w:ind w:left="920" w:right="99"/>
        <w:spacing w:after="0" w:line="246" w:lineRule="auto"/>
        <w:rPr>
          <w:sz w:val="20"/>
          <w:szCs w:val="20"/>
          <w:color w:val="auto"/>
        </w:rPr>
      </w:pPr>
      <w:r>
        <w:rPr>
          <w:rFonts w:ascii="Arial" w:cs="Arial" w:eastAsia="Arial" w:hAnsi="Arial"/>
          <w:sz w:val="18"/>
          <w:szCs w:val="18"/>
          <w:color w:val="auto"/>
        </w:rPr>
        <w:t>Deloitte provided us with, and we reviewed, the written disclosures and the letter required by the applicable requirements of the PCAOB that independent registered public accounting firms annually to disclose in writing all relationships that in the independent registered public accounting firm’s professional opinion may reasonably be thought to bear on independence, to confirm their independence and to engage in a discussion of independence. In addition to engaging in this discussion with Deloitte regarding its independence, we also considered whether Deloitte’s provision of other, non-audit related services to Ribbon is compatible with maintaining Deloitte’s independence.</w:t>
      </w:r>
    </w:p>
    <w:p>
      <w:pPr>
        <w:spacing w:after="0" w:line="108" w:lineRule="exact"/>
        <w:rPr>
          <w:sz w:val="20"/>
          <w:szCs w:val="20"/>
          <w:color w:val="auto"/>
        </w:rPr>
      </w:pPr>
    </w:p>
    <w:p>
      <w:pPr>
        <w:ind w:left="920" w:right="359"/>
        <w:spacing w:after="0" w:line="252" w:lineRule="auto"/>
        <w:rPr>
          <w:sz w:val="20"/>
          <w:szCs w:val="20"/>
          <w:color w:val="auto"/>
        </w:rPr>
      </w:pPr>
      <w:r>
        <w:rPr>
          <w:rFonts w:ascii="Arial" w:cs="Arial" w:eastAsia="Arial" w:hAnsi="Arial"/>
          <w:sz w:val="18"/>
          <w:szCs w:val="18"/>
          <w:color w:val="auto"/>
        </w:rPr>
        <w:t>Based on our discussions with management and Deloitte, and our review of information provided by management and Deloitte, we recommended to the Ribbon Board of Directors that the audited financial statements be included in Ribbon’s 2025 Annual Report on Form 10-K for the year ended December 31, 2025.</w:t>
      </w:r>
    </w:p>
    <w:p>
      <w:pPr>
        <w:spacing w:after="0" w:line="103"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Submitted by,</w:t>
      </w:r>
    </w:p>
    <w:p>
      <w:pPr>
        <w:spacing w:after="0" w:line="14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THE AUDIT COMMITTEE</w:t>
      </w:r>
    </w:p>
    <w:p>
      <w:pPr>
        <w:spacing w:after="0" w:line="181" w:lineRule="exact"/>
        <w:rPr>
          <w:sz w:val="20"/>
          <w:szCs w:val="20"/>
          <w:color w:val="auto"/>
        </w:rPr>
      </w:pPr>
    </w:p>
    <w:p>
      <w:pPr>
        <w:ind w:left="2320"/>
        <w:spacing w:after="0"/>
        <w:tabs>
          <w:tab w:leader="none" w:pos="4860" w:val="left"/>
          <w:tab w:leader="none" w:pos="6940" w:val="left"/>
          <w:tab w:leader="none" w:pos="83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-118110</wp:posOffset>
            </wp:positionV>
            <wp:extent cx="3909060" cy="7029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9090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320"/>
        <w:spacing w:after="0"/>
        <w:tabs>
          <w:tab w:leader="none" w:pos="2640" w:val="left"/>
          <w:tab w:leader="none" w:pos="4860" w:val="left"/>
          <w:tab w:leader="none" w:pos="5220" w:val="left"/>
          <w:tab w:leader="none" w:pos="6940" w:val="left"/>
          <w:tab w:leader="none" w:pos="8340" w:val="left"/>
        </w:tabs>
        <w:rPr>
          <w:sz w:val="20"/>
          <w:szCs w:val="20"/>
          <w:color w:val="auto"/>
        </w:rPr>
      </w:pPr>
      <w:r>
        <w:rPr>
          <w:rFonts w:ascii="Arial" w:cs="Arial" w:eastAsia="Arial" w:hAnsi="Arial"/>
          <w:sz w:val="17"/>
          <w:szCs w:val="17"/>
          <w:b w:val="1"/>
          <w:bCs w:val="1"/>
          <w:color w:val="auto"/>
        </w:rPr>
        <w:t>​</w:t>
        <w:tab/>
        <w:t>R. Stewart Ewing, Jr.</w:t>
      </w:r>
      <w:r>
        <w:rPr>
          <w:sz w:val="20"/>
          <w:szCs w:val="20"/>
          <w:color w:val="auto"/>
        </w:rPr>
        <w:tab/>
      </w:r>
      <w:r>
        <w:rPr>
          <w:rFonts w:ascii="Arial" w:cs="Arial" w:eastAsia="Arial" w:hAnsi="Arial"/>
          <w:sz w:val="17"/>
          <w:szCs w:val="17"/>
          <w:b w:val="1"/>
          <w:bCs w:val="1"/>
          <w:color w:val="auto"/>
        </w:rPr>
        <w:t>​  ​</w:t>
        <w:tab/>
        <w:t>Beatriz V. Infante</w:t>
        <w:tab/>
        <w:t>​  ​  Scott Mair</w:t>
        <w:tab/>
        <w:t>​</w:t>
      </w:r>
    </w:p>
    <w:p>
      <w:pPr>
        <w:ind w:left="3280"/>
        <w:spacing w:after="0"/>
        <w:rPr>
          <w:sz w:val="20"/>
          <w:szCs w:val="20"/>
          <w:color w:val="auto"/>
        </w:rPr>
      </w:pPr>
      <w:r>
        <w:rPr>
          <w:rFonts w:ascii="Arial" w:cs="Arial" w:eastAsia="Arial" w:hAnsi="Arial"/>
          <w:sz w:val="17"/>
          <w:szCs w:val="17"/>
          <w:b w:val="1"/>
          <w:bCs w:val="1"/>
          <w:i w:val="1"/>
          <w:iCs w:val="1"/>
          <w:color w:val="auto"/>
        </w:rPr>
        <w:t>(Chair)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9166BA"/>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9166BA"/>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EXECUTIVE OFFICERS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executive officers of the Company as of the date hereof are listed below:</w:t>
      </w:r>
    </w:p>
    <w:p>
      <w:pPr>
        <w:spacing w:after="0" w:line="37" w:lineRule="exact"/>
        <w:rPr>
          <w:sz w:val="20"/>
          <w:szCs w:val="20"/>
          <w:color w:val="auto"/>
        </w:rPr>
      </w:pPr>
    </w:p>
    <w:tbl>
      <w:tblPr>
        <w:tblLayout w:type="fixed"/>
        <w:tblInd w:w="920" w:type="dxa"/>
        <w:tblCellMar>
          <w:top w:w="0" w:type="dxa"/>
          <w:left w:w="0" w:type="dxa"/>
          <w:bottom w:w="0" w:type="dxa"/>
          <w:right w:w="0" w:type="dxa"/>
        </w:tblCellMar>
      </w:tblPr>
      <w:tr>
        <w:trPr>
          <w:trHeight w:val="383"/>
        </w:trPr>
        <w:tc>
          <w:tcPr>
            <w:tcW w:w="1540" w:type="dxa"/>
            <w:vAlign w:val="bottom"/>
          </w:tcPr>
          <w:p>
            <w:pPr>
              <w:ind w:left="60"/>
              <w:spacing w:after="0"/>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Name</w:t>
            </w:r>
          </w:p>
        </w:tc>
        <w:tc>
          <w:tcPr>
            <w:tcW w:w="2360" w:type="dxa"/>
            <w:vAlign w:val="bottom"/>
            <w:gridSpan w:val="2"/>
          </w:tcPr>
          <w:p>
            <w:pPr>
              <w:ind w:left="260"/>
              <w:spacing w:after="0"/>
              <w:rPr>
                <w:sz w:val="20"/>
                <w:szCs w:val="20"/>
                <w:color w:val="auto"/>
              </w:rPr>
            </w:pPr>
            <w:r>
              <w:rPr>
                <w:rFonts w:ascii="Arial" w:cs="Arial" w:eastAsia="Arial" w:hAnsi="Arial"/>
                <w:sz w:val="16"/>
                <w:szCs w:val="16"/>
                <w:b w:val="1"/>
                <w:bCs w:val="1"/>
                <w:color w:val="FEFEFE"/>
              </w:rPr>
              <w:t>​ ​</w:t>
            </w:r>
            <w:r>
              <w:rPr>
                <w:rFonts w:ascii="Arial" w:cs="Arial" w:eastAsia="Arial" w:hAnsi="Arial"/>
                <w:sz w:val="32"/>
                <w:szCs w:val="32"/>
                <w:b w:val="1"/>
                <w:bCs w:val="1"/>
                <w:color w:val="FEFEFE"/>
                <w:vertAlign w:val="superscript"/>
              </w:rPr>
              <w:t>Age</w:t>
            </w:r>
            <w:r>
              <w:rPr>
                <w:rFonts w:ascii="Arial" w:cs="Arial" w:eastAsia="Arial" w:hAnsi="Arial"/>
                <w:sz w:val="16"/>
                <w:szCs w:val="16"/>
                <w:b w:val="1"/>
                <w:bCs w:val="1"/>
                <w:color w:val="FEFEFE"/>
              </w:rPr>
              <w:t xml:space="preserve"> ​ ​</w:t>
            </w:r>
          </w:p>
        </w:tc>
        <w:tc>
          <w:tcPr>
            <w:tcW w:w="3860" w:type="dxa"/>
            <w:vAlign w:val="bottom"/>
          </w:tcPr>
          <w:p>
            <w:pPr>
              <w:ind w:left="1380"/>
              <w:spacing w:after="0"/>
              <w:rPr>
                <w:sz w:val="20"/>
                <w:szCs w:val="20"/>
                <w:color w:val="auto"/>
              </w:rPr>
            </w:pPr>
            <w:r>
              <w:rPr>
                <w:rFonts w:ascii="Arial" w:cs="Arial" w:eastAsia="Arial" w:hAnsi="Arial"/>
                <w:sz w:val="16"/>
                <w:szCs w:val="16"/>
                <w:b w:val="1"/>
                <w:bCs w:val="1"/>
                <w:color w:val="FEFEFE"/>
              </w:rPr>
              <w:t>Position</w:t>
            </w:r>
          </w:p>
        </w:tc>
      </w:tr>
      <w:tr>
        <w:trPr>
          <w:trHeight w:val="269"/>
        </w:trPr>
        <w:tc>
          <w:tcPr>
            <w:tcW w:w="2220" w:type="dxa"/>
            <w:vAlign w:val="bottom"/>
            <w:gridSpan w:val="2"/>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xml:space="preserve"> Bruce W. McClelland </w:t>
            </w:r>
            <w:r>
              <w:rPr>
                <w:rFonts w:ascii="Arial" w:cs="Arial" w:eastAsia="Arial" w:hAnsi="Arial"/>
                <w:sz w:val="31"/>
                <w:szCs w:val="31"/>
                <w:color w:val="auto"/>
                <w:vertAlign w:val="superscript"/>
              </w:rPr>
              <w:t>​ ​</w:t>
            </w:r>
            <w:r>
              <w:rPr>
                <w:rFonts w:ascii="Arial" w:cs="Arial" w:eastAsia="Arial" w:hAnsi="Arial"/>
                <w:sz w:val="16"/>
                <w:szCs w:val="16"/>
                <w:color w:val="auto"/>
              </w:rPr>
              <w:t xml:space="preserve"> 59</w:t>
            </w:r>
          </w:p>
        </w:tc>
        <w:tc>
          <w:tcPr>
            <w:tcW w:w="5540" w:type="dxa"/>
            <w:vAlign w:val="bottom"/>
            <w:gridSpan w:val="2"/>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6"/>
                <w:szCs w:val="16"/>
                <w:color w:val="auto"/>
              </w:rPr>
              <w:t xml:space="preserve"> President and Chief Executive Officer</w:t>
            </w:r>
          </w:p>
        </w:tc>
      </w:tr>
      <w:tr>
        <w:trPr>
          <w:trHeight w:val="270"/>
        </w:trPr>
        <w:tc>
          <w:tcPr>
            <w:tcW w:w="1540" w:type="dxa"/>
            <w:vAlign w:val="bottom"/>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xml:space="preserve"> John Townsend</w:t>
            </w:r>
          </w:p>
        </w:tc>
        <w:tc>
          <w:tcPr>
            <w:tcW w:w="680" w:type="dxa"/>
            <w:vAlign w:val="bottom"/>
          </w:tcPr>
          <w:p>
            <w:pPr>
              <w:ind w:left="200"/>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bscript"/>
              </w:rPr>
              <w:t>63</w:t>
            </w:r>
          </w:p>
        </w:tc>
        <w:tc>
          <w:tcPr>
            <w:tcW w:w="5540" w:type="dxa"/>
            <w:vAlign w:val="bottom"/>
            <w:gridSpan w:val="2"/>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6"/>
                <w:szCs w:val="16"/>
                <w:color w:val="auto"/>
              </w:rPr>
              <w:t xml:space="preserve"> Executive Vice President, Chief Financial Officer</w:t>
            </w:r>
          </w:p>
        </w:tc>
      </w:tr>
      <w:tr>
        <w:trPr>
          <w:trHeight w:val="270"/>
        </w:trPr>
        <w:tc>
          <w:tcPr>
            <w:tcW w:w="1540" w:type="dxa"/>
            <w:vAlign w:val="bottom"/>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xml:space="preserve"> Sam Bucci</w:t>
            </w:r>
          </w:p>
        </w:tc>
        <w:tc>
          <w:tcPr>
            <w:tcW w:w="680" w:type="dxa"/>
            <w:vAlign w:val="bottom"/>
          </w:tcPr>
          <w:p>
            <w:pPr>
              <w:ind w:left="200"/>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bscript"/>
              </w:rPr>
              <w:t>61</w:t>
            </w:r>
          </w:p>
        </w:tc>
        <w:tc>
          <w:tcPr>
            <w:tcW w:w="5540" w:type="dxa"/>
            <w:vAlign w:val="bottom"/>
            <w:gridSpan w:val="2"/>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6"/>
                <w:szCs w:val="16"/>
                <w:color w:val="auto"/>
              </w:rPr>
              <w:t xml:space="preserve"> Executive Vice President, Chief Operating Officer</w:t>
            </w:r>
          </w:p>
        </w:tc>
      </w:tr>
      <w:tr>
        <w:trPr>
          <w:trHeight w:val="270"/>
        </w:trPr>
        <w:tc>
          <w:tcPr>
            <w:tcW w:w="1540" w:type="dxa"/>
            <w:vAlign w:val="bottom"/>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6"/>
                <w:szCs w:val="16"/>
                <w:color w:val="auto"/>
              </w:rPr>
              <w:t xml:space="preserve"> Patrick Macken</w:t>
            </w:r>
          </w:p>
        </w:tc>
        <w:tc>
          <w:tcPr>
            <w:tcW w:w="680" w:type="dxa"/>
            <w:vAlign w:val="bottom"/>
          </w:tcPr>
          <w:p>
            <w:pPr>
              <w:ind w:left="200"/>
              <w:spacing w:after="0" w:line="269"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1"/>
                <w:szCs w:val="31"/>
                <w:color w:val="auto"/>
                <w:vertAlign w:val="subscript"/>
              </w:rPr>
              <w:t>52</w:t>
            </w:r>
          </w:p>
        </w:tc>
        <w:tc>
          <w:tcPr>
            <w:tcW w:w="5540" w:type="dxa"/>
            <w:vAlign w:val="bottom"/>
            <w:gridSpan w:val="2"/>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6"/>
                <w:szCs w:val="16"/>
                <w:color w:val="auto"/>
              </w:rPr>
              <w:t xml:space="preserve"> Executive Vice President, Chief Legal Officer and Corporate Secretary</w:t>
            </w:r>
          </w:p>
        </w:tc>
      </w:tr>
      <w:tr>
        <w:trPr>
          <w:trHeight w:val="435"/>
        </w:trPr>
        <w:tc>
          <w:tcPr>
            <w:tcW w:w="1540" w:type="dxa"/>
            <w:vAlign w:val="bottom"/>
          </w:tcPr>
          <w:p>
            <w:pPr>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Steve McCaffery</w:t>
            </w:r>
          </w:p>
        </w:tc>
        <w:tc>
          <w:tcPr>
            <w:tcW w:w="680" w:type="dxa"/>
            <w:vAlign w:val="bottom"/>
          </w:tcPr>
          <w:p>
            <w:pPr>
              <w:ind w:left="20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32"/>
                <w:szCs w:val="32"/>
                <w:color w:val="auto"/>
                <w:vertAlign w:val="subscript"/>
              </w:rPr>
              <w:t>59</w:t>
            </w:r>
          </w:p>
        </w:tc>
        <w:tc>
          <w:tcPr>
            <w:tcW w:w="5540" w:type="dxa"/>
            <w:vAlign w:val="bottom"/>
            <w:gridSpan w:val="2"/>
          </w:tcPr>
          <w:p>
            <w:pPr>
              <w:ind w:left="80"/>
              <w:spacing w:after="0"/>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color w:val="auto"/>
              </w:rPr>
              <w:t xml:space="preserve"> Executive Vice President, Global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-1106170</wp:posOffset>
            </wp:positionV>
            <wp:extent cx="562356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23560" cy="16319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-103505</wp:posOffset>
            </wp:positionV>
            <wp:extent cx="56235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-266065</wp:posOffset>
            </wp:positionV>
            <wp:extent cx="56235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-437515</wp:posOffset>
            </wp:positionV>
            <wp:extent cx="56235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-608965</wp:posOffset>
            </wp:positionV>
            <wp:extent cx="56235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-780415</wp:posOffset>
            </wp:positionV>
            <wp:extent cx="56235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119"/>
        <w:spacing w:after="0"/>
        <w:rPr>
          <w:sz w:val="20"/>
          <w:szCs w:val="20"/>
          <w:color w:val="auto"/>
        </w:rPr>
      </w:pPr>
      <w:r>
        <w:rPr>
          <w:rFonts w:ascii="Arial" w:cs="Arial" w:eastAsia="Arial" w:hAnsi="Arial"/>
          <w:sz w:val="16"/>
          <w:szCs w:val="16"/>
          <w:b w:val="1"/>
          <w:bCs w:val="1"/>
          <w:color w:val="FEFEFE"/>
        </w:rPr>
        <w:t>​</w:t>
      </w:r>
    </w:p>
    <w:p>
      <w:pPr>
        <w:spacing w:after="0"/>
        <w:rPr>
          <w:sz w:val="20"/>
          <w:szCs w:val="20"/>
          <w:color w:val="auto"/>
        </w:rPr>
      </w:pPr>
      <w:r>
        <w:rPr>
          <w:rFonts w:ascii="Arial" w:cs="Arial" w:eastAsia="Arial" w:hAnsi="Arial"/>
          <w:sz w:val="16"/>
          <w:szCs w:val="16"/>
          <w:color w:val="auto"/>
        </w:rPr>
        <w: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24" w:lineRule="exact"/>
        <w:rPr>
          <w:sz w:val="20"/>
          <w:szCs w:val="20"/>
          <w:color w:val="auto"/>
        </w:rPr>
      </w:pPr>
    </w:p>
    <w:p>
      <w:pPr>
        <w:sectPr>
          <w:pgSz w:w="11900" w:h="16838" w:orient="portrait"/>
          <w:cols w:equalWidth="0" w:num="2">
            <w:col w:w="8940" w:space="720"/>
            <w:col w:w="219"/>
          </w:cols>
          <w:pgMar w:left="580" w:top="97" w:right="1440" w:bottom="1440" w:gutter="0" w:footer="0" w:header="0"/>
          <w:type w:val="continuous"/>
        </w:sectPr>
      </w:pPr>
    </w:p>
    <w:p>
      <w:pPr>
        <w:ind w:left="920" w:right="319"/>
        <w:spacing w:after="0" w:line="261" w:lineRule="auto"/>
        <w:rPr>
          <w:sz w:val="20"/>
          <w:szCs w:val="20"/>
          <w:color w:val="auto"/>
        </w:rPr>
      </w:pPr>
      <w:r>
        <w:rPr>
          <w:rFonts w:ascii="Arial" w:cs="Arial" w:eastAsia="Arial" w:hAnsi="Arial"/>
          <w:sz w:val="18"/>
          <w:szCs w:val="18"/>
          <w:color w:val="auto"/>
        </w:rPr>
        <w:t>Biographical information regarding each executive officer other than Bruce W. McClelland is set forth below. Mr. McClelland’s biographical information is set forth above under the section entitled “</w:t>
      </w:r>
      <w:r>
        <w:rPr>
          <w:rFonts w:ascii="Arial" w:cs="Arial" w:eastAsia="Arial" w:hAnsi="Arial"/>
          <w:sz w:val="18"/>
          <w:szCs w:val="18"/>
          <w:i w:val="1"/>
          <w:iCs w:val="1"/>
          <w:color w:val="auto"/>
        </w:rPr>
        <w:t>Proposal 1</w:t>
      </w:r>
      <w:r>
        <w:rPr>
          <w:rFonts w:ascii="Arial" w:cs="Arial" w:eastAsia="Arial" w:hAnsi="Arial"/>
          <w:sz w:val="18"/>
          <w:szCs w:val="18"/>
          <w:color w:val="auto"/>
        </w:rPr>
        <w:t xml:space="preserve"> </w:t>
      </w:r>
      <w:r>
        <w:rPr>
          <w:rFonts w:ascii="Arial" w:cs="Arial" w:eastAsia="Arial" w:hAnsi="Arial"/>
          <w:sz w:val="18"/>
          <w:szCs w:val="18"/>
          <w:i w:val="1"/>
          <w:iCs w:val="1"/>
          <w:color w:val="auto"/>
        </w:rPr>
        <w:t>— Election of Directors</w:t>
      </w:r>
      <w:r>
        <w:rPr>
          <w:rFonts w:ascii="Arial" w:cs="Arial" w:eastAsia="Arial" w:hAnsi="Arial"/>
          <w:sz w:val="18"/>
          <w:szCs w:val="18"/>
          <w:color w:val="auto"/>
        </w:rPr>
        <w:t>.”</w:t>
      </w:r>
    </w:p>
    <w:p>
      <w:pPr>
        <w:sectPr>
          <w:pgSz w:w="11900" w:h="16838" w:orient="portrait"/>
          <w:cols w:equalWidth="0" w:num="1">
            <w:col w:w="9879"/>
          </w:cols>
          <w:pgMar w:left="580" w:top="97" w:right="1440" w:bottom="1440" w:gutter="0" w:footer="0" w:header="0"/>
          <w:type w:val="continuous"/>
        </w:sectPr>
      </w:pPr>
    </w:p>
    <w:p>
      <w:pPr>
        <w:spacing w:after="0" w:line="16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-107315</wp:posOffset>
            </wp:positionV>
            <wp:extent cx="814070" cy="814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63</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0"/>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E7417A"/>
          </w:tcPr>
          <w:p>
            <w:pPr>
              <w:spacing w:after="0"/>
              <w:rPr>
                <w:sz w:val="20"/>
                <w:szCs w:val="20"/>
                <w:color w:val="auto"/>
              </w:rPr>
            </w:pPr>
            <w:r>
              <w:rPr>
                <w:rFonts w:ascii="Arial" w:cs="Arial" w:eastAsia="Arial" w:hAnsi="Arial"/>
                <w:sz w:val="25"/>
                <w:szCs w:val="25"/>
                <w:b w:val="1"/>
                <w:bCs w:val="1"/>
                <w:color w:val="FEFEFE"/>
              </w:rPr>
              <w:t>​</w:t>
            </w:r>
          </w:p>
        </w:tc>
        <w:tc>
          <w:tcPr>
            <w:tcW w:w="2440" w:type="dxa"/>
            <w:vAlign w:val="bottom"/>
            <w:vMerge w:val="restart"/>
            <w:shd w:val="clear" w:color="auto" w:fill="E7417A"/>
          </w:tcPr>
          <w:p>
            <w:pPr>
              <w:ind w:left="100"/>
              <w:spacing w:after="0"/>
              <w:rPr>
                <w:sz w:val="20"/>
                <w:szCs w:val="20"/>
                <w:color w:val="auto"/>
              </w:rPr>
            </w:pPr>
            <w:r>
              <w:rPr>
                <w:rFonts w:ascii="Arial" w:cs="Arial" w:eastAsia="Arial" w:hAnsi="Arial"/>
                <w:sz w:val="25"/>
                <w:szCs w:val="25"/>
                <w:b w:val="1"/>
                <w:bCs w:val="1"/>
                <w:color w:val="FEFEFE"/>
              </w:rPr>
              <w:t>JOHN</w:t>
            </w:r>
          </w:p>
        </w:tc>
        <w:tc>
          <w:tcPr>
            <w:tcW w:w="580" w:type="dxa"/>
            <w:vAlign w:val="bottom"/>
            <w:vMerge w:val="restart"/>
            <w:shd w:val="clear" w:color="auto" w:fill="E7417A"/>
          </w:tcPr>
          <w:p>
            <w:pPr>
              <w:ind w:left="40"/>
              <w:spacing w:after="0"/>
              <w:rPr>
                <w:sz w:val="20"/>
                <w:szCs w:val="20"/>
                <w:color w:val="auto"/>
              </w:rPr>
            </w:pPr>
            <w:r>
              <w:rPr>
                <w:rFonts w:ascii="Arial" w:cs="Arial" w:eastAsia="Arial" w:hAnsi="Arial"/>
                <w:sz w:val="25"/>
                <w:szCs w:val="25"/>
                <w:b w:val="1"/>
                <w:bCs w:val="1"/>
                <w:color w:val="FEFEFE"/>
              </w:rPr>
              <w:t>​​</w:t>
            </w:r>
          </w:p>
        </w:tc>
        <w:tc>
          <w:tcPr>
            <w:tcW w:w="4000" w:type="dxa"/>
            <w:vAlign w:val="bottom"/>
            <w:vMerge w:val="restart"/>
            <w:shd w:val="clear" w:color="auto" w:fill="E7417A"/>
          </w:tcPr>
          <w:p>
            <w:pPr>
              <w:ind w:left="240"/>
              <w:spacing w:after="0"/>
              <w:rPr>
                <w:sz w:val="20"/>
                <w:szCs w:val="20"/>
                <w:color w:val="auto"/>
              </w:rPr>
            </w:pPr>
            <w:r>
              <w:rPr>
                <w:rFonts w:ascii="Arial" w:cs="Arial" w:eastAsia="Arial" w:hAnsi="Arial"/>
                <w:sz w:val="14"/>
                <w:szCs w:val="14"/>
                <w:b w:val="1"/>
                <w:bCs w:val="1"/>
                <w:color w:val="FEFEFE"/>
                <w:w w:val="90"/>
              </w:rPr>
              <w:t>EXECUTIVE VICE PRESIDENT, CHIEF FINANCIAL</w:t>
            </w:r>
            <w:r>
              <w:rPr>
                <w:rFonts w:ascii="Arial" w:cs="Arial" w:eastAsia="Arial" w:hAnsi="Arial"/>
                <w:sz w:val="28"/>
                <w:szCs w:val="28"/>
                <w:b w:val="1"/>
                <w:bCs w:val="1"/>
                <w:color w:val="FEFEFE"/>
                <w:w w:val="90"/>
                <w:vertAlign w:val="subscript"/>
              </w:rPr>
              <w:t>OFFICER</w:t>
            </w:r>
            <w:r>
              <w:rPr>
                <w:rFonts w:ascii="Arial" w:cs="Arial" w:eastAsia="Arial" w:hAnsi="Arial"/>
                <w:sz w:val="14"/>
                <w:szCs w:val="14"/>
                <w:b w:val="1"/>
                <w:bCs w:val="1"/>
                <w:color w:val="FEFEFE"/>
                <w:w w:val="90"/>
              </w:rPr>
              <w:t xml:space="preserve"> </w:t>
            </w:r>
            <w:r>
              <w:rPr>
                <w:rFonts w:ascii="Arial" w:cs="Arial" w:eastAsia="Arial" w:hAnsi="Arial"/>
                <w:sz w:val="50"/>
                <w:szCs w:val="50"/>
                <w:b w:val="1"/>
                <w:bCs w:val="1"/>
                <w:color w:val="FEFEFE"/>
                <w:w w:val="90"/>
                <w:vertAlign w:val="subscript"/>
              </w:rPr>
              <w:t>​</w:t>
            </w:r>
          </w:p>
        </w:tc>
        <w:tc>
          <w:tcPr>
            <w:tcW w:w="120" w:type="dxa"/>
            <w:vAlign w:val="bottom"/>
            <w:shd w:val="clear" w:color="auto" w:fill="E7417A"/>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20" w:type="dxa"/>
            <w:vAlign w:val="bottom"/>
          </w:tcPr>
          <w:p>
            <w:pPr>
              <w:spacing w:after="0"/>
              <w:rPr>
                <w:sz w:val="23"/>
                <w:szCs w:val="23"/>
                <w:color w:val="auto"/>
              </w:rPr>
            </w:pPr>
          </w:p>
        </w:tc>
        <w:tc>
          <w:tcPr>
            <w:tcW w:w="100" w:type="dxa"/>
            <w:vAlign w:val="bottom"/>
            <w:vMerge w:val="continue"/>
            <w:shd w:val="clear" w:color="auto" w:fill="E7417A"/>
          </w:tcPr>
          <w:p>
            <w:pPr>
              <w:spacing w:after="0"/>
              <w:rPr>
                <w:sz w:val="23"/>
                <w:szCs w:val="23"/>
                <w:color w:val="auto"/>
              </w:rPr>
            </w:pPr>
          </w:p>
        </w:tc>
        <w:tc>
          <w:tcPr>
            <w:tcW w:w="2440" w:type="dxa"/>
            <w:vAlign w:val="bottom"/>
            <w:vMerge w:val="continue"/>
            <w:shd w:val="clear" w:color="auto" w:fill="E7417A"/>
          </w:tcPr>
          <w:p>
            <w:pPr>
              <w:spacing w:after="0"/>
              <w:rPr>
                <w:sz w:val="23"/>
                <w:szCs w:val="23"/>
                <w:color w:val="auto"/>
              </w:rPr>
            </w:pPr>
          </w:p>
        </w:tc>
        <w:tc>
          <w:tcPr>
            <w:tcW w:w="580" w:type="dxa"/>
            <w:vAlign w:val="bottom"/>
            <w:vMerge w:val="continue"/>
            <w:shd w:val="clear" w:color="auto" w:fill="E7417A"/>
          </w:tcPr>
          <w:p>
            <w:pPr>
              <w:spacing w:after="0"/>
              <w:rPr>
                <w:sz w:val="23"/>
                <w:szCs w:val="23"/>
                <w:color w:val="auto"/>
              </w:rPr>
            </w:pPr>
          </w:p>
        </w:tc>
        <w:tc>
          <w:tcPr>
            <w:tcW w:w="4000" w:type="dxa"/>
            <w:vAlign w:val="bottom"/>
            <w:vMerge w:val="continue"/>
            <w:shd w:val="clear" w:color="auto" w:fill="E7417A"/>
          </w:tcPr>
          <w:p>
            <w:pPr>
              <w:spacing w:after="0"/>
              <w:rPr>
                <w:sz w:val="23"/>
                <w:szCs w:val="23"/>
                <w:color w:val="auto"/>
              </w:rPr>
            </w:pPr>
          </w:p>
        </w:tc>
        <w:tc>
          <w:tcPr>
            <w:tcW w:w="120" w:type="dxa"/>
            <w:vAlign w:val="bottom"/>
            <w:shd w:val="clear" w:color="auto" w:fill="E7417A"/>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00" w:type="dxa"/>
            <w:vAlign w:val="bottom"/>
            <w:shd w:val="clear" w:color="auto" w:fill="E7417A"/>
          </w:tcPr>
          <w:p>
            <w:pPr>
              <w:spacing w:after="0"/>
              <w:rPr>
                <w:sz w:val="16"/>
                <w:szCs w:val="16"/>
                <w:color w:val="auto"/>
              </w:rPr>
            </w:pPr>
          </w:p>
        </w:tc>
        <w:tc>
          <w:tcPr>
            <w:tcW w:w="2440" w:type="dxa"/>
            <w:vAlign w:val="bottom"/>
            <w:shd w:val="clear" w:color="auto" w:fill="E7417A"/>
          </w:tcPr>
          <w:p>
            <w:pPr>
              <w:ind w:left="100"/>
              <w:spacing w:after="0" w:line="189" w:lineRule="exact"/>
              <w:rPr>
                <w:sz w:val="20"/>
                <w:szCs w:val="20"/>
                <w:color w:val="auto"/>
              </w:rPr>
            </w:pPr>
            <w:r>
              <w:rPr>
                <w:rFonts w:ascii="Arial" w:cs="Arial" w:eastAsia="Arial" w:hAnsi="Arial"/>
                <w:sz w:val="21"/>
                <w:szCs w:val="21"/>
                <w:b w:val="1"/>
                <w:bCs w:val="1"/>
                <w:color w:val="FEFEFE"/>
              </w:rPr>
              <w:t>TOWNSEND</w:t>
            </w:r>
          </w:p>
        </w:tc>
        <w:tc>
          <w:tcPr>
            <w:tcW w:w="580" w:type="dxa"/>
            <w:vAlign w:val="bottom"/>
            <w:shd w:val="clear" w:color="auto" w:fill="E7417A"/>
          </w:tcPr>
          <w:p>
            <w:pPr>
              <w:spacing w:after="0"/>
              <w:rPr>
                <w:sz w:val="16"/>
                <w:szCs w:val="16"/>
                <w:color w:val="auto"/>
              </w:rPr>
            </w:pPr>
          </w:p>
        </w:tc>
        <w:tc>
          <w:tcPr>
            <w:tcW w:w="4000" w:type="dxa"/>
            <w:vAlign w:val="bottom"/>
            <w:shd w:val="clear" w:color="auto" w:fill="E7417A"/>
          </w:tcPr>
          <w:p>
            <w:pPr>
              <w:spacing w:after="0"/>
              <w:rPr>
                <w:sz w:val="16"/>
                <w:szCs w:val="16"/>
                <w:color w:val="auto"/>
              </w:rPr>
            </w:pPr>
          </w:p>
        </w:tc>
        <w:tc>
          <w:tcPr>
            <w:tcW w:w="120" w:type="dxa"/>
            <w:vAlign w:val="bottom"/>
            <w:shd w:val="clear" w:color="auto" w:fill="E7417A"/>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220" w:type="dxa"/>
            <w:vAlign w:val="bottom"/>
          </w:tcPr>
          <w:p>
            <w:pPr>
              <w:spacing w:after="0"/>
              <w:rPr>
                <w:sz w:val="24"/>
                <w:szCs w:val="24"/>
                <w:color w:val="auto"/>
              </w:rPr>
            </w:pPr>
          </w:p>
        </w:tc>
        <w:tc>
          <w:tcPr>
            <w:tcW w:w="2540" w:type="dxa"/>
            <w:vAlign w:val="bottom"/>
            <w:gridSpan w:val="2"/>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62259D"/>
              </w:rPr>
              <w:t>BACKGROUND</w:t>
            </w:r>
          </w:p>
        </w:tc>
        <w:tc>
          <w:tcPr>
            <w:tcW w:w="580" w:type="dxa"/>
            <w:vAlign w:val="bottom"/>
          </w:tcPr>
          <w:p>
            <w:pPr>
              <w:spacing w:after="0"/>
              <w:rPr>
                <w:sz w:val="24"/>
                <w:szCs w:val="24"/>
                <w:color w:val="auto"/>
              </w:rPr>
            </w:pPr>
          </w:p>
        </w:tc>
        <w:tc>
          <w:tcPr>
            <w:tcW w:w="4000" w:type="dxa"/>
            <w:vAlign w:val="bottom"/>
          </w:tcPr>
          <w:p>
            <w:pPr>
              <w:ind w:left="400"/>
              <w:spacing w:after="0"/>
              <w:rPr>
                <w:sz w:val="20"/>
                <w:szCs w:val="20"/>
                <w:color w:val="auto"/>
              </w:rPr>
            </w:pPr>
            <w:r>
              <w:rPr>
                <w:rFonts w:ascii="Arial" w:cs="Arial" w:eastAsia="Arial" w:hAnsi="Arial"/>
                <w:sz w:val="16"/>
                <w:szCs w:val="16"/>
                <w:color w:val="auto"/>
              </w:rPr>
              <w:t>​ ​ Earlier in his career, he gained valuable</w:t>
            </w: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Ribbon Communications Inc.</w:t>
            </w:r>
          </w:p>
        </w:tc>
        <w:tc>
          <w:tcPr>
            <w:tcW w:w="580" w:type="dxa"/>
            <w:vAlign w:val="bottom"/>
          </w:tcPr>
          <w:p>
            <w:pPr>
              <w:spacing w:after="0"/>
              <w:rPr>
                <w:sz w:val="18"/>
                <w:szCs w:val="18"/>
                <w:color w:val="auto"/>
              </w:rPr>
            </w:pPr>
          </w:p>
        </w:tc>
        <w:tc>
          <w:tcPr>
            <w:tcW w:w="4000" w:type="dxa"/>
            <w:vAlign w:val="bottom"/>
          </w:tcPr>
          <w:p>
            <w:pPr>
              <w:ind w:left="620"/>
              <w:spacing w:after="0"/>
              <w:rPr>
                <w:sz w:val="20"/>
                <w:szCs w:val="20"/>
                <w:color w:val="auto"/>
              </w:rPr>
            </w:pPr>
            <w:r>
              <w:rPr>
                <w:rFonts w:ascii="Arial" w:cs="Arial" w:eastAsia="Arial" w:hAnsi="Arial"/>
                <w:sz w:val="16"/>
                <w:szCs w:val="16"/>
                <w:color w:val="auto"/>
              </w:rPr>
              <w:t>experience as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00" w:type="dxa"/>
            <w:vAlign w:val="bottom"/>
            <w:vMerge w:val="restart"/>
          </w:tcPr>
          <w:p>
            <w:pPr>
              <w:ind w:left="6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Auditor at</w:t>
            </w:r>
            <w:r>
              <w:rPr>
                <w:rFonts w:ascii="Arial" w:cs="Arial" w:eastAsia="Arial" w:hAnsi="Arial"/>
                <w:sz w:val="16"/>
                <w:szCs w:val="16"/>
                <w:color w:val="62259D"/>
              </w:rPr>
              <w:t xml:space="preserve"> </w:t>
            </w:r>
            <w:r>
              <w:rPr>
                <w:rFonts w:ascii="Arial" w:cs="Arial" w:eastAsia="Arial" w:hAnsi="Arial"/>
                <w:sz w:val="16"/>
                <w:szCs w:val="16"/>
                <w:b w:val="1"/>
                <w:bCs w:val="1"/>
                <w:color w:val="000000"/>
              </w:rPr>
              <w:t>KPMG</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2"/>
          </w:tcPr>
          <w:p>
            <w:pPr>
              <w:ind w:left="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Executive Vice President and Chief</w:t>
            </w:r>
          </w:p>
        </w:tc>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20" w:type="dxa"/>
            <w:vAlign w:val="bottom"/>
            <w:gridSpan w:val="2"/>
          </w:tcPr>
          <w:p>
            <w:pPr>
              <w:ind w:left="180"/>
              <w:spacing w:after="0" w:line="175" w:lineRule="exact"/>
              <w:rPr>
                <w:sz w:val="20"/>
                <w:szCs w:val="20"/>
                <w:color w:val="auto"/>
              </w:rPr>
            </w:pPr>
            <w:r>
              <w:rPr>
                <w:rFonts w:ascii="Arial" w:cs="Arial" w:eastAsia="Arial" w:hAnsi="Arial"/>
                <w:sz w:val="16"/>
                <w:szCs w:val="16"/>
                <w:color w:val="auto"/>
              </w:rPr>
              <w:t>Financial Officer (November 2024 to</w:t>
            </w:r>
          </w:p>
        </w:tc>
        <w:tc>
          <w:tcPr>
            <w:tcW w:w="4000" w:type="dxa"/>
            <w:vAlign w:val="bottom"/>
            <w:vMerge w:val="restart"/>
          </w:tcPr>
          <w:p>
            <w:pPr>
              <w:ind w:left="620"/>
              <w:spacing w:after="0"/>
              <w:rPr>
                <w:sz w:val="20"/>
                <w:szCs w:val="20"/>
                <w:color w:val="auto"/>
              </w:rPr>
            </w:pPr>
            <w:r>
              <w:rPr>
                <w:rFonts w:ascii="Arial" w:cs="Arial" w:eastAsia="Arial" w:hAnsi="Arial"/>
                <w:sz w:val="16"/>
                <w:szCs w:val="16"/>
                <w:b w:val="1"/>
                <w:bCs w:val="1"/>
                <w:color w:val="62259D"/>
              </w:rPr>
              <w:t>EDUCATION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vMerge w:val="restart"/>
          </w:tcPr>
          <w:p>
            <w:pPr>
              <w:ind w:left="180"/>
              <w:spacing w:after="0"/>
              <w:rPr>
                <w:sz w:val="20"/>
                <w:szCs w:val="20"/>
                <w:color w:val="auto"/>
              </w:rPr>
            </w:pPr>
            <w:r>
              <w:rPr>
                <w:rFonts w:ascii="Arial" w:cs="Arial" w:eastAsia="Arial" w:hAnsi="Arial"/>
                <w:sz w:val="16"/>
                <w:szCs w:val="16"/>
                <w:color w:val="auto"/>
              </w:rPr>
              <w:t>present)</w:t>
            </w:r>
          </w:p>
        </w:tc>
        <w:tc>
          <w:tcPr>
            <w:tcW w:w="580" w:type="dxa"/>
            <w:vAlign w:val="bottom"/>
          </w:tcPr>
          <w:p>
            <w:pPr>
              <w:spacing w:after="0"/>
              <w:rPr>
                <w:sz w:val="9"/>
                <w:szCs w:val="9"/>
                <w:color w:val="auto"/>
              </w:rPr>
            </w:pPr>
          </w:p>
        </w:tc>
        <w:tc>
          <w:tcPr>
            <w:tcW w:w="40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4000" w:type="dxa"/>
            <w:vAlign w:val="bottom"/>
            <w:vMerge w:val="restart"/>
          </w:tcPr>
          <w:p>
            <w:pPr>
              <w:ind w:left="6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Bachelors in Economics and Business</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Digicel Group, a leading</w:t>
            </w:r>
          </w:p>
        </w:tc>
        <w:tc>
          <w:tcPr>
            <w:tcW w:w="58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00" w:type="dxa"/>
            <w:vAlign w:val="bottom"/>
            <w:vMerge w:val="restart"/>
          </w:tcPr>
          <w:p>
            <w:pPr>
              <w:ind w:left="760"/>
              <w:spacing w:after="0"/>
              <w:rPr>
                <w:sz w:val="20"/>
                <w:szCs w:val="20"/>
                <w:color w:val="auto"/>
              </w:rPr>
            </w:pPr>
            <w:r>
              <w:rPr>
                <w:rFonts w:ascii="Arial" w:cs="Arial" w:eastAsia="Arial" w:hAnsi="Arial"/>
                <w:sz w:val="16"/>
                <w:szCs w:val="16"/>
                <w:color w:val="auto"/>
              </w:rPr>
              <w:t>Finance, Manchester University</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20" w:type="dxa"/>
            <w:vAlign w:val="bottom"/>
            <w:gridSpan w:val="2"/>
            <w:vMerge w:val="restart"/>
          </w:tcPr>
          <w:p>
            <w:pPr>
              <w:ind w:left="20"/>
              <w:spacing w:after="0" w:line="162" w:lineRule="exact"/>
              <w:rPr>
                <w:sz w:val="20"/>
                <w:szCs w:val="20"/>
                <w:color w:val="auto"/>
              </w:rPr>
            </w:pPr>
            <w:r>
              <w:rPr>
                <w:rFonts w:ascii="Arial" w:cs="Arial" w:eastAsia="Arial" w:hAnsi="Arial"/>
                <w:sz w:val="16"/>
                <w:szCs w:val="16"/>
                <w:b w:val="1"/>
                <w:bCs w:val="1"/>
                <w:color w:val="auto"/>
              </w:rPr>
              <w:t>telecommunications carrier in the</w:t>
            </w:r>
          </w:p>
        </w:tc>
        <w:tc>
          <w:tcPr>
            <w:tcW w:w="40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20" w:type="dxa"/>
            <w:vAlign w:val="bottom"/>
            <w:gridSpan w:val="2"/>
            <w:vMerge w:val="continue"/>
          </w:tcPr>
          <w:p>
            <w:pPr>
              <w:spacing w:after="0"/>
              <w:rPr>
                <w:sz w:val="5"/>
                <w:szCs w:val="5"/>
                <w:color w:val="auto"/>
              </w:rPr>
            </w:pPr>
          </w:p>
        </w:tc>
        <w:tc>
          <w:tcPr>
            <w:tcW w:w="4000" w:type="dxa"/>
            <w:vAlign w:val="bottom"/>
            <w:vMerge w:val="restart"/>
          </w:tcPr>
          <w:p>
            <w:pPr>
              <w:ind w:left="6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Chartered Accountant</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Caribbean</w:t>
            </w:r>
          </w:p>
        </w:tc>
        <w:tc>
          <w:tcPr>
            <w:tcW w:w="580" w:type="dxa"/>
            <w:vAlign w:val="bottom"/>
          </w:tcPr>
          <w:p>
            <w:pPr>
              <w:spacing w:after="0"/>
              <w:rPr>
                <w:sz w:val="18"/>
                <w:szCs w:val="18"/>
                <w:color w:val="auto"/>
              </w:rPr>
            </w:pPr>
          </w:p>
        </w:tc>
        <w:tc>
          <w:tcPr>
            <w:tcW w:w="4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500" w:hanging="168"/>
        <w:spacing w:after="0"/>
        <w:tabs>
          <w:tab w:leader="none" w:pos="500" w:val="left"/>
        </w:tabs>
        <w:numPr>
          <w:ilvl w:val="0"/>
          <w:numId w:val="93"/>
        </w:numPr>
        <w:rPr>
          <w:rFonts w:ascii="Arial" w:cs="Arial" w:eastAsia="Arial" w:hAnsi="Arial"/>
          <w:sz w:val="16"/>
          <w:szCs w:val="16"/>
          <w:color w:val="62259D"/>
        </w:rPr>
      </w:pPr>
      <w:r>
        <w:rPr>
          <w:rFonts w:ascii="Arial" w:cs="Arial" w:eastAsia="Arial" w:hAnsi="Arial"/>
          <w:sz w:val="16"/>
          <w:szCs w:val="16"/>
          <w:color w:val="auto"/>
        </w:rPr>
        <w:t>Group Chief Financial Officer (2022 to 2023)</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Verizon, Inc., a global</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telecommunications company</w:t>
      </w:r>
    </w:p>
    <w:p>
      <w:pPr>
        <w:spacing w:after="0" w:line="59" w:lineRule="exact"/>
        <w:rPr>
          <w:sz w:val="20"/>
          <w:szCs w:val="20"/>
          <w:color w:val="auto"/>
        </w:rPr>
      </w:pPr>
    </w:p>
    <w:p>
      <w:pPr>
        <w:ind w:left="500" w:right="3919" w:hanging="168"/>
        <w:spacing w:after="0" w:line="234" w:lineRule="auto"/>
        <w:tabs>
          <w:tab w:leader="none" w:pos="500" w:val="left"/>
        </w:tabs>
        <w:numPr>
          <w:ilvl w:val="0"/>
          <w:numId w:val="94"/>
        </w:numPr>
        <w:rPr>
          <w:rFonts w:ascii="Arial" w:cs="Arial" w:eastAsia="Arial" w:hAnsi="Arial"/>
          <w:sz w:val="16"/>
          <w:szCs w:val="16"/>
          <w:color w:val="62259D"/>
        </w:rPr>
      </w:pPr>
      <w:r>
        <w:rPr>
          <w:rFonts w:ascii="Arial" w:cs="Arial" w:eastAsia="Arial" w:hAnsi="Arial"/>
          <w:sz w:val="16"/>
          <w:szCs w:val="16"/>
          <w:color w:val="auto"/>
        </w:rPr>
        <w:t>Multiple group CFO positions including Verizon Wireline, Verizon Wireless, Verizon Consumer and Verizon Business (2013 to 2022)</w:t>
      </w:r>
    </w:p>
    <w:p>
      <w:pPr>
        <w:spacing w:after="0" w:line="142" w:lineRule="exact"/>
        <w:rPr>
          <w:sz w:val="20"/>
          <w:szCs w:val="20"/>
          <w:color w:val="auto"/>
        </w:rPr>
      </w:pPr>
    </w:p>
    <w:p>
      <w:pPr>
        <w:sectPr>
          <w:pgSz w:w="11900" w:h="16838" w:orient="portrait"/>
          <w:cols w:equalWidth="0" w:num="2">
            <w:col w:w="1640" w:space="680"/>
            <w:col w:w="7559"/>
          </w:cols>
          <w:pgMar w:left="580" w:top="97" w:right="1440" w:bottom="1440" w:gutter="0" w:footer="0" w:header="0"/>
          <w:type w:val="continuous"/>
        </w:sectPr>
      </w:pPr>
    </w:p>
    <w:p>
      <w:pPr>
        <w:ind w:left="920"/>
        <w:spacing w:after="0"/>
        <w:rPr>
          <w:sz w:val="20"/>
          <w:szCs w:val="20"/>
          <w:color w:val="auto"/>
        </w:rPr>
      </w:pPr>
      <w:r>
        <w:rPr>
          <w:rFonts w:ascii="Arial" w:cs="Arial" w:eastAsia="Arial" w:hAnsi="Arial"/>
          <w:sz w:val="3"/>
          <w:szCs w:val="3"/>
          <w:color w:val="auto"/>
        </w:rPr>
        <w:t>​</w:t>
      </w:r>
    </w:p>
    <w:p>
      <w:pPr>
        <w:spacing w:after="0" w:line="19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-107315</wp:posOffset>
            </wp:positionV>
            <wp:extent cx="814070" cy="8147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61</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0"/>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E7417A"/>
          </w:tcPr>
          <w:p>
            <w:pPr>
              <w:spacing w:after="0"/>
              <w:rPr>
                <w:sz w:val="20"/>
                <w:szCs w:val="20"/>
                <w:color w:val="auto"/>
              </w:rPr>
            </w:pPr>
            <w:r>
              <w:rPr>
                <w:rFonts w:ascii="Arial" w:cs="Arial" w:eastAsia="Arial" w:hAnsi="Arial"/>
                <w:sz w:val="25"/>
                <w:szCs w:val="25"/>
                <w:b w:val="1"/>
                <w:bCs w:val="1"/>
                <w:color w:val="FEFEFE"/>
              </w:rPr>
              <w:t>​</w:t>
            </w:r>
          </w:p>
        </w:tc>
        <w:tc>
          <w:tcPr>
            <w:tcW w:w="1420" w:type="dxa"/>
            <w:vAlign w:val="bottom"/>
            <w:vMerge w:val="restart"/>
            <w:shd w:val="clear" w:color="auto" w:fill="E7417A"/>
          </w:tcPr>
          <w:p>
            <w:pPr>
              <w:ind w:left="120"/>
              <w:spacing w:after="0"/>
              <w:rPr>
                <w:sz w:val="20"/>
                <w:szCs w:val="20"/>
                <w:color w:val="auto"/>
              </w:rPr>
            </w:pPr>
            <w:r>
              <w:rPr>
                <w:rFonts w:ascii="Arial" w:cs="Arial" w:eastAsia="Arial" w:hAnsi="Arial"/>
                <w:sz w:val="25"/>
                <w:szCs w:val="25"/>
                <w:b w:val="1"/>
                <w:bCs w:val="1"/>
                <w:color w:val="FEFEFE"/>
              </w:rPr>
              <w:t>SAM</w:t>
            </w:r>
          </w:p>
        </w:tc>
        <w:tc>
          <w:tcPr>
            <w:tcW w:w="440" w:type="dxa"/>
            <w:vAlign w:val="bottom"/>
            <w:vMerge w:val="restart"/>
            <w:shd w:val="clear" w:color="auto" w:fill="E7417A"/>
          </w:tcPr>
          <w:p>
            <w:pPr>
              <w:ind w:left="160"/>
              <w:spacing w:after="0"/>
              <w:rPr>
                <w:sz w:val="20"/>
                <w:szCs w:val="20"/>
                <w:color w:val="auto"/>
              </w:rPr>
            </w:pPr>
            <w:r>
              <w:rPr>
                <w:rFonts w:ascii="Arial" w:cs="Arial" w:eastAsia="Arial" w:hAnsi="Arial"/>
                <w:sz w:val="25"/>
                <w:szCs w:val="25"/>
                <w:b w:val="1"/>
                <w:bCs w:val="1"/>
                <w:color w:val="FEFEFE"/>
              </w:rPr>
              <w:t>​</w:t>
            </w:r>
          </w:p>
        </w:tc>
        <w:tc>
          <w:tcPr>
            <w:tcW w:w="1200" w:type="dxa"/>
            <w:vAlign w:val="bottom"/>
            <w:vMerge w:val="restart"/>
            <w:shd w:val="clear" w:color="auto" w:fill="E7417A"/>
          </w:tcPr>
          <w:p>
            <w:pPr>
              <w:ind w:left="240"/>
              <w:spacing w:after="0"/>
              <w:rPr>
                <w:sz w:val="20"/>
                <w:szCs w:val="20"/>
                <w:color w:val="auto"/>
              </w:rPr>
            </w:pPr>
            <w:r>
              <w:rPr>
                <w:rFonts w:ascii="Arial" w:cs="Arial" w:eastAsia="Arial" w:hAnsi="Arial"/>
                <w:sz w:val="25"/>
                <w:szCs w:val="25"/>
                <w:b w:val="1"/>
                <w:bCs w:val="1"/>
                <w:color w:val="FEFEFE"/>
              </w:rPr>
              <w:t>​</w:t>
            </w:r>
          </w:p>
        </w:tc>
        <w:tc>
          <w:tcPr>
            <w:tcW w:w="4080" w:type="dxa"/>
            <w:vAlign w:val="bottom"/>
            <w:gridSpan w:val="2"/>
            <w:vMerge w:val="restart"/>
            <w:shd w:val="clear" w:color="auto" w:fill="E7417A"/>
          </w:tcPr>
          <w:p>
            <w:pPr>
              <w:ind w:left="120"/>
              <w:spacing w:after="0"/>
              <w:rPr>
                <w:sz w:val="20"/>
                <w:szCs w:val="20"/>
                <w:color w:val="auto"/>
              </w:rPr>
            </w:pPr>
            <w:r>
              <w:rPr>
                <w:rFonts w:ascii="Arial" w:cs="Arial" w:eastAsia="Arial" w:hAnsi="Arial"/>
                <w:sz w:val="14"/>
                <w:szCs w:val="14"/>
                <w:b w:val="1"/>
                <w:bCs w:val="1"/>
                <w:color w:val="FEFEFE"/>
                <w:w w:val="93"/>
              </w:rPr>
              <w:t>EXECUTIVE VICE PRESIDENT, CHIEF OPERATING</w:t>
            </w:r>
            <w:r>
              <w:rPr>
                <w:rFonts w:ascii="Arial" w:cs="Arial" w:eastAsia="Arial" w:hAnsi="Arial"/>
                <w:sz w:val="28"/>
                <w:szCs w:val="28"/>
                <w:b w:val="1"/>
                <w:bCs w:val="1"/>
                <w:color w:val="FEFEFE"/>
                <w:w w:val="93"/>
                <w:vertAlign w:val="subscript"/>
              </w:rPr>
              <w:t>OFFICER</w:t>
            </w:r>
            <w:r>
              <w:rPr>
                <w:rFonts w:ascii="Arial" w:cs="Arial" w:eastAsia="Arial" w:hAnsi="Arial"/>
                <w:sz w:val="14"/>
                <w:szCs w:val="14"/>
                <w:b w:val="1"/>
                <w:bCs w:val="1"/>
                <w:color w:val="FEFEFE"/>
                <w:w w:val="93"/>
              </w:rPr>
              <w:t xml:space="preserve"> </w:t>
            </w:r>
            <w:r>
              <w:rPr>
                <w:rFonts w:ascii="Arial" w:cs="Arial" w:eastAsia="Arial" w:hAnsi="Arial"/>
                <w:sz w:val="50"/>
                <w:szCs w:val="50"/>
                <w:b w:val="1"/>
                <w:bCs w:val="1"/>
                <w:color w:val="FEFEFE"/>
                <w:w w:val="93"/>
                <w:vertAlign w:val="subscript"/>
              </w:rPr>
              <w:t>​</w:t>
            </w:r>
          </w:p>
        </w:tc>
        <w:tc>
          <w:tcPr>
            <w:tcW w:w="0" w:type="dxa"/>
            <w:vAlign w:val="bottom"/>
          </w:tcPr>
          <w:p>
            <w:pPr>
              <w:spacing w:after="0"/>
              <w:rPr>
                <w:sz w:val="1"/>
                <w:szCs w:val="1"/>
                <w:color w:val="auto"/>
              </w:rPr>
            </w:pPr>
          </w:p>
        </w:tc>
      </w:tr>
      <w:tr>
        <w:trPr>
          <w:trHeight w:val="265"/>
        </w:trPr>
        <w:tc>
          <w:tcPr>
            <w:tcW w:w="220" w:type="dxa"/>
            <w:vAlign w:val="bottom"/>
          </w:tcPr>
          <w:p>
            <w:pPr>
              <w:spacing w:after="0"/>
              <w:rPr>
                <w:sz w:val="23"/>
                <w:szCs w:val="23"/>
                <w:color w:val="auto"/>
              </w:rPr>
            </w:pPr>
          </w:p>
        </w:tc>
        <w:tc>
          <w:tcPr>
            <w:tcW w:w="100" w:type="dxa"/>
            <w:vAlign w:val="bottom"/>
            <w:vMerge w:val="continue"/>
            <w:shd w:val="clear" w:color="auto" w:fill="E7417A"/>
          </w:tcPr>
          <w:p>
            <w:pPr>
              <w:spacing w:after="0"/>
              <w:rPr>
                <w:sz w:val="23"/>
                <w:szCs w:val="23"/>
                <w:color w:val="auto"/>
              </w:rPr>
            </w:pPr>
          </w:p>
        </w:tc>
        <w:tc>
          <w:tcPr>
            <w:tcW w:w="1420" w:type="dxa"/>
            <w:vAlign w:val="bottom"/>
            <w:vMerge w:val="continue"/>
            <w:shd w:val="clear" w:color="auto" w:fill="E7417A"/>
          </w:tcPr>
          <w:p>
            <w:pPr>
              <w:spacing w:after="0"/>
              <w:rPr>
                <w:sz w:val="23"/>
                <w:szCs w:val="23"/>
                <w:color w:val="auto"/>
              </w:rPr>
            </w:pPr>
          </w:p>
        </w:tc>
        <w:tc>
          <w:tcPr>
            <w:tcW w:w="440" w:type="dxa"/>
            <w:vAlign w:val="bottom"/>
            <w:vMerge w:val="continue"/>
            <w:shd w:val="clear" w:color="auto" w:fill="E7417A"/>
          </w:tcPr>
          <w:p>
            <w:pPr>
              <w:spacing w:after="0"/>
              <w:rPr>
                <w:sz w:val="23"/>
                <w:szCs w:val="23"/>
                <w:color w:val="auto"/>
              </w:rPr>
            </w:pPr>
          </w:p>
        </w:tc>
        <w:tc>
          <w:tcPr>
            <w:tcW w:w="1200" w:type="dxa"/>
            <w:vAlign w:val="bottom"/>
            <w:vMerge w:val="continue"/>
            <w:shd w:val="clear" w:color="auto" w:fill="E7417A"/>
          </w:tcPr>
          <w:p>
            <w:pPr>
              <w:spacing w:after="0"/>
              <w:rPr>
                <w:sz w:val="23"/>
                <w:szCs w:val="23"/>
                <w:color w:val="auto"/>
              </w:rPr>
            </w:pPr>
          </w:p>
        </w:tc>
        <w:tc>
          <w:tcPr>
            <w:tcW w:w="4080" w:type="dxa"/>
            <w:vAlign w:val="bottom"/>
            <w:gridSpan w:val="2"/>
            <w:vMerge w:val="continue"/>
            <w:shd w:val="clear" w:color="auto" w:fill="E7417A"/>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16"/>
                <w:szCs w:val="16"/>
                <w:color w:val="auto"/>
              </w:rPr>
            </w:pPr>
          </w:p>
        </w:tc>
        <w:tc>
          <w:tcPr>
            <w:tcW w:w="100" w:type="dxa"/>
            <w:vAlign w:val="bottom"/>
            <w:shd w:val="clear" w:color="auto" w:fill="E7417A"/>
          </w:tcPr>
          <w:p>
            <w:pPr>
              <w:spacing w:after="0"/>
              <w:rPr>
                <w:sz w:val="16"/>
                <w:szCs w:val="16"/>
                <w:color w:val="auto"/>
              </w:rPr>
            </w:pPr>
          </w:p>
        </w:tc>
        <w:tc>
          <w:tcPr>
            <w:tcW w:w="1420" w:type="dxa"/>
            <w:vAlign w:val="bottom"/>
            <w:shd w:val="clear" w:color="auto" w:fill="E7417A"/>
          </w:tcPr>
          <w:p>
            <w:pPr>
              <w:ind w:left="120"/>
              <w:spacing w:after="0" w:line="189" w:lineRule="exact"/>
              <w:rPr>
                <w:sz w:val="20"/>
                <w:szCs w:val="20"/>
                <w:color w:val="auto"/>
              </w:rPr>
            </w:pPr>
            <w:r>
              <w:rPr>
                <w:rFonts w:ascii="Arial" w:cs="Arial" w:eastAsia="Arial" w:hAnsi="Arial"/>
                <w:sz w:val="21"/>
                <w:szCs w:val="21"/>
                <w:b w:val="1"/>
                <w:bCs w:val="1"/>
                <w:color w:val="FEFEFE"/>
              </w:rPr>
              <w:t>BUCCI</w:t>
            </w:r>
          </w:p>
        </w:tc>
        <w:tc>
          <w:tcPr>
            <w:tcW w:w="440" w:type="dxa"/>
            <w:vAlign w:val="bottom"/>
            <w:shd w:val="clear" w:color="auto" w:fill="E7417A"/>
          </w:tcPr>
          <w:p>
            <w:pPr>
              <w:spacing w:after="0"/>
              <w:rPr>
                <w:sz w:val="16"/>
                <w:szCs w:val="16"/>
                <w:color w:val="auto"/>
              </w:rPr>
            </w:pPr>
          </w:p>
        </w:tc>
        <w:tc>
          <w:tcPr>
            <w:tcW w:w="1200" w:type="dxa"/>
            <w:vAlign w:val="bottom"/>
            <w:shd w:val="clear" w:color="auto" w:fill="E7417A"/>
          </w:tcPr>
          <w:p>
            <w:pPr>
              <w:spacing w:after="0"/>
              <w:rPr>
                <w:sz w:val="16"/>
                <w:szCs w:val="16"/>
                <w:color w:val="auto"/>
              </w:rPr>
            </w:pPr>
          </w:p>
        </w:tc>
        <w:tc>
          <w:tcPr>
            <w:tcW w:w="340" w:type="dxa"/>
            <w:vAlign w:val="bottom"/>
            <w:shd w:val="clear" w:color="auto" w:fill="E7417A"/>
          </w:tcPr>
          <w:p>
            <w:pPr>
              <w:spacing w:after="0"/>
              <w:rPr>
                <w:sz w:val="16"/>
                <w:szCs w:val="16"/>
                <w:color w:val="auto"/>
              </w:rPr>
            </w:pPr>
          </w:p>
        </w:tc>
        <w:tc>
          <w:tcPr>
            <w:tcW w:w="3740" w:type="dxa"/>
            <w:vAlign w:val="bottom"/>
            <w:shd w:val="clear" w:color="auto" w:fill="E7417A"/>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2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62259D"/>
              </w:rPr>
              <w:t>BACKGROUND</w:t>
            </w: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Nortel Networks</w:t>
            </w:r>
            <w:r>
              <w:rPr>
                <w:rFonts w:ascii="Arial" w:cs="Arial" w:eastAsia="Arial" w:hAnsi="Arial"/>
                <w:sz w:val="16"/>
                <w:szCs w:val="16"/>
                <w:color w:val="auto"/>
              </w:rPr>
              <w:t>, a global communications  ​</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Ribbon Communications Inc.</w:t>
            </w:r>
          </w:p>
        </w:tc>
        <w:tc>
          <w:tcPr>
            <w:tcW w:w="340" w:type="dxa"/>
            <w:vAlign w:val="bottom"/>
          </w:tcPr>
          <w:p>
            <w:pPr>
              <w:spacing w:after="0"/>
              <w:rPr>
                <w:sz w:val="18"/>
                <w:szCs w:val="18"/>
                <w:color w:val="auto"/>
              </w:rPr>
            </w:pPr>
          </w:p>
        </w:tc>
        <w:tc>
          <w:tcPr>
            <w:tcW w:w="3740" w:type="dxa"/>
            <w:vAlign w:val="bottom"/>
          </w:tcPr>
          <w:p>
            <w:pPr>
              <w:ind w:left="240"/>
              <w:spacing w:after="0"/>
              <w:rPr>
                <w:sz w:val="20"/>
                <w:szCs w:val="20"/>
                <w:color w:val="auto"/>
              </w:rPr>
            </w:pPr>
            <w:r>
              <w:rPr>
                <w:rFonts w:ascii="Arial" w:cs="Arial" w:eastAsia="Arial" w:hAnsi="Arial"/>
                <w:sz w:val="16"/>
                <w:szCs w:val="16"/>
                <w:color w:val="auto"/>
              </w:rPr>
              <w:t>solutions company</w:t>
            </w:r>
          </w:p>
        </w:tc>
        <w:tc>
          <w:tcPr>
            <w:tcW w:w="0" w:type="dxa"/>
            <w:vAlign w:val="bottom"/>
          </w:tcPr>
          <w:p>
            <w:pPr>
              <w:spacing w:after="0"/>
              <w:rPr>
                <w:sz w:val="1"/>
                <w:szCs w:val="1"/>
                <w:color w:val="auto"/>
              </w:rPr>
            </w:pPr>
          </w:p>
        </w:tc>
      </w:tr>
      <w:tr>
        <w:trPr>
          <w:trHeight w:val="62"/>
        </w:trPr>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6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3740" w:type="dxa"/>
            <w:vAlign w:val="bottom"/>
            <w:vMerge w:val="restart"/>
          </w:tcPr>
          <w:p>
            <w:pPr>
              <w:ind w:left="24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served in the optical business unit in various</w:t>
            </w:r>
          </w:p>
        </w:tc>
        <w:tc>
          <w:tcPr>
            <w:tcW w:w="0" w:type="dxa"/>
            <w:vAlign w:val="bottom"/>
          </w:tcPr>
          <w:p>
            <w:pPr>
              <w:spacing w:after="0"/>
              <w:rPr>
                <w:sz w:val="1"/>
                <w:szCs w:val="1"/>
                <w:color w:val="auto"/>
              </w:rPr>
            </w:pPr>
          </w:p>
        </w:tc>
      </w:tr>
      <w:tr>
        <w:trPr>
          <w:trHeight w:val="185"/>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3"/>
          </w:tcPr>
          <w:p>
            <w:pPr>
              <w:ind w:left="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Executive Vice President and Chief</w:t>
            </w:r>
          </w:p>
        </w:tc>
        <w:tc>
          <w:tcPr>
            <w:tcW w:w="340" w:type="dxa"/>
            <w:vAlign w:val="bottom"/>
          </w:tcPr>
          <w:p>
            <w:pPr>
              <w:spacing w:after="0"/>
              <w:rPr>
                <w:sz w:val="16"/>
                <w:szCs w:val="16"/>
                <w:color w:val="auto"/>
              </w:rPr>
            </w:pPr>
          </w:p>
        </w:tc>
        <w:tc>
          <w:tcPr>
            <w:tcW w:w="3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gridSpan w:val="4"/>
          </w:tcPr>
          <w:p>
            <w:pPr>
              <w:ind w:left="180"/>
              <w:spacing w:after="0" w:line="175" w:lineRule="exact"/>
              <w:rPr>
                <w:sz w:val="20"/>
                <w:szCs w:val="20"/>
                <w:color w:val="auto"/>
              </w:rPr>
            </w:pPr>
            <w:r>
              <w:rPr>
                <w:rFonts w:ascii="Arial" w:cs="Arial" w:eastAsia="Arial" w:hAnsi="Arial"/>
                <w:sz w:val="16"/>
                <w:szCs w:val="16"/>
                <w:color w:val="auto"/>
              </w:rPr>
              <w:t>Operating Officer (January 2023 to present)</w:t>
            </w:r>
          </w:p>
        </w:tc>
        <w:tc>
          <w:tcPr>
            <w:tcW w:w="3740" w:type="dxa"/>
            <w:vAlign w:val="bottom"/>
          </w:tcPr>
          <w:p>
            <w:pPr>
              <w:ind w:left="380"/>
              <w:spacing w:after="0" w:line="175" w:lineRule="exact"/>
              <w:rPr>
                <w:sz w:val="20"/>
                <w:szCs w:val="20"/>
                <w:color w:val="auto"/>
              </w:rPr>
            </w:pPr>
            <w:r>
              <w:rPr>
                <w:rFonts w:ascii="Arial" w:cs="Arial" w:eastAsia="Arial" w:hAnsi="Arial"/>
                <w:sz w:val="16"/>
                <w:szCs w:val="16"/>
                <w:color w:val="auto"/>
              </w:rPr>
              <w:t>senior product management, sales and</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gridSpan w:val="3"/>
            <w:vMerge w:val="restart"/>
          </w:tcPr>
          <w:p>
            <w:pPr>
              <w:ind w:left="2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Executive Vice President and General</w:t>
            </w:r>
          </w:p>
        </w:tc>
        <w:tc>
          <w:tcPr>
            <w:tcW w:w="340" w:type="dxa"/>
            <w:vAlign w:val="bottom"/>
          </w:tcPr>
          <w:p>
            <w:pPr>
              <w:spacing w:after="0"/>
              <w:rPr>
                <w:sz w:val="12"/>
                <w:szCs w:val="12"/>
                <w:color w:val="auto"/>
              </w:rPr>
            </w:pPr>
          </w:p>
        </w:tc>
        <w:tc>
          <w:tcPr>
            <w:tcW w:w="3740" w:type="dxa"/>
            <w:vAlign w:val="bottom"/>
          </w:tcPr>
          <w:p>
            <w:pPr>
              <w:ind w:left="380"/>
              <w:spacing w:after="0" w:line="140" w:lineRule="exact"/>
              <w:rPr>
                <w:sz w:val="20"/>
                <w:szCs w:val="20"/>
                <w:color w:val="auto"/>
              </w:rPr>
            </w:pPr>
            <w:r>
              <w:rPr>
                <w:rFonts w:ascii="Arial" w:cs="Arial" w:eastAsia="Arial" w:hAnsi="Arial"/>
                <w:sz w:val="16"/>
                <w:szCs w:val="16"/>
                <w:color w:val="auto"/>
              </w:rPr>
              <w:t>business development roles over</w:t>
            </w: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3740" w:type="dxa"/>
            <w:vAlign w:val="bottom"/>
          </w:tcPr>
          <w:p>
            <w:pPr>
              <w:ind w:left="380"/>
              <w:spacing w:after="0" w:line="158" w:lineRule="exact"/>
              <w:rPr>
                <w:sz w:val="20"/>
                <w:szCs w:val="20"/>
                <w:color w:val="auto"/>
              </w:rPr>
            </w:pPr>
            <w:r>
              <w:rPr>
                <w:rFonts w:ascii="Arial" w:cs="Arial" w:eastAsia="Arial" w:hAnsi="Arial"/>
                <w:sz w:val="16"/>
                <w:szCs w:val="16"/>
                <w:color w:val="auto"/>
              </w:rPr>
              <w:t>several years</w:t>
            </w:r>
          </w:p>
        </w:tc>
        <w:tc>
          <w:tcPr>
            <w:tcW w:w="0" w:type="dxa"/>
            <w:vAlign w:val="bottom"/>
          </w:tcPr>
          <w:p>
            <w:pPr>
              <w:spacing w:after="0"/>
              <w:rPr>
                <w:sz w:val="1"/>
                <w:szCs w:val="1"/>
                <w:color w:val="auto"/>
              </w:rPr>
            </w:pPr>
          </w:p>
        </w:tc>
      </w:tr>
      <w:tr>
        <w:trPr>
          <w:trHeight w:val="140"/>
        </w:trPr>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0" w:type="dxa"/>
            <w:vAlign w:val="bottom"/>
            <w:gridSpan w:val="4"/>
          </w:tcPr>
          <w:p>
            <w:pPr>
              <w:ind w:left="180"/>
              <w:spacing w:after="0" w:line="140" w:lineRule="exact"/>
              <w:rPr>
                <w:sz w:val="20"/>
                <w:szCs w:val="20"/>
                <w:color w:val="auto"/>
              </w:rPr>
            </w:pPr>
            <w:r>
              <w:rPr>
                <w:rFonts w:ascii="Arial" w:cs="Arial" w:eastAsia="Arial" w:hAnsi="Arial"/>
                <w:sz w:val="16"/>
                <w:szCs w:val="16"/>
                <w:color w:val="auto"/>
              </w:rPr>
              <w:t>Manager, IP Optical Networks Business Unit</w:t>
            </w:r>
          </w:p>
        </w:tc>
        <w:tc>
          <w:tcPr>
            <w:tcW w:w="3740" w:type="dxa"/>
            <w:vAlign w:val="bottom"/>
            <w:vMerge w:val="restart"/>
          </w:tcPr>
          <w:p>
            <w:pPr>
              <w:ind w:left="240"/>
              <w:spacing w:after="0"/>
              <w:rPr>
                <w:sz w:val="20"/>
                <w:szCs w:val="20"/>
                <w:color w:val="auto"/>
              </w:rPr>
            </w:pPr>
            <w:r>
              <w:rPr>
                <w:rFonts w:ascii="Arial" w:cs="Arial" w:eastAsia="Arial" w:hAnsi="Arial"/>
                <w:sz w:val="16"/>
                <w:szCs w:val="16"/>
                <w:b w:val="1"/>
                <w:bCs w:val="1"/>
                <w:color w:val="62259D"/>
              </w:rPr>
              <w:t>EDUCATION</w:t>
            </w: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3"/>
          </w:tcPr>
          <w:p>
            <w:pPr>
              <w:ind w:left="180"/>
              <w:spacing w:after="0"/>
              <w:rPr>
                <w:sz w:val="20"/>
                <w:szCs w:val="20"/>
                <w:color w:val="auto"/>
              </w:rPr>
            </w:pPr>
            <w:r>
              <w:rPr>
                <w:rFonts w:ascii="Arial" w:cs="Arial" w:eastAsia="Arial" w:hAnsi="Arial"/>
                <w:sz w:val="16"/>
                <w:szCs w:val="16"/>
                <w:color w:val="auto"/>
              </w:rPr>
              <w:t>(September 2020 to December 2022)</w:t>
            </w:r>
          </w:p>
        </w:tc>
        <w:tc>
          <w:tcPr>
            <w:tcW w:w="340" w:type="dxa"/>
            <w:vAlign w:val="bottom"/>
          </w:tcPr>
          <w:p>
            <w:pPr>
              <w:spacing w:after="0"/>
              <w:rPr>
                <w:sz w:val="18"/>
                <w:szCs w:val="18"/>
                <w:color w:val="auto"/>
              </w:rPr>
            </w:pPr>
          </w:p>
        </w:tc>
        <w:tc>
          <w:tcPr>
            <w:tcW w:w="3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3"/>
          </w:tcPr>
          <w:p>
            <w:pPr>
              <w:ind w:left="20"/>
              <w:spacing w:after="0"/>
              <w:rPr>
                <w:sz w:val="20"/>
                <w:szCs w:val="20"/>
                <w:color w:val="auto"/>
              </w:rPr>
            </w:pPr>
            <w:r>
              <w:rPr>
                <w:rFonts w:ascii="Arial" w:cs="Arial" w:eastAsia="Arial" w:hAnsi="Arial"/>
                <w:sz w:val="16"/>
                <w:szCs w:val="16"/>
                <w:b w:val="1"/>
                <w:bCs w:val="1"/>
                <w:color w:val="auto"/>
              </w:rPr>
              <w:t>Nokia / Alcatel-Lucent</w:t>
            </w:r>
            <w:r>
              <w:rPr>
                <w:rFonts w:ascii="Arial" w:cs="Arial" w:eastAsia="Arial" w:hAnsi="Arial"/>
                <w:sz w:val="16"/>
                <w:szCs w:val="16"/>
                <w:color w:val="auto"/>
              </w:rPr>
              <w:t>, a global</w:t>
            </w:r>
          </w:p>
        </w:tc>
        <w:tc>
          <w:tcPr>
            <w:tcW w:w="340" w:type="dxa"/>
            <w:vAlign w:val="bottom"/>
          </w:tcPr>
          <w:p>
            <w:pPr>
              <w:spacing w:after="0"/>
              <w:rPr>
                <w:sz w:val="16"/>
                <w:szCs w:val="16"/>
                <w:color w:val="auto"/>
              </w:rPr>
            </w:pPr>
          </w:p>
        </w:tc>
        <w:tc>
          <w:tcPr>
            <w:tcW w:w="3740" w:type="dxa"/>
            <w:vAlign w:val="bottom"/>
          </w:tcPr>
          <w:p>
            <w:pPr>
              <w:ind w:left="24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B.E., with distinction, McGill University</w:t>
            </w:r>
          </w:p>
        </w:tc>
        <w:tc>
          <w:tcPr>
            <w:tcW w:w="0" w:type="dxa"/>
            <w:vAlign w:val="bottom"/>
          </w:tcPr>
          <w:p>
            <w:pPr>
              <w:spacing w:after="0"/>
              <w:rPr>
                <w:sz w:val="1"/>
                <w:szCs w:val="1"/>
                <w:color w:val="auto"/>
              </w:rPr>
            </w:pPr>
          </w:p>
        </w:tc>
      </w:tr>
      <w:tr>
        <w:trPr>
          <w:trHeight w:val="207"/>
        </w:trPr>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60" w:type="dxa"/>
            <w:vAlign w:val="bottom"/>
            <w:gridSpan w:val="3"/>
          </w:tcPr>
          <w:p>
            <w:pPr>
              <w:ind w:left="20"/>
              <w:spacing w:after="0"/>
              <w:rPr>
                <w:sz w:val="20"/>
                <w:szCs w:val="20"/>
                <w:color w:val="auto"/>
              </w:rPr>
            </w:pPr>
            <w:r>
              <w:rPr>
                <w:rFonts w:ascii="Arial" w:cs="Arial" w:eastAsia="Arial" w:hAnsi="Arial"/>
                <w:sz w:val="16"/>
                <w:szCs w:val="16"/>
                <w:color w:val="auto"/>
              </w:rPr>
              <w:t>communications solutions company</w:t>
            </w:r>
          </w:p>
        </w:tc>
        <w:tc>
          <w:tcPr>
            <w:tcW w:w="3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-1839595</wp:posOffset>
            </wp:positionV>
            <wp:extent cx="562356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1640" w:space="680"/>
            <w:col w:w="7559"/>
          </w:cols>
          <w:pgMar w:left="580" w:top="97" w:right="1440" w:bottom="1440" w:gutter="0" w:footer="0" w:header="0"/>
          <w:type w:val="continuous"/>
        </w:sectPr>
      </w:pPr>
    </w:p>
    <w:p>
      <w:pPr>
        <w:ind w:left="2820" w:right="4119" w:hanging="168"/>
        <w:spacing w:after="0" w:line="241" w:lineRule="auto"/>
        <w:tabs>
          <w:tab w:leader="none" w:pos="2820" w:val="left"/>
        </w:tabs>
        <w:numPr>
          <w:ilvl w:val="0"/>
          <w:numId w:val="95"/>
        </w:numPr>
        <w:rPr>
          <w:rFonts w:ascii="Arial" w:cs="Arial" w:eastAsia="Arial" w:hAnsi="Arial"/>
          <w:sz w:val="16"/>
          <w:szCs w:val="16"/>
          <w:color w:val="62259D"/>
        </w:rPr>
      </w:pPr>
      <w:r>
        <w:rPr>
          <w:rFonts w:ascii="Arial" w:cs="Arial" w:eastAsia="Arial" w:hAnsi="Arial"/>
          <w:sz w:val="16"/>
          <w:szCs w:val="16"/>
          <w:color w:val="auto"/>
        </w:rPr>
        <w:t>Director optical networking business unit (1994 to 2020)</w:t>
      </w:r>
    </w:p>
    <w:p>
      <w:pPr>
        <w:spacing w:after="0" w:line="328"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-4445</wp:posOffset>
            </wp:positionV>
            <wp:extent cx="56235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9166BA"/>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9166BA"/>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1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140" w:type="dxa"/>
            <w:vAlign w:val="bottom"/>
            <w:shd w:val="clear" w:color="auto" w:fill="E7417A"/>
          </w:tcPr>
          <w:p>
            <w:pPr>
              <w:spacing w:after="0"/>
              <w:rPr>
                <w:sz w:val="20"/>
                <w:szCs w:val="20"/>
                <w:color w:val="auto"/>
              </w:rPr>
            </w:pPr>
          </w:p>
        </w:tc>
        <w:tc>
          <w:tcPr>
            <w:tcW w:w="1840" w:type="dxa"/>
            <w:vAlign w:val="bottom"/>
            <w:vMerge w:val="restart"/>
            <w:shd w:val="clear" w:color="auto" w:fill="E7417A"/>
          </w:tcPr>
          <w:p>
            <w:pPr>
              <w:ind w:left="80"/>
              <w:spacing w:after="0"/>
              <w:rPr>
                <w:sz w:val="20"/>
                <w:szCs w:val="20"/>
                <w:color w:val="auto"/>
              </w:rPr>
            </w:pPr>
            <w:r>
              <w:rPr>
                <w:rFonts w:ascii="Arial" w:cs="Arial" w:eastAsia="Arial" w:hAnsi="Arial"/>
                <w:sz w:val="25"/>
                <w:szCs w:val="25"/>
                <w:b w:val="1"/>
                <w:bCs w:val="1"/>
                <w:color w:val="FEFEFE"/>
              </w:rPr>
              <w:t>PATRICK</w:t>
            </w:r>
          </w:p>
        </w:tc>
        <w:tc>
          <w:tcPr>
            <w:tcW w:w="1300" w:type="dxa"/>
            <w:vAlign w:val="bottom"/>
            <w:shd w:val="clear" w:color="auto" w:fill="E7417A"/>
          </w:tcPr>
          <w:p>
            <w:pPr>
              <w:spacing w:after="0"/>
              <w:rPr>
                <w:sz w:val="20"/>
                <w:szCs w:val="20"/>
                <w:color w:val="auto"/>
              </w:rPr>
            </w:pPr>
          </w:p>
        </w:tc>
        <w:tc>
          <w:tcPr>
            <w:tcW w:w="3960" w:type="dxa"/>
            <w:vAlign w:val="bottom"/>
            <w:vMerge w:val="restart"/>
            <w:shd w:val="clear" w:color="auto" w:fill="E7417A"/>
          </w:tcPr>
          <w:p>
            <w:pPr>
              <w:jc w:val="right"/>
              <w:ind w:right="148"/>
              <w:spacing w:after="0"/>
              <w:rPr>
                <w:sz w:val="20"/>
                <w:szCs w:val="20"/>
                <w:color w:val="auto"/>
              </w:rPr>
            </w:pPr>
            <w:r>
              <w:rPr>
                <w:rFonts w:ascii="Arial" w:cs="Arial" w:eastAsia="Arial" w:hAnsi="Arial"/>
                <w:sz w:val="14"/>
                <w:szCs w:val="14"/>
                <w:b w:val="1"/>
                <w:bCs w:val="1"/>
                <w:color w:val="FEFEFE"/>
              </w:rPr>
              <w:t>EXECUTIVE VICE PRESIDENT, CHIEF LEGAL</w:t>
            </w:r>
          </w:p>
        </w:tc>
        <w:tc>
          <w:tcPr>
            <w:tcW w:w="0" w:type="dxa"/>
            <w:vAlign w:val="bottom"/>
          </w:tcPr>
          <w:p>
            <w:pPr>
              <w:spacing w:after="0"/>
              <w:rPr>
                <w:sz w:val="1"/>
                <w:szCs w:val="1"/>
                <w:color w:val="auto"/>
              </w:rPr>
            </w:pPr>
          </w:p>
        </w:tc>
      </w:tr>
      <w:tr>
        <w:trPr>
          <w:trHeight w:val="49"/>
        </w:trPr>
        <w:tc>
          <w:tcPr>
            <w:tcW w:w="220" w:type="dxa"/>
            <w:vAlign w:val="bottom"/>
          </w:tcPr>
          <w:p>
            <w:pPr>
              <w:spacing w:after="0"/>
              <w:rPr>
                <w:sz w:val="4"/>
                <w:szCs w:val="4"/>
                <w:color w:val="auto"/>
              </w:rPr>
            </w:pPr>
          </w:p>
        </w:tc>
        <w:tc>
          <w:tcPr>
            <w:tcW w:w="140" w:type="dxa"/>
            <w:vAlign w:val="bottom"/>
            <w:vMerge w:val="restart"/>
            <w:shd w:val="clear" w:color="auto" w:fill="E7417A"/>
          </w:tcPr>
          <w:p>
            <w:pPr>
              <w:spacing w:after="0"/>
              <w:rPr>
                <w:sz w:val="20"/>
                <w:szCs w:val="20"/>
                <w:color w:val="auto"/>
              </w:rPr>
            </w:pPr>
            <w:r>
              <w:rPr>
                <w:rFonts w:ascii="Arial" w:cs="Arial" w:eastAsia="Arial" w:hAnsi="Arial"/>
                <w:sz w:val="14"/>
                <w:szCs w:val="14"/>
                <w:b w:val="1"/>
                <w:bCs w:val="1"/>
                <w:color w:val="FEFEFE"/>
              </w:rPr>
              <w:t>​</w:t>
            </w:r>
          </w:p>
        </w:tc>
        <w:tc>
          <w:tcPr>
            <w:tcW w:w="1840" w:type="dxa"/>
            <w:vAlign w:val="bottom"/>
            <w:vMerge w:val="continue"/>
            <w:shd w:val="clear" w:color="auto" w:fill="E7417A"/>
          </w:tcPr>
          <w:p>
            <w:pPr>
              <w:spacing w:after="0"/>
              <w:rPr>
                <w:sz w:val="4"/>
                <w:szCs w:val="4"/>
                <w:color w:val="auto"/>
              </w:rPr>
            </w:pPr>
          </w:p>
        </w:tc>
        <w:tc>
          <w:tcPr>
            <w:tcW w:w="1300" w:type="dxa"/>
            <w:vAlign w:val="bottom"/>
            <w:vMerge w:val="restart"/>
            <w:shd w:val="clear" w:color="auto" w:fill="E7417A"/>
          </w:tcPr>
          <w:p>
            <w:pPr>
              <w:ind w:left="580"/>
              <w:spacing w:after="0"/>
              <w:rPr>
                <w:sz w:val="20"/>
                <w:szCs w:val="20"/>
                <w:color w:val="auto"/>
              </w:rPr>
            </w:pPr>
            <w:r>
              <w:rPr>
                <w:rFonts w:ascii="Arial" w:cs="Arial" w:eastAsia="Arial" w:hAnsi="Arial"/>
                <w:sz w:val="14"/>
                <w:szCs w:val="14"/>
                <w:b w:val="1"/>
                <w:bCs w:val="1"/>
                <w:color w:val="FEFEFE"/>
              </w:rPr>
              <w:t>​   ​</w:t>
            </w:r>
          </w:p>
        </w:tc>
        <w:tc>
          <w:tcPr>
            <w:tcW w:w="3960" w:type="dxa"/>
            <w:vAlign w:val="bottom"/>
            <w:vMerge w:val="continue"/>
            <w:shd w:val="clear" w:color="auto" w:fill="E7417A"/>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20" w:type="dxa"/>
            <w:vAlign w:val="bottom"/>
          </w:tcPr>
          <w:p>
            <w:pPr>
              <w:spacing w:after="0"/>
              <w:rPr>
                <w:sz w:val="17"/>
                <w:szCs w:val="17"/>
                <w:color w:val="auto"/>
              </w:rPr>
            </w:pPr>
          </w:p>
        </w:tc>
        <w:tc>
          <w:tcPr>
            <w:tcW w:w="140" w:type="dxa"/>
            <w:vAlign w:val="bottom"/>
            <w:vMerge w:val="continue"/>
            <w:shd w:val="clear" w:color="auto" w:fill="E7417A"/>
          </w:tcPr>
          <w:p>
            <w:pPr>
              <w:spacing w:after="0"/>
              <w:rPr>
                <w:sz w:val="17"/>
                <w:szCs w:val="17"/>
                <w:color w:val="auto"/>
              </w:rPr>
            </w:pPr>
          </w:p>
        </w:tc>
        <w:tc>
          <w:tcPr>
            <w:tcW w:w="1840" w:type="dxa"/>
            <w:vAlign w:val="bottom"/>
            <w:vMerge w:val="restart"/>
            <w:shd w:val="clear" w:color="auto" w:fill="E7417A"/>
          </w:tcPr>
          <w:p>
            <w:pPr>
              <w:ind w:left="80"/>
              <w:spacing w:after="0"/>
              <w:rPr>
                <w:sz w:val="20"/>
                <w:szCs w:val="20"/>
                <w:color w:val="auto"/>
              </w:rPr>
            </w:pPr>
            <w:r>
              <w:rPr>
                <w:rFonts w:ascii="Arial" w:cs="Arial" w:eastAsia="Arial" w:hAnsi="Arial"/>
                <w:sz w:val="25"/>
                <w:szCs w:val="25"/>
                <w:b w:val="1"/>
                <w:bCs w:val="1"/>
                <w:color w:val="FEFEFE"/>
              </w:rPr>
              <w:t>MACKEN</w:t>
            </w:r>
          </w:p>
        </w:tc>
        <w:tc>
          <w:tcPr>
            <w:tcW w:w="1300" w:type="dxa"/>
            <w:vAlign w:val="bottom"/>
            <w:vMerge w:val="continue"/>
            <w:shd w:val="clear" w:color="auto" w:fill="E7417A"/>
          </w:tcPr>
          <w:p>
            <w:pPr>
              <w:spacing w:after="0"/>
              <w:rPr>
                <w:sz w:val="17"/>
                <w:szCs w:val="17"/>
                <w:color w:val="auto"/>
              </w:rPr>
            </w:pPr>
          </w:p>
        </w:tc>
        <w:tc>
          <w:tcPr>
            <w:tcW w:w="3960" w:type="dxa"/>
            <w:vAlign w:val="bottom"/>
            <w:shd w:val="clear" w:color="auto" w:fill="E7417A"/>
          </w:tcPr>
          <w:p>
            <w:pPr>
              <w:jc w:val="right"/>
              <w:ind w:right="108"/>
              <w:spacing w:after="0"/>
              <w:rPr>
                <w:sz w:val="20"/>
                <w:szCs w:val="20"/>
                <w:color w:val="auto"/>
              </w:rPr>
            </w:pPr>
            <w:r>
              <w:rPr>
                <w:rFonts w:ascii="Arial" w:cs="Arial" w:eastAsia="Arial" w:hAnsi="Arial"/>
                <w:sz w:val="14"/>
                <w:szCs w:val="14"/>
                <w:b w:val="1"/>
                <w:bCs w:val="1"/>
                <w:color w:val="FEFEFE"/>
              </w:rPr>
              <w:t>OFFICER ​</w:t>
            </w:r>
          </w:p>
        </w:tc>
        <w:tc>
          <w:tcPr>
            <w:tcW w:w="0" w:type="dxa"/>
            <w:vAlign w:val="bottom"/>
          </w:tcPr>
          <w:p>
            <w:pPr>
              <w:spacing w:after="0"/>
              <w:rPr>
                <w:sz w:val="1"/>
                <w:szCs w:val="1"/>
                <w:color w:val="auto"/>
              </w:rPr>
            </w:pPr>
          </w:p>
        </w:tc>
      </w:tr>
      <w:tr>
        <w:trPr>
          <w:trHeight w:val="204"/>
        </w:trPr>
        <w:tc>
          <w:tcPr>
            <w:tcW w:w="220" w:type="dxa"/>
            <w:vAlign w:val="bottom"/>
          </w:tcPr>
          <w:p>
            <w:pPr>
              <w:spacing w:after="0"/>
              <w:rPr>
                <w:sz w:val="17"/>
                <w:szCs w:val="17"/>
                <w:color w:val="auto"/>
              </w:rPr>
            </w:pPr>
          </w:p>
        </w:tc>
        <w:tc>
          <w:tcPr>
            <w:tcW w:w="140" w:type="dxa"/>
            <w:vAlign w:val="bottom"/>
            <w:shd w:val="clear" w:color="auto" w:fill="E7417A"/>
          </w:tcPr>
          <w:p>
            <w:pPr>
              <w:spacing w:after="0"/>
              <w:rPr>
                <w:sz w:val="17"/>
                <w:szCs w:val="17"/>
                <w:color w:val="auto"/>
              </w:rPr>
            </w:pPr>
          </w:p>
        </w:tc>
        <w:tc>
          <w:tcPr>
            <w:tcW w:w="1840" w:type="dxa"/>
            <w:vAlign w:val="bottom"/>
            <w:vMerge w:val="continue"/>
            <w:shd w:val="clear" w:color="auto" w:fill="E7417A"/>
          </w:tcPr>
          <w:p>
            <w:pPr>
              <w:spacing w:after="0"/>
              <w:rPr>
                <w:sz w:val="17"/>
                <w:szCs w:val="17"/>
                <w:color w:val="auto"/>
              </w:rPr>
            </w:pPr>
          </w:p>
        </w:tc>
        <w:tc>
          <w:tcPr>
            <w:tcW w:w="1300" w:type="dxa"/>
            <w:vAlign w:val="bottom"/>
            <w:shd w:val="clear" w:color="auto" w:fill="E7417A"/>
          </w:tcPr>
          <w:p>
            <w:pPr>
              <w:spacing w:after="0"/>
              <w:rPr>
                <w:sz w:val="17"/>
                <w:szCs w:val="17"/>
                <w:color w:val="auto"/>
              </w:rPr>
            </w:pPr>
          </w:p>
        </w:tc>
        <w:tc>
          <w:tcPr>
            <w:tcW w:w="3960" w:type="dxa"/>
            <w:vAlign w:val="bottom"/>
            <w:shd w:val="clear" w:color="auto" w:fill="E7417A"/>
          </w:tcPr>
          <w:p>
            <w:pPr>
              <w:jc w:val="right"/>
              <w:ind w:right="148"/>
              <w:spacing w:after="0"/>
              <w:rPr>
                <w:sz w:val="20"/>
                <w:szCs w:val="20"/>
                <w:color w:val="auto"/>
              </w:rPr>
            </w:pPr>
            <w:r>
              <w:rPr>
                <w:rFonts w:ascii="Arial" w:cs="Arial" w:eastAsia="Arial" w:hAnsi="Arial"/>
                <w:sz w:val="14"/>
                <w:szCs w:val="14"/>
                <w:b w:val="1"/>
                <w:bCs w:val="1"/>
                <w:color w:val="FEFEFE"/>
              </w:rPr>
              <w:t>AND CORPORATE SECRETARY</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140" w:type="dxa"/>
            <w:vAlign w:val="bottom"/>
            <w:shd w:val="clear" w:color="auto" w:fill="E7417A"/>
          </w:tcPr>
          <w:p>
            <w:pPr>
              <w:spacing w:after="0"/>
              <w:rPr>
                <w:sz w:val="3"/>
                <w:szCs w:val="3"/>
                <w:color w:val="auto"/>
              </w:rPr>
            </w:pPr>
          </w:p>
        </w:tc>
        <w:tc>
          <w:tcPr>
            <w:tcW w:w="1840" w:type="dxa"/>
            <w:vAlign w:val="bottom"/>
            <w:shd w:val="clear" w:color="auto" w:fill="E7417A"/>
          </w:tcPr>
          <w:p>
            <w:pPr>
              <w:spacing w:after="0"/>
              <w:rPr>
                <w:sz w:val="3"/>
                <w:szCs w:val="3"/>
                <w:color w:val="auto"/>
              </w:rPr>
            </w:pPr>
          </w:p>
        </w:tc>
        <w:tc>
          <w:tcPr>
            <w:tcW w:w="1300" w:type="dxa"/>
            <w:vAlign w:val="bottom"/>
            <w:shd w:val="clear" w:color="auto" w:fill="E7417A"/>
          </w:tcPr>
          <w:p>
            <w:pPr>
              <w:spacing w:after="0"/>
              <w:rPr>
                <w:sz w:val="3"/>
                <w:szCs w:val="3"/>
                <w:color w:val="auto"/>
              </w:rPr>
            </w:pPr>
          </w:p>
        </w:tc>
        <w:tc>
          <w:tcPr>
            <w:tcW w:w="3960" w:type="dxa"/>
            <w:vAlign w:val="bottom"/>
            <w:shd w:val="clear" w:color="auto" w:fill="E7417A"/>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-809625</wp:posOffset>
            </wp:positionH>
            <wp:positionV relativeFrom="paragraph">
              <wp:posOffset>-462280</wp:posOffset>
            </wp:positionV>
            <wp:extent cx="814070" cy="814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pacing w:after="0" w:line="124" w:lineRule="exact"/>
        <w:rPr>
          <w:sz w:val="20"/>
          <w:szCs w:val="20"/>
          <w:color w:val="auto"/>
        </w:rPr>
      </w:pPr>
    </w:p>
    <w:p>
      <w:pPr>
        <w:sectPr>
          <w:pgSz w:w="11900" w:h="16838" w:orient="portrait"/>
          <w:cols w:equalWidth="0" w:num="2">
            <w:col w:w="1600" w:space="720"/>
            <w:col w:w="7559"/>
          </w:cols>
          <w:pgMar w:left="580" w:top="97" w:right="1440" w:bottom="1440" w:gutter="0" w:footer="0" w:header="0"/>
          <w:type w:val="continuous"/>
        </w:sectPr>
      </w:pPr>
    </w:p>
    <w:p>
      <w:pPr>
        <w:spacing w:after="0" w:line="200" w:lineRule="exact"/>
        <w:rPr>
          <w:sz w:val="20"/>
          <w:szCs w:val="20"/>
          <w:color w:val="auto"/>
        </w:rPr>
      </w:pPr>
    </w:p>
    <w:p>
      <w:pPr>
        <w:spacing w:after="0" w:line="337" w:lineRule="exact"/>
        <w:rPr>
          <w:sz w:val="20"/>
          <w:szCs w:val="20"/>
          <w:color w:val="auto"/>
        </w:rPr>
      </w:pPr>
    </w:p>
    <w:p>
      <w:pPr>
        <w:jc w:val="right"/>
        <w:ind w:right="184"/>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br w:type="column"/>
      </w:r>
    </w:p>
    <w:p>
      <w:pPr>
        <w:ind w:left="116" w:hanging="116"/>
        <w:spacing w:after="0"/>
        <w:tabs>
          <w:tab w:leader="none" w:pos="116" w:val="left"/>
        </w:tabs>
        <w:numPr>
          <w:ilvl w:val="0"/>
          <w:numId w:val="96"/>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5" w:lineRule="exact"/>
        <w:rPr>
          <w:rFonts w:ascii="Arial" w:cs="Arial" w:eastAsia="Arial" w:hAnsi="Arial"/>
          <w:sz w:val="16"/>
          <w:szCs w:val="16"/>
          <w:color w:val="auto"/>
        </w:rPr>
      </w:pPr>
    </w:p>
    <w:p>
      <w:pPr>
        <w:ind w:left="116"/>
        <w:spacing w:after="0"/>
        <w:rPr>
          <w:rFonts w:ascii="Arial" w:cs="Arial" w:eastAsia="Arial" w:hAnsi="Arial"/>
          <w:sz w:val="16"/>
          <w:szCs w:val="16"/>
          <w:color w:val="auto"/>
        </w:rPr>
      </w:pPr>
      <w:r>
        <w:rPr>
          <w:rFonts w:ascii="Arial" w:cs="Arial" w:eastAsia="Arial" w:hAnsi="Arial"/>
          <w:sz w:val="16"/>
          <w:szCs w:val="16"/>
          <w:b w:val="1"/>
          <w:bCs w:val="1"/>
          <w:color w:val="auto"/>
        </w:rPr>
        <w:t>Ribbon Communications Inc.</w:t>
      </w:r>
    </w:p>
    <w:p>
      <w:pPr>
        <w:spacing w:after="0" w:line="61" w:lineRule="exact"/>
        <w:rPr>
          <w:sz w:val="20"/>
          <w:szCs w:val="20"/>
          <w:color w:val="auto"/>
        </w:rPr>
      </w:pPr>
    </w:p>
    <w:p>
      <w:pPr>
        <w:ind w:left="276" w:right="20" w:hanging="168"/>
        <w:spacing w:after="0" w:line="236" w:lineRule="auto"/>
        <w:tabs>
          <w:tab w:leader="none" w:pos="276" w:val="left"/>
        </w:tabs>
        <w:numPr>
          <w:ilvl w:val="0"/>
          <w:numId w:val="97"/>
        </w:numPr>
        <w:rPr>
          <w:rFonts w:ascii="Arial" w:cs="Arial" w:eastAsia="Arial" w:hAnsi="Arial"/>
          <w:sz w:val="16"/>
          <w:szCs w:val="16"/>
          <w:color w:val="62259D"/>
        </w:rPr>
      </w:pPr>
      <w:r>
        <w:rPr>
          <w:rFonts w:ascii="Arial" w:cs="Arial" w:eastAsia="Arial" w:hAnsi="Arial"/>
          <w:sz w:val="16"/>
          <w:szCs w:val="16"/>
          <w:color w:val="auto"/>
        </w:rPr>
        <w:t>Executive Vice President, Chief Legal Officer and Corporate Secretary (June 2020 to present)</w:t>
      </w:r>
    </w:p>
    <w:p>
      <w:pPr>
        <w:spacing w:after="0" w:line="36" w:lineRule="exact"/>
        <w:rPr>
          <w:sz w:val="20"/>
          <w:szCs w:val="20"/>
          <w:color w:val="auto"/>
        </w:rPr>
      </w:pPr>
    </w:p>
    <w:p>
      <w:pPr>
        <w:ind w:left="116"/>
        <w:spacing w:after="0"/>
        <w:rPr>
          <w:sz w:val="20"/>
          <w:szCs w:val="20"/>
          <w:color w:val="auto"/>
        </w:rPr>
      </w:pPr>
      <w:r>
        <w:rPr>
          <w:rFonts w:ascii="Arial" w:cs="Arial" w:eastAsia="Arial" w:hAnsi="Arial"/>
          <w:sz w:val="16"/>
          <w:szCs w:val="16"/>
          <w:b w:val="1"/>
          <w:bCs w:val="1"/>
          <w:color w:val="auto"/>
        </w:rPr>
        <w:t xml:space="preserve">ARRIS International plc, </w:t>
      </w:r>
      <w:r>
        <w:rPr>
          <w:rFonts w:ascii="Arial" w:cs="Arial" w:eastAsia="Arial" w:hAnsi="Arial"/>
          <w:sz w:val="16"/>
          <w:szCs w:val="16"/>
          <w:color w:val="auto"/>
        </w:rPr>
        <w:t>a global</w:t>
      </w:r>
    </w:p>
    <w:p>
      <w:pPr>
        <w:spacing w:after="0" w:line="8" w:lineRule="exact"/>
        <w:rPr>
          <w:sz w:val="20"/>
          <w:szCs w:val="20"/>
          <w:color w:val="auto"/>
        </w:rPr>
      </w:pPr>
    </w:p>
    <w:p>
      <w:pPr>
        <w:ind w:left="116"/>
        <w:spacing w:after="0"/>
        <w:rPr>
          <w:sz w:val="20"/>
          <w:szCs w:val="20"/>
          <w:color w:val="auto"/>
        </w:rPr>
      </w:pPr>
      <w:r>
        <w:rPr>
          <w:rFonts w:ascii="Arial" w:cs="Arial" w:eastAsia="Arial" w:hAnsi="Arial"/>
          <w:sz w:val="16"/>
          <w:szCs w:val="16"/>
          <w:color w:val="auto"/>
        </w:rPr>
        <w:t>communications solutions company</w:t>
      </w:r>
    </w:p>
    <w:p>
      <w:pPr>
        <w:spacing w:after="0" w:line="59" w:lineRule="exact"/>
        <w:rPr>
          <w:sz w:val="20"/>
          <w:szCs w:val="20"/>
          <w:color w:val="auto"/>
        </w:rPr>
      </w:pPr>
    </w:p>
    <w:p>
      <w:pPr>
        <w:ind w:left="276" w:hanging="168"/>
        <w:spacing w:after="0" w:line="241" w:lineRule="auto"/>
        <w:tabs>
          <w:tab w:leader="none" w:pos="276" w:val="left"/>
        </w:tabs>
        <w:numPr>
          <w:ilvl w:val="0"/>
          <w:numId w:val="98"/>
        </w:numPr>
        <w:rPr>
          <w:rFonts w:ascii="Arial" w:cs="Arial" w:eastAsia="Arial" w:hAnsi="Arial"/>
          <w:sz w:val="16"/>
          <w:szCs w:val="16"/>
          <w:color w:val="62259D"/>
        </w:rPr>
      </w:pPr>
      <w:r>
        <w:rPr>
          <w:rFonts w:ascii="Arial" w:cs="Arial" w:eastAsia="Arial" w:hAnsi="Arial"/>
          <w:sz w:val="16"/>
          <w:szCs w:val="16"/>
          <w:color w:val="auto"/>
        </w:rPr>
        <w:t>Senior Vice President, General Counsel and Secretary (2015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-1029335</wp:posOffset>
            </wp:positionH>
            <wp:positionV relativeFrom="paragraph">
              <wp:posOffset>71120</wp:posOffset>
            </wp:positionV>
            <wp:extent cx="56235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60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Troutman Sanders LLP</w:t>
      </w:r>
      <w:r>
        <w:rPr>
          <w:rFonts w:ascii="Arial" w:cs="Arial" w:eastAsia="Arial" w:hAnsi="Arial"/>
          <w:sz w:val="16"/>
          <w:szCs w:val="16"/>
          <w:color w:val="auto"/>
        </w:rPr>
        <w:t xml:space="preserve"> (now Troutman</w:t>
      </w:r>
      <w:r>
        <w:rPr>
          <w:sz w:val="20"/>
          <w:szCs w:val="20"/>
          <w:color w:val="auto"/>
        </w:rPr>
        <w:tab/>
      </w:r>
      <w:r>
        <w:rPr>
          <w:rFonts w:ascii="Arial" w:cs="Arial" w:eastAsia="Arial" w:hAnsi="Arial"/>
          <w:sz w:val="16"/>
          <w:szCs w:val="16"/>
          <w:color w:val="auto"/>
        </w:rPr>
        <w:t>​</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Pepper Locke LLP)</w:t>
      </w:r>
    </w:p>
    <w:p>
      <w:pPr>
        <w:spacing w:after="0" w:line="59" w:lineRule="exact"/>
        <w:rPr>
          <w:sz w:val="20"/>
          <w:szCs w:val="20"/>
          <w:color w:val="auto"/>
        </w:rPr>
      </w:pPr>
    </w:p>
    <w:p>
      <w:pPr>
        <w:ind w:left="360" w:hanging="150"/>
        <w:spacing w:after="0"/>
        <w:tabs>
          <w:tab w:leader="none" w:pos="360" w:val="left"/>
        </w:tabs>
        <w:numPr>
          <w:ilvl w:val="0"/>
          <w:numId w:val="99"/>
        </w:numPr>
        <w:rPr>
          <w:rFonts w:ascii="Arial" w:cs="Arial" w:eastAsia="Arial" w:hAnsi="Arial"/>
          <w:sz w:val="16"/>
          <w:szCs w:val="16"/>
          <w:color w:val="62259D"/>
        </w:rPr>
      </w:pPr>
      <w:r>
        <w:rPr>
          <w:rFonts w:ascii="Arial" w:cs="Arial" w:eastAsia="Arial" w:hAnsi="Arial"/>
          <w:sz w:val="16"/>
          <w:szCs w:val="16"/>
          <w:color w:val="auto"/>
        </w:rPr>
        <w:t>Partner in the corporate practice</w:t>
      </w:r>
    </w:p>
    <w:p>
      <w:pPr>
        <w:spacing w:after="0" w:line="30" w:lineRule="exact"/>
        <w:rPr>
          <w:rFonts w:ascii="Arial" w:cs="Arial" w:eastAsia="Arial" w:hAnsi="Arial"/>
          <w:sz w:val="16"/>
          <w:szCs w:val="16"/>
          <w:color w:val="62259D"/>
        </w:rPr>
      </w:pPr>
    </w:p>
    <w:p>
      <w:pPr>
        <w:ind w:left="220"/>
        <w:spacing w:after="0"/>
        <w:rPr>
          <w:rFonts w:ascii="Arial" w:cs="Arial" w:eastAsia="Arial" w:hAnsi="Arial"/>
          <w:sz w:val="16"/>
          <w:szCs w:val="16"/>
          <w:color w:val="62259D"/>
        </w:rPr>
      </w:pPr>
      <w:r>
        <w:rPr>
          <w:rFonts w:ascii="Arial" w:cs="Arial" w:eastAsia="Arial" w:hAnsi="Arial"/>
          <w:sz w:val="16"/>
          <w:szCs w:val="16"/>
          <w:b w:val="1"/>
          <w:bCs w:val="1"/>
          <w:color w:val="auto"/>
        </w:rPr>
        <w:t>EDUCATION</w:t>
      </w:r>
    </w:p>
    <w:p>
      <w:pPr>
        <w:spacing w:after="0" w:line="61" w:lineRule="exact"/>
        <w:rPr>
          <w:rFonts w:ascii="Arial" w:cs="Arial" w:eastAsia="Arial" w:hAnsi="Arial"/>
          <w:sz w:val="16"/>
          <w:szCs w:val="16"/>
          <w:color w:val="62259D"/>
        </w:rPr>
      </w:pPr>
    </w:p>
    <w:p>
      <w:pPr>
        <w:ind w:left="360" w:right="239" w:hanging="150"/>
        <w:spacing w:after="0" w:line="259" w:lineRule="auto"/>
        <w:tabs>
          <w:tab w:leader="none" w:pos="360" w:val="left"/>
        </w:tabs>
        <w:numPr>
          <w:ilvl w:val="0"/>
          <w:numId w:val="99"/>
        </w:numPr>
        <w:rPr>
          <w:rFonts w:ascii="Arial" w:cs="Arial" w:eastAsia="Arial" w:hAnsi="Arial"/>
          <w:sz w:val="16"/>
          <w:szCs w:val="16"/>
          <w:color w:val="62259D"/>
        </w:rPr>
      </w:pPr>
      <w:r>
        <w:rPr>
          <w:rFonts w:ascii="Arial" w:cs="Arial" w:eastAsia="Arial" w:hAnsi="Arial"/>
          <w:sz w:val="16"/>
          <w:szCs w:val="16"/>
          <w:color w:val="auto"/>
        </w:rPr>
        <w:t xml:space="preserve">J.D., </w:t>
      </w:r>
      <w:r>
        <w:rPr>
          <w:rFonts w:ascii="Arial" w:cs="Arial" w:eastAsia="Arial" w:hAnsi="Arial"/>
          <w:sz w:val="16"/>
          <w:szCs w:val="16"/>
          <w:i w:val="1"/>
          <w:iCs w:val="1"/>
          <w:color w:val="auto"/>
        </w:rPr>
        <w:t>magna cum laude</w:t>
      </w:r>
      <w:r>
        <w:rPr>
          <w:rFonts w:ascii="Arial" w:cs="Arial" w:eastAsia="Arial" w:hAnsi="Arial"/>
          <w:sz w:val="16"/>
          <w:szCs w:val="16"/>
          <w:color w:val="auto"/>
        </w:rPr>
        <w:t>, Tulane Law School; member of the Order of the Coif</w:t>
      </w:r>
    </w:p>
    <w:p>
      <w:pPr>
        <w:spacing w:after="0" w:line="34" w:lineRule="exact"/>
        <w:rPr>
          <w:rFonts w:ascii="Arial" w:cs="Arial" w:eastAsia="Arial" w:hAnsi="Arial"/>
          <w:sz w:val="16"/>
          <w:szCs w:val="16"/>
          <w:color w:val="62259D"/>
        </w:rPr>
      </w:pPr>
    </w:p>
    <w:p>
      <w:pPr>
        <w:ind w:left="360" w:hanging="150"/>
        <w:spacing w:after="0"/>
        <w:tabs>
          <w:tab w:leader="none" w:pos="360" w:val="left"/>
        </w:tabs>
        <w:numPr>
          <w:ilvl w:val="0"/>
          <w:numId w:val="99"/>
        </w:numPr>
        <w:rPr>
          <w:rFonts w:ascii="Arial" w:cs="Arial" w:eastAsia="Arial" w:hAnsi="Arial"/>
          <w:sz w:val="16"/>
          <w:szCs w:val="16"/>
          <w:color w:val="62259D"/>
        </w:rPr>
      </w:pPr>
      <w:r>
        <w:rPr>
          <w:rFonts w:ascii="Arial" w:cs="Arial" w:eastAsia="Arial" w:hAnsi="Arial"/>
          <w:sz w:val="16"/>
          <w:szCs w:val="16"/>
          <w:color w:val="auto"/>
        </w:rPr>
        <w:t>B.A., Tulane University</w:t>
      </w:r>
    </w:p>
    <w:p>
      <w:pPr>
        <w:spacing w:after="0" w:line="511" w:lineRule="exact"/>
        <w:rPr>
          <w:sz w:val="20"/>
          <w:szCs w:val="20"/>
          <w:color w:val="auto"/>
        </w:rPr>
      </w:pPr>
    </w:p>
    <w:p>
      <w:pPr>
        <w:sectPr>
          <w:pgSz w:w="11900" w:h="16838" w:orient="portrait"/>
          <w:cols w:equalWidth="0" w:num="3">
            <w:col w:w="1824" w:space="720"/>
            <w:col w:w="3476" w:space="40"/>
            <w:col w:w="3819"/>
          </w:cols>
          <w:pgMar w:left="580" w:top="97" w:right="1440" w:bottom="1440" w:gutter="0" w:footer="0" w:header="0"/>
          <w:type w:val="continuous"/>
        </w:sectPr>
      </w:pPr>
    </w:p>
    <w:p>
      <w:pPr>
        <w:spacing w:after="0" w:line="163"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-107315</wp:posOffset>
            </wp:positionV>
            <wp:extent cx="814070" cy="814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407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62259D"/>
        </w:rPr>
        <w:t xml:space="preserve">AGE </w:t>
      </w:r>
      <w:r>
        <w:rPr>
          <w:rFonts w:ascii="Arial" w:cs="Arial" w:eastAsia="Arial" w:hAnsi="Arial"/>
          <w:sz w:val="16"/>
          <w:szCs w:val="16"/>
          <w:color w:val="000000"/>
        </w:rPr>
        <w:t>59</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60" w:type="dxa"/>
            <w:vAlign w:val="bottom"/>
          </w:tcPr>
          <w:p>
            <w:pPr>
              <w:spacing w:after="0"/>
              <w:rPr>
                <w:sz w:val="20"/>
                <w:szCs w:val="20"/>
                <w:color w:val="auto"/>
              </w:rPr>
            </w:pPr>
            <w:r>
              <w:rPr>
                <w:rFonts w:ascii="Arial" w:cs="Arial" w:eastAsia="Arial" w:hAnsi="Arial"/>
                <w:sz w:val="16"/>
                <w:szCs w:val="16"/>
                <w:color w:val="auto"/>
              </w:rPr>
              <w:t>​</w:t>
            </w:r>
          </w:p>
        </w:tc>
        <w:tc>
          <w:tcPr>
            <w:tcW w:w="2200" w:type="dxa"/>
            <w:vAlign w:val="bottom"/>
            <w:vMerge w:val="restart"/>
          </w:tcPr>
          <w:p>
            <w:pPr>
              <w:ind w:left="80"/>
              <w:spacing w:after="0"/>
              <w:rPr>
                <w:sz w:val="20"/>
                <w:szCs w:val="20"/>
                <w:color w:val="auto"/>
              </w:rPr>
            </w:pPr>
            <w:r>
              <w:rPr>
                <w:rFonts w:ascii="Arial" w:cs="Arial" w:eastAsia="Arial" w:hAnsi="Arial"/>
                <w:sz w:val="25"/>
                <w:szCs w:val="25"/>
                <w:b w:val="1"/>
                <w:bCs w:val="1"/>
                <w:color w:val="FEFEFE"/>
              </w:rPr>
              <w:t>STEVE</w:t>
            </w:r>
          </w:p>
        </w:tc>
        <w:tc>
          <w:tcPr>
            <w:tcW w:w="940" w:type="dxa"/>
            <w:vAlign w:val="bottom"/>
            <w:vMerge w:val="restart"/>
          </w:tcPr>
          <w:p>
            <w:pPr>
              <w:ind w:left="440"/>
              <w:spacing w:after="0"/>
              <w:rPr>
                <w:sz w:val="20"/>
                <w:szCs w:val="20"/>
                <w:color w:val="auto"/>
              </w:rPr>
            </w:pPr>
            <w:r>
              <w:rPr>
                <w:rFonts w:ascii="Arial" w:cs="Arial" w:eastAsia="Arial" w:hAnsi="Arial"/>
                <w:sz w:val="25"/>
                <w:szCs w:val="25"/>
                <w:b w:val="1"/>
                <w:bCs w:val="1"/>
                <w:color w:val="FEFEFE"/>
              </w:rPr>
              <w:t>​   ​</w:t>
            </w:r>
          </w:p>
        </w:tc>
        <w:tc>
          <w:tcPr>
            <w:tcW w:w="0" w:type="dxa"/>
            <w:vAlign w:val="bottom"/>
          </w:tcPr>
          <w:p>
            <w:pPr>
              <w:spacing w:after="0"/>
              <w:rPr>
                <w:sz w:val="1"/>
                <w:szCs w:val="1"/>
                <w:color w:val="auto"/>
              </w:rPr>
            </w:pPr>
          </w:p>
        </w:tc>
      </w:tr>
      <w:tr>
        <w:trPr>
          <w:trHeight w:val="254"/>
        </w:trPr>
        <w:tc>
          <w:tcPr>
            <w:tcW w:w="360" w:type="dxa"/>
            <w:vAlign w:val="bottom"/>
          </w:tcPr>
          <w:p>
            <w:pPr>
              <w:ind w:left="220"/>
              <w:spacing w:after="0" w:line="254" w:lineRule="exact"/>
              <w:rPr>
                <w:sz w:val="20"/>
                <w:szCs w:val="20"/>
                <w:color w:val="auto"/>
              </w:rPr>
            </w:pPr>
            <w:r>
              <w:rPr>
                <w:rFonts w:ascii="Arial" w:cs="Arial" w:eastAsia="Arial" w:hAnsi="Arial"/>
                <w:sz w:val="25"/>
                <w:szCs w:val="25"/>
                <w:b w:val="1"/>
                <w:bCs w:val="1"/>
                <w:color w:val="FEFEFE"/>
              </w:rPr>
              <w:t>​</w:t>
            </w:r>
          </w:p>
        </w:tc>
        <w:tc>
          <w:tcPr>
            <w:tcW w:w="2200" w:type="dxa"/>
            <w:vAlign w:val="bottom"/>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360" w:type="dxa"/>
            <w:vAlign w:val="bottom"/>
          </w:tcPr>
          <w:p>
            <w:pPr>
              <w:spacing w:after="0"/>
              <w:rPr>
                <w:sz w:val="24"/>
                <w:szCs w:val="24"/>
                <w:color w:val="auto"/>
              </w:rPr>
            </w:pPr>
          </w:p>
        </w:tc>
        <w:tc>
          <w:tcPr>
            <w:tcW w:w="2200" w:type="dxa"/>
            <w:vAlign w:val="bottom"/>
          </w:tcPr>
          <w:p>
            <w:pPr>
              <w:ind w:left="80"/>
              <w:spacing w:after="0"/>
              <w:rPr>
                <w:sz w:val="20"/>
                <w:szCs w:val="20"/>
                <w:color w:val="auto"/>
              </w:rPr>
            </w:pPr>
            <w:r>
              <w:rPr>
                <w:rFonts w:ascii="Arial" w:cs="Arial" w:eastAsia="Arial" w:hAnsi="Arial"/>
                <w:sz w:val="25"/>
                <w:szCs w:val="25"/>
                <w:b w:val="1"/>
                <w:bCs w:val="1"/>
                <w:color w:val="FEFEFE"/>
              </w:rPr>
              <w:t>MCCAFFERY</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40" w:hanging="116"/>
        <w:spacing w:after="0"/>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b w:val="1"/>
          <w:bCs w:val="1"/>
          <w:color w:val="62259D"/>
        </w:rPr>
        <w:t>BACKGROUND</w:t>
      </w:r>
    </w:p>
    <w:p>
      <w:pPr>
        <w:spacing w:after="0" w:line="45"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b w:val="1"/>
          <w:bCs w:val="1"/>
          <w:color w:val="auto"/>
        </w:rPr>
        <w:t>Ribbon Communications Inc.</w:t>
      </w:r>
    </w:p>
    <w:p>
      <w:pPr>
        <w:spacing w:after="0" w:line="61" w:lineRule="exact"/>
        <w:rPr>
          <w:rFonts w:ascii="Arial" w:cs="Arial" w:eastAsia="Arial" w:hAnsi="Arial"/>
          <w:sz w:val="16"/>
          <w:szCs w:val="16"/>
          <w:color w:val="auto"/>
        </w:rPr>
      </w:pPr>
    </w:p>
    <w:p>
      <w:pPr>
        <w:ind w:left="500" w:right="220" w:hanging="168"/>
        <w:spacing w:after="0" w:line="259" w:lineRule="auto"/>
        <w:tabs>
          <w:tab w:leader="none" w:pos="500" w:val="left"/>
        </w:tabs>
        <w:numPr>
          <w:ilvl w:val="1"/>
          <w:numId w:val="100"/>
        </w:numPr>
        <w:rPr>
          <w:rFonts w:ascii="Arial" w:cs="Arial" w:eastAsia="Arial" w:hAnsi="Arial"/>
          <w:sz w:val="16"/>
          <w:szCs w:val="16"/>
          <w:color w:val="62259D"/>
        </w:rPr>
      </w:pPr>
      <w:r>
        <w:rPr>
          <w:rFonts w:ascii="Arial" w:cs="Arial" w:eastAsia="Arial" w:hAnsi="Arial"/>
          <w:sz w:val="16"/>
          <w:szCs w:val="16"/>
          <w:color w:val="auto"/>
        </w:rPr>
        <w:t>Executive Vice President, Global Sales (October 2025 to present)</w:t>
      </w:r>
    </w:p>
    <w:p>
      <w:pPr>
        <w:spacing w:after="0" w:line="34" w:lineRule="exact"/>
        <w:rPr>
          <w:rFonts w:ascii="Arial" w:cs="Arial" w:eastAsia="Arial" w:hAnsi="Arial"/>
          <w:sz w:val="16"/>
          <w:szCs w:val="16"/>
          <w:color w:val="62259D"/>
        </w:rPr>
      </w:pPr>
    </w:p>
    <w:p>
      <w:pPr>
        <w:ind w:left="500" w:right="40" w:hanging="168"/>
        <w:spacing w:after="0" w:line="236" w:lineRule="auto"/>
        <w:tabs>
          <w:tab w:leader="none" w:pos="500" w:val="left"/>
        </w:tabs>
        <w:numPr>
          <w:ilvl w:val="1"/>
          <w:numId w:val="100"/>
        </w:numPr>
        <w:rPr>
          <w:rFonts w:ascii="Arial" w:cs="Arial" w:eastAsia="Arial" w:hAnsi="Arial"/>
          <w:sz w:val="16"/>
          <w:szCs w:val="16"/>
          <w:color w:val="62259D"/>
        </w:rPr>
      </w:pPr>
      <w:r>
        <w:rPr>
          <w:rFonts w:ascii="Arial" w:cs="Arial" w:eastAsia="Arial" w:hAnsi="Arial"/>
          <w:sz w:val="16"/>
          <w:szCs w:val="16"/>
          <w:color w:val="auto"/>
        </w:rPr>
        <w:t>Executive Vice President, Sales — EMEA and APAC Regions (January 2021 to February 2023)</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Halo Technologies (an Amphenol</w:t>
      </w:r>
    </w:p>
    <w:p>
      <w:pPr>
        <w:spacing w:after="0" w:line="8" w:lineRule="exact"/>
        <w:rPr>
          <w:sz w:val="20"/>
          <w:szCs w:val="20"/>
          <w:color w:val="auto"/>
        </w:rPr>
      </w:pPr>
    </w:p>
    <w:p>
      <w:pPr>
        <w:ind w:left="340"/>
        <w:spacing w:after="0" w:line="231" w:lineRule="auto"/>
        <w:rPr>
          <w:sz w:val="20"/>
          <w:szCs w:val="20"/>
          <w:color w:val="auto"/>
        </w:rPr>
      </w:pPr>
      <w:r>
        <w:rPr>
          <w:rFonts w:ascii="Arial" w:cs="Arial" w:eastAsia="Arial" w:hAnsi="Arial"/>
          <w:sz w:val="16"/>
          <w:szCs w:val="16"/>
          <w:b w:val="1"/>
          <w:bCs w:val="1"/>
          <w:color w:val="auto"/>
        </w:rPr>
        <w:t>Company)</w:t>
      </w:r>
      <w:r>
        <w:rPr>
          <w:rFonts w:ascii="Arial" w:cs="Arial" w:eastAsia="Arial" w:hAnsi="Arial"/>
          <w:sz w:val="16"/>
          <w:szCs w:val="16"/>
          <w:color w:val="auto"/>
        </w:rPr>
        <w:t>, a leading provider of active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passive fiber optic interconnect components</w:t>
      </w:r>
    </w:p>
    <w:p>
      <w:pPr>
        <w:spacing w:after="0" w:line="50" w:lineRule="exact"/>
        <w:rPr>
          <w:sz w:val="20"/>
          <w:szCs w:val="20"/>
          <w:color w:val="auto"/>
        </w:rPr>
      </w:pPr>
    </w:p>
    <w:p>
      <w:pPr>
        <w:ind w:left="500" w:hanging="168"/>
        <w:spacing w:after="0" w:line="259" w:lineRule="auto"/>
        <w:tabs>
          <w:tab w:leader="none" w:pos="500" w:val="left"/>
        </w:tabs>
        <w:numPr>
          <w:ilvl w:val="0"/>
          <w:numId w:val="101"/>
        </w:numPr>
        <w:rPr>
          <w:rFonts w:ascii="Arial" w:cs="Arial" w:eastAsia="Arial" w:hAnsi="Arial"/>
          <w:sz w:val="16"/>
          <w:szCs w:val="16"/>
          <w:color w:val="62259D"/>
        </w:rPr>
      </w:pPr>
      <w:r>
        <w:rPr>
          <w:rFonts w:ascii="Arial" w:cs="Arial" w:eastAsia="Arial" w:hAnsi="Arial"/>
          <w:sz w:val="16"/>
          <w:szCs w:val="16"/>
          <w:color w:val="auto"/>
        </w:rPr>
        <w:t>Executive Vice President — International Operations (March 2023 to October 2025)</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Arial" w:cs="Arial" w:eastAsia="Arial" w:hAnsi="Arial"/>
          <w:sz w:val="13"/>
          <w:szCs w:val="13"/>
          <w:b w:val="1"/>
          <w:bCs w:val="1"/>
          <w:color w:val="FEFEFE"/>
        </w:rPr>
        <w:t>EXECUTIVE VICE PRESIDENT, GLOBAL</w:t>
      </w:r>
      <w:r>
        <w:rPr>
          <w:rFonts w:ascii="Arial" w:cs="Arial" w:eastAsia="Arial" w:hAnsi="Arial"/>
          <w:sz w:val="24"/>
          <w:szCs w:val="24"/>
          <w:b w:val="1"/>
          <w:bCs w:val="1"/>
          <w:color w:val="FEFEFE"/>
          <w:vertAlign w:val="subscript"/>
        </w:rPr>
        <w:t>SALES</w:t>
      </w:r>
      <w:r>
        <w:rPr>
          <w:rFonts w:ascii="Arial" w:cs="Arial" w:eastAsia="Arial" w:hAnsi="Arial"/>
          <w:sz w:val="13"/>
          <w:szCs w:val="13"/>
          <w:b w:val="1"/>
          <w:bCs w:val="1"/>
          <w:color w:val="FEFEFE"/>
        </w:rPr>
        <w:t xml:space="preserve"> </w:t>
      </w:r>
      <w:r>
        <w:rPr>
          <w:rFonts w:ascii="Arial" w:cs="Arial" w:eastAsia="Arial" w:hAnsi="Arial"/>
          <w:sz w:val="41"/>
          <w:szCs w:val="41"/>
          <w:b w:val="1"/>
          <w:bCs w:val="1"/>
          <w:color w:val="FEFEFE"/>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-2233295</wp:posOffset>
            </wp:positionH>
            <wp:positionV relativeFrom="paragraph">
              <wp:posOffset>-186055</wp:posOffset>
            </wp:positionV>
            <wp:extent cx="4594860" cy="436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94860" cy="43688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spacing w:after="0"/>
        <w:tabs>
          <w:tab w:leader="none" w:pos="3600" w:val="left"/>
        </w:tabs>
        <w:rPr>
          <w:sz w:val="20"/>
          <w:szCs w:val="20"/>
          <w:color w:val="auto"/>
        </w:rPr>
      </w:pPr>
      <w:r>
        <w:rPr>
          <w:rFonts w:ascii="Arial" w:cs="Arial" w:eastAsia="Arial" w:hAnsi="Arial"/>
          <w:sz w:val="16"/>
          <w:szCs w:val="16"/>
          <w:color w:val="auto"/>
        </w:rPr>
        <w:t xml:space="preserve">​ ​ </w:t>
      </w:r>
      <w:r>
        <w:rPr>
          <w:rFonts w:ascii="Arial" w:cs="Arial" w:eastAsia="Arial" w:hAnsi="Arial"/>
          <w:sz w:val="16"/>
          <w:szCs w:val="16"/>
          <w:b w:val="1"/>
          <w:bCs w:val="1"/>
          <w:color w:val="auto"/>
        </w:rPr>
        <w:t>ARRIS International plc</w:t>
      </w:r>
      <w:r>
        <w:rPr>
          <w:rFonts w:ascii="Arial" w:cs="Arial" w:eastAsia="Arial" w:hAnsi="Arial"/>
          <w:sz w:val="16"/>
          <w:szCs w:val="16"/>
          <w:color w:val="auto"/>
        </w:rPr>
        <w:t>, a global</w:t>
      </w:r>
      <w:r>
        <w:rPr>
          <w:sz w:val="20"/>
          <w:szCs w:val="20"/>
          <w:color w:val="auto"/>
        </w:rPr>
        <w:tab/>
      </w:r>
      <w:r>
        <w:rPr>
          <w:rFonts w:ascii="Arial" w:cs="Arial" w:eastAsia="Arial" w:hAnsi="Arial"/>
          <w:sz w:val="16"/>
          <w:szCs w:val="16"/>
          <w:color w:val="auto"/>
        </w:rPr>
        <w:t>​</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communications solutions company</w:t>
      </w:r>
    </w:p>
    <w:p>
      <w:pPr>
        <w:spacing w:after="0" w:line="59" w:lineRule="exact"/>
        <w:rPr>
          <w:sz w:val="20"/>
          <w:szCs w:val="20"/>
          <w:color w:val="auto"/>
        </w:rPr>
      </w:pPr>
    </w:p>
    <w:p>
      <w:pPr>
        <w:ind w:left="360" w:right="399" w:hanging="150"/>
        <w:spacing w:after="0" w:line="259" w:lineRule="auto"/>
        <w:tabs>
          <w:tab w:leader="none" w:pos="360" w:val="left"/>
        </w:tabs>
        <w:numPr>
          <w:ilvl w:val="0"/>
          <w:numId w:val="102"/>
        </w:numPr>
        <w:rPr>
          <w:rFonts w:ascii="Arial" w:cs="Arial" w:eastAsia="Arial" w:hAnsi="Arial"/>
          <w:sz w:val="16"/>
          <w:szCs w:val="16"/>
          <w:color w:val="62259D"/>
        </w:rPr>
      </w:pPr>
      <w:r>
        <w:rPr>
          <w:rFonts w:ascii="Arial" w:cs="Arial" w:eastAsia="Arial" w:hAnsi="Arial"/>
          <w:sz w:val="16"/>
          <w:szCs w:val="16"/>
          <w:color w:val="auto"/>
        </w:rPr>
        <w:t>Director of international business (2013 to 2019)</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62259D"/>
        </w:rPr>
        <w:t>EDUCATION</w:t>
      </w:r>
    </w:p>
    <w:p>
      <w:pPr>
        <w:spacing w:after="0" w:line="61" w:lineRule="exact"/>
        <w:rPr>
          <w:sz w:val="20"/>
          <w:szCs w:val="20"/>
          <w:color w:val="auto"/>
        </w:rPr>
      </w:pPr>
    </w:p>
    <w:p>
      <w:pPr>
        <w:ind w:left="360" w:hanging="150"/>
        <w:spacing w:after="0"/>
        <w:tabs>
          <w:tab w:leader="none" w:pos="360" w:val="left"/>
        </w:tabs>
        <w:numPr>
          <w:ilvl w:val="0"/>
          <w:numId w:val="103"/>
        </w:numPr>
        <w:rPr>
          <w:rFonts w:ascii="Arial" w:cs="Arial" w:eastAsia="Arial" w:hAnsi="Arial"/>
          <w:sz w:val="16"/>
          <w:szCs w:val="16"/>
          <w:color w:val="62259D"/>
        </w:rPr>
      </w:pPr>
      <w:r>
        <w:rPr>
          <w:rFonts w:ascii="Arial" w:cs="Arial" w:eastAsia="Arial" w:hAnsi="Arial"/>
          <w:sz w:val="16"/>
          <w:szCs w:val="16"/>
          <w:color w:val="auto"/>
        </w:rPr>
        <w:t>B.A., with honors, University of Warwick</w:t>
      </w:r>
    </w:p>
    <w:p>
      <w:pPr>
        <w:spacing w:after="0" w:line="1412" w:lineRule="exact"/>
        <w:rPr>
          <w:sz w:val="20"/>
          <w:szCs w:val="20"/>
          <w:color w:val="auto"/>
        </w:rPr>
      </w:pPr>
    </w:p>
    <w:p>
      <w:pPr>
        <w:sectPr>
          <w:pgSz w:w="11900" w:h="16838" w:orient="portrait"/>
          <w:cols w:equalWidth="0" w:num="3">
            <w:col w:w="1640" w:space="680"/>
            <w:col w:w="3540" w:space="200"/>
            <w:col w:w="3819"/>
          </w:cols>
          <w:pgMar w:left="580" w:top="97" w:right="1440" w:bottom="1440" w:gutter="0" w:footer="0" w:header="0"/>
          <w:type w:val="continuous"/>
        </w:sectPr>
      </w:pPr>
    </w:p>
    <w:p>
      <w:pPr>
        <w:spacing w:after="0" w:line="114" w:lineRule="exact"/>
        <w:rPr>
          <w:sz w:val="20"/>
          <w:szCs w:val="20"/>
          <w:color w:val="auto"/>
        </w:rPr>
      </w:pPr>
    </w:p>
    <w:p>
      <w:pPr>
        <w:ind w:left="92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-4445</wp:posOffset>
            </wp:positionV>
            <wp:extent cx="562356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tbl>
      <w:tblPr>
        <w:tblLayout w:type="fixed"/>
        <w:tblInd w:w="920" w:type="dxa"/>
        <w:tblCellMar>
          <w:top w:w="0" w:type="dxa"/>
          <w:left w:w="0" w:type="dxa"/>
          <w:bottom w:w="0" w:type="dxa"/>
          <w:right w:w="0" w:type="dxa"/>
        </w:tblCellMar>
      </w:tblPr>
      <w:tr>
        <w:trPr>
          <w:trHeight w:val="496"/>
        </w:trPr>
        <w:tc>
          <w:tcPr>
            <w:tcW w:w="8860" w:type="dxa"/>
            <w:vAlign w:val="bottom"/>
            <w:gridSpan w:val="2"/>
          </w:tcPr>
          <w:p>
            <w:pPr>
              <w:spacing w:after="0"/>
              <w:rPr>
                <w:sz w:val="20"/>
                <w:szCs w:val="20"/>
                <w:color w:val="auto"/>
              </w:rPr>
            </w:pPr>
            <w:r>
              <w:rPr>
                <w:rFonts w:ascii="Arial" w:cs="Arial" w:eastAsia="Arial" w:hAnsi="Arial"/>
                <w:sz w:val="36"/>
                <w:szCs w:val="36"/>
                <w:b w:val="1"/>
                <w:bCs w:val="1"/>
                <w:color w:val="E7417A"/>
              </w:rPr>
              <w:t>EXECUTIVE COMPENSATION</w:t>
            </w:r>
          </w:p>
        </w:tc>
        <w:tc>
          <w:tcPr>
            <w:tcW w:w="100" w:type="dxa"/>
            <w:vAlign w:val="bottom"/>
          </w:tcPr>
          <w:p>
            <w:pPr>
              <w:spacing w:after="0"/>
              <w:rPr>
                <w:sz w:val="24"/>
                <w:szCs w:val="24"/>
                <w:color w:val="auto"/>
              </w:rPr>
            </w:pPr>
          </w:p>
        </w:tc>
      </w:tr>
      <w:tr>
        <w:trPr>
          <w:trHeight w:val="136"/>
        </w:trPr>
        <w:tc>
          <w:tcPr>
            <w:tcW w:w="940" w:type="dxa"/>
            <w:vAlign w:val="bottom"/>
          </w:tcPr>
          <w:p>
            <w:pPr>
              <w:spacing w:after="0"/>
              <w:rPr>
                <w:sz w:val="11"/>
                <w:szCs w:val="11"/>
                <w:color w:val="auto"/>
              </w:rPr>
            </w:pPr>
          </w:p>
        </w:tc>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471"/>
        </w:trPr>
        <w:tc>
          <w:tcPr>
            <w:tcW w:w="940" w:type="dxa"/>
            <w:vAlign w:val="bottom"/>
            <w:shd w:val="clear" w:color="auto" w:fill="62259D"/>
          </w:tcPr>
          <w:p>
            <w:pPr>
              <w:spacing w:after="0" w:line="469" w:lineRule="exact"/>
              <w:rPr>
                <w:sz w:val="20"/>
                <w:szCs w:val="20"/>
                <w:color w:val="auto"/>
              </w:rPr>
            </w:pPr>
            <w:r>
              <w:rPr>
                <w:rFonts w:ascii="Arial" w:cs="Arial" w:eastAsia="Arial" w:hAnsi="Arial"/>
                <w:sz w:val="54"/>
                <w:szCs w:val="54"/>
                <w:b w:val="1"/>
                <w:bCs w:val="1"/>
                <w:color w:val="FEFEFE"/>
                <w:vertAlign w:val="superscript"/>
              </w:rPr>
              <w:t>​</w:t>
            </w:r>
            <w:r>
              <w:rPr>
                <w:rFonts w:ascii="Arial" w:cs="Arial" w:eastAsia="Arial" w:hAnsi="Arial"/>
                <w:sz w:val="37"/>
                <w:szCs w:val="37"/>
                <w:b w:val="1"/>
                <w:bCs w:val="1"/>
                <w:color w:val="FEFEFE"/>
              </w:rPr>
              <w:t xml:space="preserve"> 3</w:t>
            </w:r>
          </w:p>
        </w:tc>
        <w:tc>
          <w:tcPr>
            <w:tcW w:w="7920" w:type="dxa"/>
            <w:vAlign w:val="bottom"/>
          </w:tcPr>
          <w:p>
            <w:pPr>
              <w:spacing w:after="0" w:line="469" w:lineRule="exact"/>
              <w:rPr>
                <w:sz w:val="20"/>
                <w:szCs w:val="20"/>
                <w:color w:val="auto"/>
              </w:rPr>
            </w:pPr>
            <w:r>
              <w:rPr>
                <w:rFonts w:ascii="Arial" w:cs="Arial" w:eastAsia="Arial" w:hAnsi="Arial"/>
                <w:sz w:val="54"/>
                <w:szCs w:val="54"/>
                <w:b w:val="1"/>
                <w:bCs w:val="1"/>
                <w:color w:val="FEFEFE"/>
                <w:vertAlign w:val="superscript"/>
              </w:rPr>
              <w:t>​​</w:t>
            </w:r>
            <w:r>
              <w:rPr>
                <w:rFonts w:ascii="Arial" w:cs="Arial" w:eastAsia="Arial" w:hAnsi="Arial"/>
                <w:sz w:val="30"/>
                <w:szCs w:val="30"/>
                <w:b w:val="1"/>
                <w:bCs w:val="1"/>
                <w:color w:val="FEFEFE"/>
              </w:rPr>
              <w:t xml:space="preserve"> Proposal 3 — Approval, on a Non-</w:t>
            </w:r>
          </w:p>
        </w:tc>
        <w:tc>
          <w:tcPr>
            <w:tcW w:w="100" w:type="dxa"/>
            <w:vAlign w:val="bottom"/>
          </w:tcPr>
          <w:p>
            <w:pPr>
              <w:spacing w:after="0"/>
              <w:rPr>
                <w:sz w:val="20"/>
                <w:szCs w:val="20"/>
                <w:color w:val="auto"/>
              </w:rPr>
            </w:pPr>
            <w:r>
              <w:rPr>
                <w:rFonts w:ascii="Arial" w:cs="Arial" w:eastAsia="Arial" w:hAnsi="Arial"/>
                <w:sz w:val="36"/>
                <w:szCs w:val="36"/>
                <w:b w:val="1"/>
                <w:bCs w:val="1"/>
                <w:color w:val="FEFEFE"/>
              </w:rPr>
              <w:t>​</w:t>
            </w:r>
          </w:p>
        </w:tc>
      </w:tr>
      <w:tr>
        <w:trPr>
          <w:trHeight w:val="356"/>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line="356" w:lineRule="exact"/>
              <w:rPr>
                <w:sz w:val="20"/>
                <w:szCs w:val="20"/>
                <w:color w:val="auto"/>
              </w:rPr>
            </w:pPr>
            <w:r>
              <w:rPr>
                <w:rFonts w:ascii="Arial" w:cs="Arial" w:eastAsia="Arial" w:hAnsi="Arial"/>
                <w:sz w:val="36"/>
                <w:szCs w:val="36"/>
                <w:b w:val="1"/>
                <w:bCs w:val="1"/>
                <w:color w:val="FEFEFE"/>
              </w:rPr>
              <w:t>Binding, Advisory Basis, of the</w:t>
            </w:r>
          </w:p>
        </w:tc>
        <w:tc>
          <w:tcPr>
            <w:tcW w:w="100" w:type="dxa"/>
            <w:vAlign w:val="bottom"/>
          </w:tcPr>
          <w:p>
            <w:pPr>
              <w:spacing w:after="0"/>
              <w:rPr>
                <w:sz w:val="24"/>
                <w:szCs w:val="24"/>
                <w:color w:val="auto"/>
              </w:rPr>
            </w:pPr>
          </w:p>
        </w:tc>
      </w:tr>
      <w:tr>
        <w:trPr>
          <w:trHeight w:val="405"/>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line="404" w:lineRule="exact"/>
              <w:rPr>
                <w:sz w:val="20"/>
                <w:szCs w:val="20"/>
                <w:color w:val="auto"/>
              </w:rPr>
            </w:pPr>
            <w:r>
              <w:rPr>
                <w:rFonts w:ascii="Arial" w:cs="Arial" w:eastAsia="Arial" w:hAnsi="Arial"/>
                <w:sz w:val="36"/>
                <w:szCs w:val="36"/>
                <w:b w:val="1"/>
                <w:bCs w:val="1"/>
                <w:color w:val="FEFEFE"/>
              </w:rPr>
              <w:t>Compensation of Our Named Executive</w:t>
            </w:r>
          </w:p>
        </w:tc>
        <w:tc>
          <w:tcPr>
            <w:tcW w:w="100" w:type="dxa"/>
            <w:vAlign w:val="bottom"/>
          </w:tcPr>
          <w:p>
            <w:pPr>
              <w:spacing w:after="0"/>
              <w:rPr>
                <w:sz w:val="24"/>
                <w:szCs w:val="24"/>
                <w:color w:val="auto"/>
              </w:rPr>
            </w:pPr>
          </w:p>
        </w:tc>
      </w:tr>
      <w:tr>
        <w:trPr>
          <w:trHeight w:val="443"/>
        </w:trPr>
        <w:tc>
          <w:tcPr>
            <w:tcW w:w="940" w:type="dxa"/>
            <w:vAlign w:val="bottom"/>
            <w:shd w:val="clear" w:color="auto" w:fill="62259D"/>
          </w:tcPr>
          <w:p>
            <w:pPr>
              <w:spacing w:after="0"/>
              <w:rPr>
                <w:sz w:val="24"/>
                <w:szCs w:val="24"/>
                <w:color w:val="auto"/>
              </w:rPr>
            </w:pPr>
          </w:p>
        </w:tc>
        <w:tc>
          <w:tcPr>
            <w:tcW w:w="7920" w:type="dxa"/>
            <w:vAlign w:val="bottom"/>
          </w:tcPr>
          <w:p>
            <w:pPr>
              <w:ind w:left="300"/>
              <w:spacing w:after="0"/>
              <w:rPr>
                <w:sz w:val="20"/>
                <w:szCs w:val="20"/>
                <w:color w:val="auto"/>
              </w:rPr>
            </w:pPr>
            <w:r>
              <w:rPr>
                <w:rFonts w:ascii="Arial" w:cs="Arial" w:eastAsia="Arial" w:hAnsi="Arial"/>
                <w:sz w:val="36"/>
                <w:szCs w:val="36"/>
                <w:b w:val="1"/>
                <w:bCs w:val="1"/>
                <w:color w:val="FEFEFE"/>
              </w:rPr>
              <w:t>Officers</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-1062355</wp:posOffset>
            </wp:positionV>
            <wp:extent cx="5031740" cy="1071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31740" cy="1071880"/>
                    </a:xfrm>
                    <a:prstGeom prst="rect">
                      <a:avLst/>
                    </a:prstGeom>
                    <a:noFill/>
                  </pic:spPr>
                </pic:pic>
              </a:graphicData>
            </a:graphic>
          </wp:anchor>
        </w:drawing>
      </w:r>
    </w:p>
    <w:p>
      <w:pPr>
        <w:spacing w:after="0" w:line="218" w:lineRule="exact"/>
        <w:rPr>
          <w:sz w:val="20"/>
          <w:szCs w:val="20"/>
          <w:color w:val="auto"/>
        </w:rPr>
      </w:pPr>
    </w:p>
    <w:p>
      <w:pPr>
        <w:ind w:left="920" w:right="300"/>
        <w:spacing w:after="0" w:line="248" w:lineRule="auto"/>
        <w:rPr>
          <w:sz w:val="20"/>
          <w:szCs w:val="20"/>
          <w:color w:val="auto"/>
        </w:rPr>
      </w:pPr>
      <w:r>
        <w:rPr>
          <w:rFonts w:ascii="Arial" w:cs="Arial" w:eastAsia="Arial" w:hAnsi="Arial"/>
          <w:sz w:val="18"/>
          <w:szCs w:val="18"/>
          <w:color w:val="auto"/>
        </w:rPr>
        <w:t>The Board is dedicated to excellence in governance and is mindful of the interests our stockholders have in our executive compensation program. As part of that commitment as required by Section 14A of the Exchange Act, our stockholders are being asked to approve a non-binding advisory resolution on the compensation of our named executive officers. This proposal, which is typically called the “</w:t>
      </w:r>
      <w:r>
        <w:rPr>
          <w:rFonts w:ascii="Arial" w:cs="Arial" w:eastAsia="Arial" w:hAnsi="Arial"/>
          <w:sz w:val="18"/>
          <w:szCs w:val="18"/>
          <w:i w:val="1"/>
          <w:iCs w:val="1"/>
          <w:color w:val="auto"/>
        </w:rPr>
        <w:t>Say-on-Pay</w:t>
      </w:r>
      <w:r>
        <w:rPr>
          <w:rFonts w:ascii="Arial" w:cs="Arial" w:eastAsia="Arial" w:hAnsi="Arial"/>
          <w:sz w:val="18"/>
          <w:szCs w:val="18"/>
          <w:color w:val="auto"/>
        </w:rPr>
        <w:t>” proposal, offers stockholders the opportunity to express their opinions on our 2025 executive compensation program and policies for our named executive officers through the following resolution:</w:t>
      </w:r>
    </w:p>
    <w:p>
      <w:pPr>
        <w:spacing w:after="0" w:line="107" w:lineRule="exact"/>
        <w:rPr>
          <w:sz w:val="20"/>
          <w:szCs w:val="20"/>
          <w:color w:val="auto"/>
        </w:rPr>
      </w:pPr>
    </w:p>
    <w:p>
      <w:pPr>
        <w:ind w:left="1280" w:right="300"/>
        <w:spacing w:after="0" w:line="24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stockholders of Ribbon Communications Inc. (the “</w:t>
      </w:r>
      <w:r>
        <w:rPr>
          <w:rFonts w:ascii="Arial" w:cs="Arial" w:eastAsia="Arial" w:hAnsi="Arial"/>
          <w:sz w:val="18"/>
          <w:szCs w:val="18"/>
          <w:i w:val="1"/>
          <w:iCs w:val="1"/>
          <w:color w:val="auto"/>
        </w:rPr>
        <w:t>Company</w:t>
      </w:r>
      <w:r>
        <w:rPr>
          <w:rFonts w:ascii="Arial" w:cs="Arial" w:eastAsia="Arial" w:hAnsi="Arial"/>
          <w:sz w:val="18"/>
          <w:szCs w:val="18"/>
          <w:color w:val="auto"/>
        </w:rPr>
        <w:t>”) approve, on an advisory basis, the compensation paid to the Company’s named executive officers as disclosed pursuant to the compensation disclosure rules of the U.S. Securities and Exchange Commission, including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and the accompanying compensation tables and the related narratives in the Proxy Statement for the Company’s 2026 Annual Meeting of stockholders.”</w:t>
      </w:r>
    </w:p>
    <w:p>
      <w:pPr>
        <w:spacing w:after="0" w:line="107" w:lineRule="exact"/>
        <w:rPr>
          <w:sz w:val="20"/>
          <w:szCs w:val="20"/>
          <w:color w:val="auto"/>
        </w:rPr>
      </w:pPr>
    </w:p>
    <w:p>
      <w:pPr>
        <w:ind w:left="920" w:right="200"/>
        <w:spacing w:after="0" w:line="243" w:lineRule="auto"/>
        <w:rPr>
          <w:sz w:val="20"/>
          <w:szCs w:val="20"/>
          <w:color w:val="auto"/>
        </w:rPr>
      </w:pPr>
      <w:r>
        <w:rPr>
          <w:rFonts w:ascii="Arial" w:cs="Arial" w:eastAsia="Arial" w:hAnsi="Arial"/>
          <w:sz w:val="18"/>
          <w:szCs w:val="18"/>
          <w:color w:val="auto"/>
        </w:rPr>
        <w:t>This vote is not intended to address any specific element of compensation, but rather the overall compensation policies and practices relating to the named executive officers. Even though the outcome of this advisory vote on the compensation of our named executive officers is non-binding, the Board and its Compensation Committee will, as they have done in prior years, consider the outcome of this vote when making future compensation arrangements. The outcome of this advisory vote does not overrule any decision by the Company or the Board (or any committee thereof), create or imply any change to the fiduciary duties of the Company or the Board (or any committee thereof), or create or imply any additional fiduciary duties for the Company or the Board (or any committees thereof). At the annual meeting held in 2025, stockholders cast 98.7% of the votes “for” this proposal at that meeting.</w:t>
      </w:r>
    </w:p>
    <w:p>
      <w:pPr>
        <w:spacing w:after="0" w:line="112" w:lineRule="exact"/>
        <w:rPr>
          <w:sz w:val="20"/>
          <w:szCs w:val="20"/>
          <w:color w:val="auto"/>
        </w:rPr>
      </w:pPr>
    </w:p>
    <w:p>
      <w:pPr>
        <w:ind w:left="920" w:right="140"/>
        <w:spacing w:after="0" w:line="252" w:lineRule="auto"/>
        <w:rPr>
          <w:sz w:val="20"/>
          <w:szCs w:val="20"/>
          <w:color w:val="auto"/>
        </w:rPr>
      </w:pPr>
      <w:r>
        <w:rPr>
          <w:rFonts w:ascii="Arial" w:cs="Arial" w:eastAsia="Arial" w:hAnsi="Arial"/>
          <w:sz w:val="18"/>
          <w:szCs w:val="18"/>
          <w:color w:val="auto"/>
        </w:rPr>
        <w:t>We believe that for the reasons summarized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 we have a compensation program deserving of stockholder support. Unless the Board modifies its policy regarding the frequency of holding “say on pay” advisory votes, such votes will take place every year and the next such vote will occur at the 2026 Annual Meeting.</w:t>
      </w:r>
    </w:p>
    <w:p>
      <w:pPr>
        <w:spacing w:after="0" w:line="126" w:lineRule="exact"/>
        <w:rPr>
          <w:sz w:val="20"/>
          <w:szCs w:val="20"/>
          <w:color w:val="auto"/>
        </w:rPr>
      </w:pPr>
    </w:p>
    <w:p>
      <w:pPr>
        <w:ind w:left="1120"/>
        <w:spacing w:after="0"/>
        <w:rPr>
          <w:sz w:val="20"/>
          <w:szCs w:val="20"/>
          <w:color w:val="auto"/>
        </w:rPr>
      </w:pPr>
      <w:r>
        <w:rPr>
          <w:rFonts w:ascii="Arial" w:cs="Arial" w:eastAsia="Arial" w:hAnsi="Arial"/>
          <w:sz w:val="16"/>
          <w:szCs w:val="16"/>
          <w:color w:val="FEFEFE"/>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-101600</wp:posOffset>
            </wp:positionV>
            <wp:extent cx="5623560" cy="6172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23560" cy="617220"/>
                    </a:xfrm>
                    <a:prstGeom prst="rect">
                      <a:avLst/>
                    </a:prstGeom>
                    <a:noFill/>
                  </pic:spPr>
                </pic:pic>
              </a:graphicData>
            </a:graphic>
          </wp:anchor>
        </w:drawing>
      </w:r>
    </w:p>
    <w:p>
      <w:pPr>
        <w:ind w:left="2540"/>
        <w:spacing w:after="0" w:line="214" w:lineRule="auto"/>
        <w:rPr>
          <w:sz w:val="20"/>
          <w:szCs w:val="20"/>
          <w:color w:val="auto"/>
        </w:rPr>
      </w:pPr>
      <w:r>
        <w:rPr>
          <w:rFonts w:ascii="Arial" w:cs="Arial" w:eastAsia="Arial" w:hAnsi="Arial"/>
          <w:sz w:val="18"/>
          <w:szCs w:val="18"/>
          <w:color w:val="FEFEFE"/>
        </w:rPr>
        <w:t xml:space="preserve">The Board recommends that stockholders vote </w:t>
      </w:r>
      <w:r>
        <w:rPr>
          <w:rFonts w:ascii="Arial" w:cs="Arial" w:eastAsia="Arial" w:hAnsi="Arial"/>
          <w:sz w:val="18"/>
          <w:szCs w:val="18"/>
          <w:b w:val="1"/>
          <w:bCs w:val="1"/>
          <w:color w:val="FEFEFE"/>
        </w:rPr>
        <w:t>FOR</w:t>
      </w:r>
      <w:r>
        <w:rPr>
          <w:rFonts w:ascii="Arial" w:cs="Arial" w:eastAsia="Arial" w:hAnsi="Arial"/>
          <w:sz w:val="18"/>
          <w:szCs w:val="18"/>
          <w:color w:val="FEFEFE"/>
        </w:rPr>
        <w:t xml:space="preserve"> the approval, on a</w:t>
      </w:r>
    </w:p>
    <w:tbl>
      <w:tblPr>
        <w:tblLayout w:type="fixed"/>
        <w:tblInd w:w="920" w:type="dxa"/>
        <w:tblCellMar>
          <w:top w:w="0" w:type="dxa"/>
          <w:left w:w="0" w:type="dxa"/>
          <w:bottom w:w="0" w:type="dxa"/>
          <w:right w:w="0" w:type="dxa"/>
        </w:tblCellMar>
      </w:tblPr>
      <w:tr>
        <w:trPr>
          <w:trHeight w:val="18"/>
        </w:trPr>
        <w:tc>
          <w:tcPr>
            <w:tcW w:w="280" w:type="dxa"/>
            <w:vAlign w:val="bottom"/>
            <w:vMerge w:val="restart"/>
          </w:tcPr>
          <w:p>
            <w:pPr>
              <w:spacing w:after="0" w:line="195" w:lineRule="exact"/>
              <w:rPr>
                <w:sz w:val="20"/>
                <w:szCs w:val="20"/>
                <w:color w:val="auto"/>
              </w:rPr>
            </w:pPr>
            <w:r>
              <w:rPr>
                <w:rFonts w:ascii="Arial" w:cs="Arial" w:eastAsia="Arial" w:hAnsi="Arial"/>
                <w:sz w:val="18"/>
                <w:szCs w:val="18"/>
                <w:color w:val="FEFEFE"/>
              </w:rPr>
              <w:t>​</w:t>
            </w:r>
          </w:p>
        </w:tc>
        <w:tc>
          <w:tcPr>
            <w:tcW w:w="1220" w:type="dxa"/>
            <w:vAlign w:val="bottom"/>
          </w:tcPr>
          <w:p>
            <w:pPr>
              <w:ind w:left="240"/>
              <w:spacing w:after="0" w:line="18" w:lineRule="exact"/>
              <w:rPr>
                <w:sz w:val="20"/>
                <w:szCs w:val="20"/>
                <w:color w:val="auto"/>
              </w:rPr>
            </w:pPr>
            <w:r>
              <w:rPr>
                <w:rFonts w:ascii="Arial" w:cs="Arial" w:eastAsia="Arial" w:hAnsi="Arial"/>
                <w:sz w:val="2"/>
                <w:szCs w:val="2"/>
                <w:b w:val="1"/>
                <w:bCs w:val="1"/>
                <w:color w:val="FEFEFE"/>
              </w:rPr>
              <w:t>3</w:t>
            </w:r>
            <w:r>
              <w:rPr>
                <w:rFonts w:ascii="Arial" w:cs="Arial" w:eastAsia="Arial" w:hAnsi="Arial"/>
                <w:sz w:val="1"/>
                <w:szCs w:val="1"/>
                <w:color w:val="FEFEFE"/>
              </w:rPr>
              <w:t>​</w:t>
            </w:r>
          </w:p>
        </w:tc>
        <w:tc>
          <w:tcPr>
            <w:tcW w:w="5740" w:type="dxa"/>
            <w:vAlign w:val="bottom"/>
            <w:vMerge w:val="restart"/>
          </w:tcPr>
          <w:p>
            <w:pPr>
              <w:ind w:left="120"/>
              <w:spacing w:after="0" w:line="195" w:lineRule="exact"/>
              <w:rPr>
                <w:sz w:val="20"/>
                <w:szCs w:val="20"/>
                <w:color w:val="auto"/>
              </w:rPr>
            </w:pPr>
            <w:r>
              <w:rPr>
                <w:rFonts w:ascii="Arial" w:cs="Arial" w:eastAsia="Arial" w:hAnsi="Arial"/>
                <w:sz w:val="18"/>
                <w:szCs w:val="18"/>
                <w:color w:val="FEFEFE"/>
              </w:rPr>
              <w:t>non-binding, advisory basis, of the compensation of our named</w:t>
            </w:r>
          </w:p>
        </w:tc>
        <w:tc>
          <w:tcPr>
            <w:tcW w:w="1040" w:type="dxa"/>
            <w:vAlign w:val="bottom"/>
            <w:vMerge w:val="restart"/>
          </w:tcPr>
          <w:p>
            <w:pPr>
              <w:ind w:left="400"/>
              <w:spacing w:after="0" w:line="195" w:lineRule="exact"/>
              <w:rPr>
                <w:sz w:val="20"/>
                <w:szCs w:val="20"/>
                <w:color w:val="auto"/>
              </w:rPr>
            </w:pPr>
            <w:r>
              <w:rPr>
                <w:rFonts w:ascii="Arial" w:cs="Arial" w:eastAsia="Arial" w:hAnsi="Arial"/>
                <w:sz w:val="18"/>
                <w:szCs w:val="18"/>
                <w:color w:val="FEFEFE"/>
              </w:rPr>
              <w:t>​</w:t>
            </w:r>
          </w:p>
        </w:tc>
        <w:tc>
          <w:tcPr>
            <w:tcW w:w="640" w:type="dxa"/>
            <w:vAlign w:val="bottom"/>
            <w:vMerge w:val="restart"/>
          </w:tcPr>
          <w:p>
            <w:pPr>
              <w:ind w:left="580"/>
              <w:spacing w:after="0" w:line="195" w:lineRule="exact"/>
              <w:rPr>
                <w:sz w:val="20"/>
                <w:szCs w:val="20"/>
                <w:color w:val="auto"/>
              </w:rPr>
            </w:pPr>
            <w:r>
              <w:rPr>
                <w:rFonts w:ascii="Arial" w:cs="Arial" w:eastAsia="Arial" w:hAnsi="Arial"/>
                <w:sz w:val="18"/>
                <w:szCs w:val="18"/>
                <w:color w:val="FEFEFE"/>
              </w:rPr>
              <w:t>​</w:t>
            </w:r>
          </w:p>
        </w:tc>
        <w:tc>
          <w:tcPr>
            <w:tcW w:w="0" w:type="dxa"/>
            <w:vAlign w:val="bottom"/>
          </w:tcPr>
          <w:p>
            <w:pPr>
              <w:spacing w:after="0" w:line="20" w:lineRule="exact"/>
              <w:rPr>
                <w:sz w:val="1"/>
                <w:szCs w:val="1"/>
                <w:color w:val="auto"/>
              </w:rPr>
            </w:pPr>
          </w:p>
        </w:tc>
      </w:tr>
      <w:tr>
        <w:trPr>
          <w:trHeight w:val="176"/>
        </w:trPr>
        <w:tc>
          <w:tcPr>
            <w:tcW w:w="280" w:type="dxa"/>
            <w:vAlign w:val="bottom"/>
            <w:vMerge w:val="continue"/>
          </w:tcPr>
          <w:p>
            <w:pPr>
              <w:spacing w:after="0"/>
              <w:rPr>
                <w:sz w:val="15"/>
                <w:szCs w:val="15"/>
                <w:color w:val="auto"/>
              </w:rPr>
            </w:pPr>
          </w:p>
        </w:tc>
        <w:tc>
          <w:tcPr>
            <w:tcW w:w="1220" w:type="dxa"/>
            <w:vAlign w:val="bottom"/>
          </w:tcPr>
          <w:p>
            <w:pPr>
              <w:ind w:left="1040"/>
              <w:spacing w:after="0" w:line="176" w:lineRule="exact"/>
              <w:rPr>
                <w:sz w:val="20"/>
                <w:szCs w:val="20"/>
                <w:color w:val="auto"/>
              </w:rPr>
            </w:pPr>
            <w:r>
              <w:rPr>
                <w:rFonts w:ascii="Arial" w:cs="Arial" w:eastAsia="Arial" w:hAnsi="Arial"/>
                <w:sz w:val="18"/>
                <w:szCs w:val="18"/>
                <w:color w:val="FEFEFE"/>
              </w:rPr>
              <w:t>​​</w:t>
            </w:r>
          </w:p>
        </w:tc>
        <w:tc>
          <w:tcPr>
            <w:tcW w:w="57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740" w:type="dxa"/>
            <w:vAlign w:val="bottom"/>
          </w:tcPr>
          <w:p>
            <w:pPr>
              <w:ind w:left="120"/>
              <w:spacing w:after="0"/>
              <w:rPr>
                <w:sz w:val="20"/>
                <w:szCs w:val="20"/>
                <w:color w:val="auto"/>
              </w:rPr>
            </w:pPr>
            <w:r>
              <w:rPr>
                <w:rFonts w:ascii="Arial" w:cs="Arial" w:eastAsia="Arial" w:hAnsi="Arial"/>
                <w:sz w:val="18"/>
                <w:szCs w:val="18"/>
                <w:color w:val="FEFEFE"/>
              </w:rPr>
              <w:t>executive officers.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80"/>
          </w:cols>
          <w:pgMar w:left="580" w:top="97"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Compensation Discussion and Analysis</w:t>
      </w:r>
    </w:p>
    <w:p>
      <w:pPr>
        <w:spacing w:after="0" w:line="160" w:lineRule="exact"/>
        <w:rPr>
          <w:sz w:val="20"/>
          <w:szCs w:val="20"/>
          <w:color w:val="auto"/>
        </w:rPr>
      </w:pPr>
    </w:p>
    <w:p>
      <w:pPr>
        <w:ind w:left="920" w:right="159"/>
        <w:spacing w:after="0" w:line="251" w:lineRule="auto"/>
        <w:rPr>
          <w:sz w:val="20"/>
          <w:szCs w:val="20"/>
          <w:color w:val="auto"/>
        </w:rPr>
      </w:pPr>
      <w:r>
        <w:rPr>
          <w:rFonts w:ascii="Arial" w:cs="Arial" w:eastAsia="Arial" w:hAnsi="Arial"/>
          <w:sz w:val="18"/>
          <w:szCs w:val="18"/>
          <w:i w:val="1"/>
          <w:iCs w:val="1"/>
          <w:color w:val="auto"/>
        </w:rPr>
        <w:t>The following discussion and analysis contain statements regarding performance targets and goals of the Company. These targets and goals are discussed in the limited context of our compensation programs and should not be understood to be statements of management’s expectations or estimates of results or other guidance. Investors should not apply these statements to other contexts</w:t>
      </w:r>
      <w:r>
        <w:rPr>
          <w:rFonts w:ascii="Arial" w:cs="Arial" w:eastAsia="Arial" w:hAnsi="Arial"/>
          <w:sz w:val="18"/>
          <w:szCs w:val="18"/>
          <w:color w:val="auto"/>
        </w:rPr>
        <w:t>.</w:t>
      </w:r>
    </w:p>
    <w:p>
      <w:pPr>
        <w:spacing w:after="0" w:line="169" w:lineRule="exact"/>
        <w:rPr>
          <w:sz w:val="20"/>
          <w:szCs w:val="20"/>
          <w:color w:val="auto"/>
        </w:rPr>
      </w:pPr>
    </w:p>
    <w:p>
      <w:pPr>
        <w:ind w:left="4480"/>
        <w:spacing w:after="0"/>
        <w:rPr>
          <w:sz w:val="20"/>
          <w:szCs w:val="20"/>
          <w:color w:val="auto"/>
        </w:rPr>
      </w:pPr>
      <w:r>
        <w:rPr>
          <w:rFonts w:ascii="Arial" w:cs="Arial" w:eastAsia="Arial" w:hAnsi="Arial"/>
          <w:sz w:val="20"/>
          <w:szCs w:val="20"/>
          <w:color w:val="E7417A"/>
        </w:rPr>
        <w:t>CD&amp;A CONTENTS</w:t>
      </w:r>
    </w:p>
    <w:p>
      <w:pPr>
        <w:sectPr>
          <w:pgSz w:w="11900" w:h="16838" w:orient="portrait"/>
          <w:cols w:equalWidth="0" w:num="1">
            <w:col w:w="9879"/>
          </w:cols>
          <w:pgMar w:left="580" w:top="97" w:right="1440" w:bottom="1440" w:gutter="0" w:footer="0" w:header="0"/>
        </w:sectPr>
      </w:pP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3940" w:type="dxa"/>
            <w:vAlign w:val="bottom"/>
            <w:gridSpan w:val="23"/>
          </w:tcPr>
          <w:p>
            <w:pP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b w:val="1"/>
                <w:bCs w:val="1"/>
                <w:color w:val="0000EE"/>
              </w:rPr>
              <w:t>37</w:t>
            </w:r>
            <w:r>
              <w:rPr>
                <w:rFonts w:ascii="Arial" w:cs="Arial" w:eastAsia="Arial" w:hAnsi="Arial"/>
                <w:sz w:val="15"/>
                <w:szCs w:val="15"/>
                <w:b w:val="1"/>
                <w:bCs w:val="1"/>
                <w:color w:val="auto"/>
              </w:rPr>
              <w:t xml:space="preserve">  ​ ​ </w:t>
            </w:r>
            <w:r>
              <w:rPr>
                <w:rFonts w:ascii="Arial" w:cs="Arial" w:eastAsia="Arial" w:hAnsi="Arial"/>
                <w:sz w:val="15"/>
                <w:szCs w:val="15"/>
                <w:b w:val="1"/>
                <w:bCs w:val="1"/>
                <w:color w:val="0000EE"/>
              </w:rPr>
              <w:t>OVERVIEW</w:t>
            </w:r>
          </w:p>
        </w:tc>
        <w:tc>
          <w:tcPr>
            <w:tcW w:w="280" w:type="dxa"/>
            <w:vAlign w:val="bottom"/>
          </w:tcPr>
          <w:p>
            <w:pPr>
              <w:ind w:left="1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1"/>
        </w:trPr>
        <w:tc>
          <w:tcPr>
            <w:tcW w:w="12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6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bottom w:val="single" w:sz="8" w:color="E7417A"/>
            </w:tcBorders>
          </w:tcPr>
          <w:p>
            <w:pPr>
              <w:spacing w:after="0" w:line="20" w:lineRule="exact"/>
              <w:rPr>
                <w:sz w:val="1"/>
                <w:szCs w:val="1"/>
                <w:color w:val="auto"/>
              </w:rPr>
            </w:pPr>
          </w:p>
        </w:tc>
        <w:tc>
          <w:tcPr>
            <w:tcW w:w="260" w:type="dxa"/>
            <w:vAlign w:val="bottom"/>
            <w:tcBorders>
              <w:bottom w:val="single" w:sz="8" w:color="E7417A"/>
            </w:tcBorders>
          </w:tcPr>
          <w:p>
            <w:pPr>
              <w:spacing w:after="0" w:line="20" w:lineRule="exact"/>
              <w:rPr>
                <w:sz w:val="1"/>
                <w:szCs w:val="1"/>
                <w:color w:val="auto"/>
              </w:rPr>
            </w:pPr>
          </w:p>
        </w:tc>
        <w:tc>
          <w:tcPr>
            <w:tcW w:w="180" w:type="dxa"/>
            <w:vAlign w:val="bottom"/>
            <w:tcBorders>
              <w:bottom w:val="single" w:sz="8" w:color="E7417A"/>
            </w:tcBorders>
          </w:tcPr>
          <w:p>
            <w:pPr>
              <w:spacing w:after="0" w:line="20" w:lineRule="exact"/>
              <w:rPr>
                <w:sz w:val="1"/>
                <w:szCs w:val="1"/>
                <w:color w:val="auto"/>
              </w:rPr>
            </w:pPr>
          </w:p>
        </w:tc>
        <w:tc>
          <w:tcPr>
            <w:tcW w:w="140" w:type="dxa"/>
            <w:vAlign w:val="bottom"/>
            <w:tcBorders>
              <w:bottom w:val="single" w:sz="8" w:color="E7417A"/>
            </w:tcBorders>
          </w:tcPr>
          <w:p>
            <w:pPr>
              <w:spacing w:after="0" w:line="20" w:lineRule="exact"/>
              <w:rPr>
                <w:sz w:val="1"/>
                <w:szCs w:val="1"/>
                <w:color w:val="auto"/>
              </w:rPr>
            </w:pPr>
          </w:p>
        </w:tc>
        <w:tc>
          <w:tcPr>
            <w:tcW w:w="340" w:type="dxa"/>
            <w:vAlign w:val="bottom"/>
            <w:tcBorders>
              <w:bottom w:val="single" w:sz="8" w:color="E7417A"/>
            </w:tcBorders>
          </w:tcPr>
          <w:p>
            <w:pPr>
              <w:spacing w:after="0" w:line="20" w:lineRule="exact"/>
              <w:rPr>
                <w:sz w:val="1"/>
                <w:szCs w:val="1"/>
                <w:color w:val="auto"/>
              </w:rPr>
            </w:pPr>
          </w:p>
        </w:tc>
        <w:tc>
          <w:tcPr>
            <w:tcW w:w="26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5"/>
                <w:szCs w:val="15"/>
                <w:b w:val="1"/>
                <w:bCs w:val="1"/>
                <w:color w:val="0000EE"/>
                <w:w w:val="95"/>
              </w:rPr>
              <w:t>37</w:t>
            </w:r>
          </w:p>
        </w:tc>
        <w:tc>
          <w:tcPr>
            <w:tcW w:w="3640" w:type="dxa"/>
            <w:vAlign w:val="bottom"/>
            <w:gridSpan w:val="20"/>
          </w:tcPr>
          <w:p>
            <w:pPr>
              <w:ind w:left="140"/>
              <w:spacing w:after="0" w:line="250" w:lineRule="exact"/>
              <w:rPr>
                <w:sz w:val="20"/>
                <w:szCs w:val="20"/>
                <w:color w:val="auto"/>
              </w:rPr>
            </w:pPr>
            <w:r>
              <w:rPr>
                <w:rFonts w:ascii="Arial" w:cs="Arial" w:eastAsia="Arial" w:hAnsi="Arial"/>
                <w:sz w:val="28"/>
                <w:szCs w:val="28"/>
                <w:b w:val="1"/>
                <w:bCs w:val="1"/>
                <w:color w:val="000000"/>
                <w:vertAlign w:val="superscript"/>
              </w:rPr>
              <w:t>​ ​</w:t>
            </w:r>
            <w:r>
              <w:rPr>
                <w:rFonts w:ascii="Arial" w:cs="Arial" w:eastAsia="Arial" w:hAnsi="Arial"/>
                <w:sz w:val="15"/>
                <w:szCs w:val="15"/>
                <w:b w:val="1"/>
                <w:bCs w:val="1"/>
                <w:color w:val="0000EE"/>
              </w:rPr>
              <w:t xml:space="preserve"> 2025 NAMED EXECUTIVE OFFICERS</w:t>
            </w:r>
          </w:p>
        </w:tc>
        <w:tc>
          <w:tcPr>
            <w:tcW w:w="280" w:type="dxa"/>
            <w:vAlign w:val="bottom"/>
          </w:tcPr>
          <w:p>
            <w:pPr>
              <w:ind w:left="1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1"/>
        </w:trPr>
        <w:tc>
          <w:tcPr>
            <w:tcW w:w="12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6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top w:val="single" w:sz="8" w:color="0000EE"/>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5"/>
                <w:szCs w:val="15"/>
                <w:b w:val="1"/>
                <w:bCs w:val="1"/>
                <w:color w:val="0000EE"/>
                <w:w w:val="95"/>
              </w:rPr>
              <w:t>38</w:t>
            </w:r>
          </w:p>
        </w:tc>
        <w:tc>
          <w:tcPr>
            <w:tcW w:w="3640" w:type="dxa"/>
            <w:vAlign w:val="bottom"/>
            <w:gridSpan w:val="20"/>
          </w:tcPr>
          <w:p>
            <w:pPr>
              <w:ind w:left="140"/>
              <w:spacing w:after="0" w:line="250" w:lineRule="exact"/>
              <w:rPr>
                <w:sz w:val="20"/>
                <w:szCs w:val="20"/>
                <w:color w:val="auto"/>
              </w:rPr>
            </w:pPr>
            <w:r>
              <w:rPr>
                <w:rFonts w:ascii="Arial" w:cs="Arial" w:eastAsia="Arial" w:hAnsi="Arial"/>
                <w:sz w:val="28"/>
                <w:szCs w:val="28"/>
                <w:b w:val="1"/>
                <w:bCs w:val="1"/>
                <w:color w:val="000000"/>
                <w:vertAlign w:val="superscript"/>
              </w:rPr>
              <w:t>​ ​</w:t>
            </w:r>
            <w:r>
              <w:rPr>
                <w:rFonts w:ascii="Arial" w:cs="Arial" w:eastAsia="Arial" w:hAnsi="Arial"/>
                <w:sz w:val="15"/>
                <w:szCs w:val="15"/>
                <w:b w:val="1"/>
                <w:bCs w:val="1"/>
                <w:color w:val="0000EE"/>
              </w:rPr>
              <w:t xml:space="preserve"> EXECUTIVE SUMMARY OF 2025</w:t>
            </w:r>
          </w:p>
        </w:tc>
        <w:tc>
          <w:tcPr>
            <w:tcW w:w="280" w:type="dxa"/>
            <w:vAlign w:val="bottom"/>
          </w:tcPr>
          <w:p>
            <w:pPr>
              <w:ind w:left="1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2520" w:type="dxa"/>
            <w:vAlign w:val="bottom"/>
            <w:tcBorders>
              <w:top w:val="single" w:sz="8" w:color="0000EE"/>
              <w:bottom w:val="single" w:sz="8" w:color="0000EE"/>
            </w:tcBorders>
            <w:gridSpan w:val="11"/>
          </w:tcPr>
          <w:p>
            <w:pPr>
              <w:spacing w:after="0" w:line="142" w:lineRule="exact"/>
              <w:rPr>
                <w:sz w:val="20"/>
                <w:szCs w:val="20"/>
                <w:color w:val="auto"/>
              </w:rPr>
            </w:pPr>
            <w:r>
              <w:rPr>
                <w:rFonts w:ascii="Arial" w:cs="Arial" w:eastAsia="Arial" w:hAnsi="Arial"/>
                <w:sz w:val="15"/>
                <w:szCs w:val="15"/>
                <w:b w:val="1"/>
                <w:bCs w:val="1"/>
                <w:color w:val="0000EE"/>
              </w:rPr>
              <w:t>EXECUTIVE COMPENSATION</w:t>
            </w:r>
          </w:p>
        </w:tc>
        <w:tc>
          <w:tcPr>
            <w:tcW w:w="760" w:type="dxa"/>
            <w:vAlign w:val="bottom"/>
            <w:tcBorders>
              <w:bottom w:val="single" w:sz="8" w:color="0000EE"/>
            </w:tcBorders>
            <w:gridSpan w:val="8"/>
          </w:tcPr>
          <w:p>
            <w:pPr>
              <w:spacing w:after="0" w:line="142" w:lineRule="exact"/>
              <w:rPr>
                <w:sz w:val="20"/>
                <w:szCs w:val="20"/>
                <w:color w:val="auto"/>
              </w:rPr>
            </w:pPr>
            <w:r>
              <w:rPr>
                <w:rFonts w:ascii="Arial" w:cs="Arial" w:eastAsia="Arial" w:hAnsi="Arial"/>
                <w:sz w:val="15"/>
                <w:szCs w:val="15"/>
                <w:b w:val="1"/>
                <w:bCs w:val="1"/>
                <w:color w:val="0000EE"/>
                <w:w w:val="89"/>
              </w:rPr>
              <w:t>DECISIONS</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680" w:type="dxa"/>
            <w:vAlign w:val="bottom"/>
            <w:tcBorders>
              <w:bottom w:val="single" w:sz="8" w:color="E7417A"/>
            </w:tcBorders>
          </w:tcPr>
          <w:p>
            <w:pPr>
              <w:spacing w:after="0" w:line="20" w:lineRule="exact"/>
              <w:rPr>
                <w:sz w:val="1"/>
                <w:szCs w:val="1"/>
                <w:color w:val="auto"/>
              </w:rPr>
            </w:pPr>
          </w:p>
        </w:tc>
        <w:tc>
          <w:tcPr>
            <w:tcW w:w="1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420" w:type="dxa"/>
            <w:vAlign w:val="bottom"/>
            <w:tcBorders>
              <w:bottom w:val="single" w:sz="8" w:color="E7417A"/>
            </w:tcBorders>
          </w:tcPr>
          <w:p>
            <w:pPr>
              <w:spacing w:after="0" w:line="20" w:lineRule="exact"/>
              <w:rPr>
                <w:sz w:val="1"/>
                <w:szCs w:val="1"/>
                <w:color w:val="auto"/>
              </w:rPr>
            </w:pPr>
          </w:p>
        </w:tc>
        <w:tc>
          <w:tcPr>
            <w:tcW w:w="260" w:type="dxa"/>
            <w:vAlign w:val="bottom"/>
            <w:tcBorders>
              <w:bottom w:val="single" w:sz="8" w:color="E7417A"/>
            </w:tcBorders>
          </w:tcPr>
          <w:p>
            <w:pPr>
              <w:spacing w:after="0" w:line="20" w:lineRule="exact"/>
              <w:rPr>
                <w:sz w:val="1"/>
                <w:szCs w:val="1"/>
                <w:color w:val="auto"/>
              </w:rPr>
            </w:pPr>
          </w:p>
        </w:tc>
        <w:tc>
          <w:tcPr>
            <w:tcW w:w="180" w:type="dxa"/>
            <w:vAlign w:val="bottom"/>
            <w:tcBorders>
              <w:bottom w:val="single" w:sz="8" w:color="E7417A"/>
            </w:tcBorders>
          </w:tcPr>
          <w:p>
            <w:pPr>
              <w:spacing w:after="0" w:line="20" w:lineRule="exact"/>
              <w:rPr>
                <w:sz w:val="1"/>
                <w:szCs w:val="1"/>
                <w:color w:val="auto"/>
              </w:rPr>
            </w:pPr>
          </w:p>
        </w:tc>
        <w:tc>
          <w:tcPr>
            <w:tcW w:w="140" w:type="dxa"/>
            <w:vAlign w:val="bottom"/>
            <w:tcBorders>
              <w:bottom w:val="single" w:sz="8" w:color="E7417A"/>
            </w:tcBorders>
          </w:tcPr>
          <w:p>
            <w:pPr>
              <w:spacing w:after="0" w:line="20" w:lineRule="exact"/>
              <w:rPr>
                <w:sz w:val="1"/>
                <w:szCs w:val="1"/>
                <w:color w:val="auto"/>
              </w:rPr>
            </w:pPr>
          </w:p>
        </w:tc>
        <w:tc>
          <w:tcPr>
            <w:tcW w:w="340" w:type="dxa"/>
            <w:vAlign w:val="bottom"/>
            <w:tcBorders>
              <w:bottom w:val="single" w:sz="8" w:color="E7417A"/>
            </w:tcBorders>
          </w:tcPr>
          <w:p>
            <w:pPr>
              <w:spacing w:after="0" w:line="20" w:lineRule="exact"/>
              <w:rPr>
                <w:sz w:val="1"/>
                <w:szCs w:val="1"/>
                <w:color w:val="auto"/>
              </w:rPr>
            </w:pPr>
          </w:p>
        </w:tc>
        <w:tc>
          <w:tcPr>
            <w:tcW w:w="26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line="142" w:lineRule="exact"/>
              <w:rPr>
                <w:sz w:val="20"/>
                <w:szCs w:val="20"/>
                <w:color w:val="auto"/>
              </w:rPr>
            </w:pPr>
            <w:r>
              <w:rPr>
                <w:rFonts w:ascii="Arial" w:cs="Arial" w:eastAsia="Arial" w:hAnsi="Arial"/>
                <w:sz w:val="15"/>
                <w:szCs w:val="15"/>
                <w:color w:val="auto"/>
              </w:rPr>
              <w:t>​</w:t>
            </w:r>
          </w:p>
        </w:tc>
        <w:tc>
          <w:tcPr>
            <w:tcW w:w="160" w:type="dxa"/>
            <w:vAlign w:val="bottom"/>
          </w:tcPr>
          <w:p>
            <w:pPr>
              <w:spacing w:after="0" w:line="142" w:lineRule="exact"/>
              <w:rPr>
                <w:sz w:val="20"/>
                <w:szCs w:val="20"/>
                <w:color w:val="auto"/>
              </w:rPr>
            </w:pPr>
            <w:r>
              <w:rPr>
                <w:rFonts w:ascii="Arial" w:cs="Arial" w:eastAsia="Arial" w:hAnsi="Arial"/>
                <w:sz w:val="15"/>
                <w:szCs w:val="15"/>
                <w:color w:val="0000EE"/>
                <w:w w:val="83"/>
              </w:rPr>
              <w:t>38</w:t>
            </w:r>
          </w:p>
        </w:tc>
        <w:tc>
          <w:tcPr>
            <w:tcW w:w="20" w:type="dxa"/>
            <w:vAlign w:val="bottom"/>
          </w:tcPr>
          <w:p>
            <w:pPr>
              <w:spacing w:after="0"/>
              <w:rPr>
                <w:sz w:val="12"/>
                <w:szCs w:val="12"/>
                <w:color w:val="auto"/>
              </w:rPr>
            </w:pPr>
          </w:p>
        </w:tc>
        <w:tc>
          <w:tcPr>
            <w:tcW w:w="3640" w:type="dxa"/>
            <w:vAlign w:val="bottom"/>
            <w:gridSpan w:val="20"/>
          </w:tcPr>
          <w:p>
            <w:pPr>
              <w:ind w:left="140"/>
              <w:spacing w:after="0" w:line="14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color w:val="0000EE"/>
              </w:rPr>
              <w:t>Executive Compensation Highlights</w:t>
            </w:r>
          </w:p>
        </w:tc>
        <w:tc>
          <w:tcPr>
            <w:tcW w:w="280" w:type="dxa"/>
            <w:vAlign w:val="bottom"/>
          </w:tcPr>
          <w:p>
            <w:pPr>
              <w:ind w:left="160"/>
              <w:spacing w:after="0" w:line="14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
        </w:trPr>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1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vMerge w:val="restart"/>
          </w:tcPr>
          <w:p>
            <w:pPr>
              <w:ind w:left="140"/>
              <w:spacing w:after="0"/>
              <w:rPr>
                <w:sz w:val="20"/>
                <w:szCs w:val="20"/>
                <w:color w:val="auto"/>
              </w:rPr>
            </w:pPr>
            <w:r>
              <w:rPr>
                <w:rFonts w:ascii="Arial" w:cs="Arial" w:eastAsia="Arial" w:hAnsi="Arial"/>
                <w:sz w:val="15"/>
                <w:szCs w:val="15"/>
                <w:color w:val="auto"/>
              </w:rPr>
              <w:t>​ ​</w:t>
            </w:r>
          </w:p>
        </w:tc>
        <w:tc>
          <w:tcPr>
            <w:tcW w:w="6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60" w:type="dxa"/>
            <w:vAlign w:val="bottom"/>
            <w:gridSpan w:val="2"/>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line="20" w:lineRule="exact"/>
              <w:rPr>
                <w:sz w:val="1"/>
                <w:szCs w:val="1"/>
                <w:color w:val="auto"/>
              </w:rPr>
            </w:pPr>
          </w:p>
        </w:tc>
      </w:tr>
      <w:tr>
        <w:trPr>
          <w:trHeight w:val="162"/>
        </w:trPr>
        <w:tc>
          <w:tcPr>
            <w:tcW w:w="120" w:type="dxa"/>
            <w:vAlign w:val="bottom"/>
            <w:vMerge w:val="continue"/>
          </w:tcPr>
          <w:p>
            <w:pPr>
              <w:spacing w:after="0"/>
              <w:rPr>
                <w:sz w:val="14"/>
                <w:szCs w:val="14"/>
                <w:color w:val="auto"/>
              </w:rPr>
            </w:pPr>
          </w:p>
        </w:tc>
        <w:tc>
          <w:tcPr>
            <w:tcW w:w="160" w:type="dxa"/>
            <w:vAlign w:val="bottom"/>
            <w:tcBorders>
              <w:bottom w:val="single" w:sz="8" w:color="0000EE"/>
            </w:tcBorders>
          </w:tcPr>
          <w:p>
            <w:pPr>
              <w:spacing w:after="0" w:line="162" w:lineRule="exact"/>
              <w:rPr>
                <w:sz w:val="20"/>
                <w:szCs w:val="20"/>
                <w:color w:val="auto"/>
              </w:rPr>
            </w:pPr>
            <w:r>
              <w:rPr>
                <w:rFonts w:ascii="Arial" w:cs="Arial" w:eastAsia="Arial" w:hAnsi="Arial"/>
                <w:sz w:val="15"/>
                <w:szCs w:val="15"/>
                <w:color w:val="0000EE"/>
                <w:w w:val="83"/>
              </w:rPr>
              <w:t>39</w:t>
            </w:r>
          </w:p>
        </w:tc>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740" w:type="dxa"/>
            <w:vAlign w:val="bottom"/>
            <w:tcBorders>
              <w:bottom w:val="single" w:sz="8" w:color="0000EE"/>
            </w:tcBorders>
            <w:gridSpan w:val="14"/>
          </w:tcPr>
          <w:p>
            <w:pPr>
              <w:spacing w:after="0" w:line="162" w:lineRule="exact"/>
              <w:rPr>
                <w:sz w:val="20"/>
                <w:szCs w:val="20"/>
                <w:color w:val="auto"/>
              </w:rPr>
            </w:pPr>
            <w:r>
              <w:rPr>
                <w:rFonts w:ascii="Arial" w:cs="Arial" w:eastAsia="Arial" w:hAnsi="Arial"/>
                <w:sz w:val="15"/>
                <w:szCs w:val="15"/>
                <w:color w:val="0000EE"/>
              </w:rPr>
              <w:t>Our Guiding Compensation Philosophy</w:t>
            </w:r>
          </w:p>
        </w:tc>
        <w:tc>
          <w:tcPr>
            <w:tcW w:w="540" w:type="dxa"/>
            <w:vAlign w:val="bottom"/>
            <w:gridSpan w:val="5"/>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60" w:type="dxa"/>
            <w:vAlign w:val="bottom"/>
            <w:tcBorders>
              <w:bottom w:val="single" w:sz="8" w:color="0000EE"/>
            </w:tcBorders>
          </w:tcPr>
          <w:p>
            <w:pPr>
              <w:spacing w:after="0" w:line="169" w:lineRule="exact"/>
              <w:rPr>
                <w:sz w:val="20"/>
                <w:szCs w:val="20"/>
                <w:color w:val="auto"/>
              </w:rPr>
            </w:pPr>
            <w:r>
              <w:rPr>
                <w:rFonts w:ascii="Arial" w:cs="Arial" w:eastAsia="Arial" w:hAnsi="Arial"/>
                <w:sz w:val="15"/>
                <w:szCs w:val="15"/>
                <w:color w:val="0000EE"/>
                <w:w w:val="83"/>
              </w:rPr>
              <w:t>40</w:t>
            </w:r>
          </w:p>
        </w:tc>
        <w:tc>
          <w:tcPr>
            <w:tcW w:w="20" w:type="dxa"/>
            <w:vAlign w:val="bottom"/>
          </w:tcPr>
          <w:p>
            <w:pPr>
              <w:spacing w:after="0"/>
              <w:rPr>
                <w:sz w:val="14"/>
                <w:szCs w:val="14"/>
                <w:color w:val="auto"/>
              </w:rPr>
            </w:pPr>
          </w:p>
        </w:tc>
        <w:tc>
          <w:tcPr>
            <w:tcW w:w="360" w:type="dxa"/>
            <w:vAlign w:val="bottom"/>
          </w:tcPr>
          <w:p>
            <w:pPr>
              <w:ind w:left="140"/>
              <w:spacing w:after="0" w:line="169" w:lineRule="exact"/>
              <w:rPr>
                <w:sz w:val="20"/>
                <w:szCs w:val="20"/>
                <w:color w:val="auto"/>
              </w:rPr>
            </w:pPr>
            <w:r>
              <w:rPr>
                <w:rFonts w:ascii="Arial" w:cs="Arial" w:eastAsia="Arial" w:hAnsi="Arial"/>
                <w:sz w:val="15"/>
                <w:szCs w:val="15"/>
                <w:color w:val="auto"/>
              </w:rPr>
              <w:t>​ ​</w:t>
            </w:r>
          </w:p>
        </w:tc>
        <w:tc>
          <w:tcPr>
            <w:tcW w:w="3260" w:type="dxa"/>
            <w:vAlign w:val="bottom"/>
            <w:tcBorders>
              <w:bottom w:val="single" w:sz="8" w:color="0000EE"/>
            </w:tcBorders>
            <w:gridSpan w:val="18"/>
          </w:tcPr>
          <w:p>
            <w:pPr>
              <w:spacing w:after="0" w:line="169" w:lineRule="exact"/>
              <w:rPr>
                <w:sz w:val="20"/>
                <w:szCs w:val="20"/>
                <w:color w:val="auto"/>
              </w:rPr>
            </w:pPr>
            <w:r>
              <w:rPr>
                <w:rFonts w:ascii="Arial" w:cs="Arial" w:eastAsia="Arial" w:hAnsi="Arial"/>
                <w:sz w:val="15"/>
                <w:szCs w:val="15"/>
                <w:color w:val="0000EE"/>
              </w:rPr>
              <w:t>Consideration of Stockholder Say-on-Pay Vote</w:t>
            </w:r>
          </w:p>
        </w:tc>
        <w:tc>
          <w:tcPr>
            <w:tcW w:w="20" w:type="dxa"/>
            <w:vAlign w:val="bottom"/>
          </w:tcPr>
          <w:p>
            <w:pPr>
              <w:spacing w:after="0"/>
              <w:rPr>
                <w:sz w:val="14"/>
                <w:szCs w:val="14"/>
                <w:color w:val="auto"/>
              </w:rPr>
            </w:pPr>
          </w:p>
        </w:tc>
        <w:tc>
          <w:tcPr>
            <w:tcW w:w="280" w:type="dxa"/>
            <w:vAlign w:val="bottom"/>
          </w:tcPr>
          <w:p>
            <w:pPr>
              <w:ind w:left="16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5"/>
                <w:szCs w:val="15"/>
                <w:b w:val="1"/>
                <w:bCs w:val="1"/>
                <w:color w:val="0000EE"/>
                <w:w w:val="95"/>
              </w:rPr>
              <w:t>41</w:t>
            </w:r>
          </w:p>
        </w:tc>
        <w:tc>
          <w:tcPr>
            <w:tcW w:w="360" w:type="dxa"/>
            <w:vAlign w:val="bottom"/>
          </w:tcPr>
          <w:p>
            <w:pPr>
              <w:ind w:left="140"/>
              <w:spacing w:after="0"/>
              <w:rPr>
                <w:sz w:val="20"/>
                <w:szCs w:val="20"/>
                <w:color w:val="auto"/>
              </w:rPr>
            </w:pPr>
            <w:r>
              <w:rPr>
                <w:rFonts w:ascii="Arial" w:cs="Arial" w:eastAsia="Arial" w:hAnsi="Arial"/>
                <w:sz w:val="15"/>
                <w:szCs w:val="15"/>
                <w:b w:val="1"/>
                <w:bCs w:val="1"/>
                <w:color w:val="auto"/>
              </w:rPr>
              <w:t>​ ​</w:t>
            </w:r>
          </w:p>
        </w:tc>
        <w:tc>
          <w:tcPr>
            <w:tcW w:w="3260" w:type="dxa"/>
            <w:vAlign w:val="bottom"/>
            <w:gridSpan w:val="18"/>
          </w:tcPr>
          <w:p>
            <w:pPr>
              <w:spacing w:after="0"/>
              <w:rPr>
                <w:sz w:val="20"/>
                <w:szCs w:val="20"/>
                <w:color w:val="auto"/>
              </w:rPr>
            </w:pPr>
            <w:r>
              <w:rPr>
                <w:rFonts w:ascii="Arial" w:cs="Arial" w:eastAsia="Arial" w:hAnsi="Arial"/>
                <w:sz w:val="15"/>
                <w:szCs w:val="15"/>
                <w:b w:val="1"/>
                <w:bCs w:val="1"/>
                <w:color w:val="0000EE"/>
              </w:rPr>
              <w:t>OVERVIEW OF THE COMPANY’S</w:t>
            </w:r>
          </w:p>
        </w:tc>
        <w:tc>
          <w:tcPr>
            <w:tcW w:w="20" w:type="dxa"/>
            <w:vAlign w:val="bottom"/>
          </w:tcPr>
          <w:p>
            <w:pPr>
              <w:spacing w:after="0"/>
              <w:rPr>
                <w:sz w:val="22"/>
                <w:szCs w:val="22"/>
                <w:color w:val="auto"/>
              </w:rPr>
            </w:pPr>
          </w:p>
        </w:tc>
        <w:tc>
          <w:tcPr>
            <w:tcW w:w="280" w:type="dxa"/>
            <w:vAlign w:val="bottom"/>
          </w:tcPr>
          <w:p>
            <w:pPr>
              <w:ind w:left="1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2620" w:type="dxa"/>
            <w:vAlign w:val="bottom"/>
            <w:tcBorders>
              <w:top w:val="single" w:sz="8" w:color="0000EE"/>
            </w:tcBorders>
            <w:gridSpan w:val="13"/>
          </w:tcPr>
          <w:p>
            <w:pPr>
              <w:spacing w:after="0" w:line="142" w:lineRule="exact"/>
              <w:rPr>
                <w:sz w:val="20"/>
                <w:szCs w:val="20"/>
                <w:color w:val="auto"/>
              </w:rPr>
            </w:pPr>
            <w:r>
              <w:rPr>
                <w:rFonts w:ascii="Arial" w:cs="Arial" w:eastAsia="Arial" w:hAnsi="Arial"/>
                <w:sz w:val="15"/>
                <w:szCs w:val="15"/>
                <w:b w:val="1"/>
                <w:bCs w:val="1"/>
                <w:color w:val="0000EE"/>
              </w:rPr>
              <w:t>COMPENSATION PROGRAM</w:t>
            </w:r>
          </w:p>
        </w:tc>
        <w:tc>
          <w:tcPr>
            <w:tcW w:w="220" w:type="dxa"/>
            <w:vAlign w:val="bottom"/>
            <w:gridSpan w:val="2"/>
          </w:tcPr>
          <w:p>
            <w:pPr>
              <w:spacing w:after="0"/>
              <w:rPr>
                <w:sz w:val="12"/>
                <w:szCs w:val="12"/>
                <w:color w:val="auto"/>
              </w:rPr>
            </w:pPr>
          </w:p>
        </w:tc>
        <w:tc>
          <w:tcPr>
            <w:tcW w:w="360" w:type="dxa"/>
            <w:vAlign w:val="bottom"/>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7417A"/>
            </w:tcBorders>
          </w:tcPr>
          <w:p>
            <w:pPr>
              <w:spacing w:after="0" w:line="20" w:lineRule="exact"/>
              <w:rPr>
                <w:sz w:val="1"/>
                <w:szCs w:val="1"/>
                <w:color w:val="auto"/>
              </w:rPr>
            </w:pPr>
          </w:p>
        </w:tc>
        <w:tc>
          <w:tcPr>
            <w:tcW w:w="1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6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top w:val="single" w:sz="8" w:color="0000EE"/>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160" w:type="dxa"/>
            <w:vAlign w:val="bottom"/>
          </w:tcPr>
          <w:p>
            <w:pPr>
              <w:spacing w:after="0" w:line="156" w:lineRule="exact"/>
              <w:rPr>
                <w:sz w:val="20"/>
                <w:szCs w:val="20"/>
                <w:color w:val="auto"/>
              </w:rPr>
            </w:pPr>
            <w:r>
              <w:rPr>
                <w:rFonts w:ascii="Arial" w:cs="Arial" w:eastAsia="Arial" w:hAnsi="Arial"/>
                <w:sz w:val="15"/>
                <w:szCs w:val="15"/>
                <w:color w:val="0000EE"/>
                <w:w w:val="83"/>
              </w:rPr>
              <w:t>41</w:t>
            </w:r>
          </w:p>
        </w:tc>
        <w:tc>
          <w:tcPr>
            <w:tcW w:w="20" w:type="dxa"/>
            <w:vAlign w:val="bottom"/>
          </w:tcPr>
          <w:p>
            <w:pPr>
              <w:spacing w:after="0"/>
              <w:rPr>
                <w:sz w:val="13"/>
                <w:szCs w:val="13"/>
                <w:color w:val="auto"/>
              </w:rPr>
            </w:pPr>
          </w:p>
        </w:tc>
        <w:tc>
          <w:tcPr>
            <w:tcW w:w="3640" w:type="dxa"/>
            <w:vAlign w:val="bottom"/>
            <w:gridSpan w:val="20"/>
          </w:tcPr>
          <w:p>
            <w:pPr>
              <w:ind w:left="140"/>
              <w:spacing w:after="0" w:line="156" w:lineRule="exact"/>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color w:val="0000EE"/>
              </w:rPr>
              <w:t>Who Oversees the Company’s Compensation</w:t>
            </w:r>
          </w:p>
        </w:tc>
        <w:tc>
          <w:tcPr>
            <w:tcW w:w="280" w:type="dxa"/>
            <w:vAlign w:val="bottom"/>
          </w:tcPr>
          <w:p>
            <w:pPr>
              <w:ind w:left="16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120" w:type="dxa"/>
            <w:vAlign w:val="bottom"/>
            <w:vMerge w:val="restart"/>
          </w:tcPr>
          <w:p>
            <w:pPr>
              <w:spacing w:after="0"/>
              <w:rPr>
                <w:sz w:val="20"/>
                <w:szCs w:val="20"/>
                <w:color w:val="auto"/>
              </w:rPr>
            </w:pPr>
            <w:r>
              <w:rPr>
                <w:rFonts w:ascii="Arial" w:cs="Arial" w:eastAsia="Arial" w:hAnsi="Arial"/>
                <w:sz w:val="15"/>
                <w:szCs w:val="15"/>
                <w:color w:val="auto"/>
              </w:rPr>
              <w:t>​</w:t>
            </w:r>
          </w:p>
        </w:tc>
        <w:tc>
          <w:tcPr>
            <w:tcW w:w="16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5"/>
                <w:szCs w:val="15"/>
                <w:color w:val="auto"/>
              </w:rPr>
              <w:t>​ ​</w:t>
            </w:r>
          </w:p>
        </w:tc>
        <w:tc>
          <w:tcPr>
            <w:tcW w:w="3200" w:type="dxa"/>
            <w:vAlign w:val="bottom"/>
            <w:tcBorders>
              <w:top w:val="single" w:sz="8" w:color="0000EE"/>
            </w:tcBorders>
            <w:gridSpan w:val="17"/>
          </w:tcPr>
          <w:p>
            <w:pPr>
              <w:spacing w:after="0" w:line="142" w:lineRule="exact"/>
              <w:rPr>
                <w:sz w:val="20"/>
                <w:szCs w:val="20"/>
                <w:color w:val="auto"/>
              </w:rPr>
            </w:pPr>
            <w:r>
              <w:rPr>
                <w:rFonts w:ascii="Arial" w:cs="Arial" w:eastAsia="Arial" w:hAnsi="Arial"/>
                <w:sz w:val="15"/>
                <w:szCs w:val="15"/>
                <w:color w:val="0000EE"/>
              </w:rPr>
              <w:t>Program?</w:t>
            </w:r>
          </w:p>
        </w:tc>
        <w:tc>
          <w:tcPr>
            <w:tcW w:w="80" w:type="dxa"/>
            <w:vAlign w:val="bottom"/>
            <w:gridSpan w:val="2"/>
          </w:tcPr>
          <w:p>
            <w:pPr>
              <w:spacing w:after="0"/>
              <w:rPr>
                <w:sz w:val="12"/>
                <w:szCs w:val="12"/>
                <w:color w:val="auto"/>
              </w:rPr>
            </w:pPr>
          </w:p>
        </w:tc>
        <w:tc>
          <w:tcPr>
            <w:tcW w:w="28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2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20" w:type="dxa"/>
            <w:vAlign w:val="bottom"/>
            <w:vMerge w:val="continue"/>
          </w:tcPr>
          <w:p>
            <w:pPr>
              <w:spacing w:after="0"/>
              <w:rPr>
                <w:sz w:val="14"/>
                <w:szCs w:val="14"/>
                <w:color w:val="auto"/>
              </w:rPr>
            </w:pPr>
          </w:p>
        </w:tc>
        <w:tc>
          <w:tcPr>
            <w:tcW w:w="160" w:type="dxa"/>
            <w:vAlign w:val="bottom"/>
          </w:tcPr>
          <w:p>
            <w:pPr>
              <w:spacing w:after="0" w:line="169" w:lineRule="exact"/>
              <w:rPr>
                <w:sz w:val="20"/>
                <w:szCs w:val="20"/>
                <w:color w:val="auto"/>
              </w:rPr>
            </w:pPr>
            <w:r>
              <w:rPr>
                <w:rFonts w:ascii="Arial" w:cs="Arial" w:eastAsia="Arial" w:hAnsi="Arial"/>
                <w:sz w:val="15"/>
                <w:szCs w:val="15"/>
                <w:color w:val="0000EE"/>
                <w:w w:val="83"/>
              </w:rPr>
              <w:t>42</w:t>
            </w:r>
          </w:p>
        </w:tc>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280" w:type="dxa"/>
            <w:vAlign w:val="bottom"/>
            <w:gridSpan w:val="19"/>
          </w:tcPr>
          <w:p>
            <w:pPr>
              <w:spacing w:after="0" w:line="169" w:lineRule="exact"/>
              <w:rPr>
                <w:sz w:val="20"/>
                <w:szCs w:val="20"/>
                <w:color w:val="auto"/>
              </w:rPr>
            </w:pPr>
            <w:r>
              <w:rPr>
                <w:rFonts w:ascii="Arial" w:cs="Arial" w:eastAsia="Arial" w:hAnsi="Arial"/>
                <w:sz w:val="15"/>
                <w:szCs w:val="15"/>
                <w:color w:val="0000EE"/>
              </w:rPr>
              <w:t>Competitive Benchmarking</w:t>
            </w: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2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 ​</w:t>
            </w:r>
          </w:p>
        </w:tc>
        <w:tc>
          <w:tcPr>
            <w:tcW w:w="820" w:type="dxa"/>
            <w:vAlign w:val="bottom"/>
            <w:gridSpan w:val="2"/>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60" w:type="dxa"/>
            <w:vAlign w:val="bottom"/>
            <w:gridSpan w:val="2"/>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660" w:type="dxa"/>
            <w:vAlign w:val="bottom"/>
            <w:gridSpan w:val="4"/>
          </w:tcPr>
          <w:p>
            <w:pPr>
              <w:spacing w:after="0"/>
              <w:rPr>
                <w:sz w:val="2"/>
                <w:szCs w:val="2"/>
                <w:color w:val="auto"/>
              </w:rPr>
            </w:pPr>
          </w:p>
        </w:tc>
        <w:tc>
          <w:tcPr>
            <w:tcW w:w="300" w:type="dxa"/>
            <w:vAlign w:val="bottom"/>
            <w:gridSpan w:val="3"/>
          </w:tcPr>
          <w:p>
            <w:pPr>
              <w:spacing w:after="0"/>
              <w:rPr>
                <w:sz w:val="2"/>
                <w:szCs w:val="2"/>
                <w:color w:val="auto"/>
              </w:rPr>
            </w:pPr>
          </w:p>
        </w:tc>
        <w:tc>
          <w:tcPr>
            <w:tcW w:w="440" w:type="dxa"/>
            <w:vAlign w:val="bottom"/>
            <w:gridSpan w:val="4"/>
          </w:tcPr>
          <w:p>
            <w:pPr>
              <w:spacing w:after="0"/>
              <w:rPr>
                <w:sz w:val="2"/>
                <w:szCs w:val="2"/>
                <w:color w:val="auto"/>
              </w:rPr>
            </w:pPr>
          </w:p>
        </w:tc>
        <w:tc>
          <w:tcPr>
            <w:tcW w:w="2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line="20" w:lineRule="exact"/>
              <w:rPr>
                <w:sz w:val="1"/>
                <w:szCs w:val="1"/>
                <w:color w:val="auto"/>
              </w:rPr>
            </w:pPr>
          </w:p>
        </w:tc>
      </w:tr>
      <w:tr>
        <w:trPr>
          <w:trHeight w:val="256"/>
        </w:trPr>
        <w:tc>
          <w:tcPr>
            <w:tcW w:w="120" w:type="dxa"/>
            <w:vAlign w:val="bottom"/>
            <w:vMerge w:val="continue"/>
          </w:tcPr>
          <w:p>
            <w:pPr>
              <w:spacing w:after="0"/>
              <w:rPr>
                <w:sz w:val="22"/>
                <w:szCs w:val="22"/>
                <w:color w:val="auto"/>
              </w:rPr>
            </w:pPr>
          </w:p>
        </w:tc>
        <w:tc>
          <w:tcPr>
            <w:tcW w:w="180" w:type="dxa"/>
            <w:vAlign w:val="bottom"/>
            <w:gridSpan w:val="2"/>
          </w:tcPr>
          <w:p>
            <w:pPr>
              <w:spacing w:after="0"/>
              <w:rPr>
                <w:sz w:val="20"/>
                <w:szCs w:val="20"/>
                <w:color w:val="auto"/>
              </w:rPr>
            </w:pPr>
            <w:r>
              <w:rPr>
                <w:rFonts w:ascii="Arial" w:cs="Arial" w:eastAsia="Arial" w:hAnsi="Arial"/>
                <w:sz w:val="15"/>
                <w:szCs w:val="15"/>
                <w:b w:val="1"/>
                <w:bCs w:val="1"/>
                <w:color w:val="0000EE"/>
                <w:w w:val="95"/>
              </w:rPr>
              <w:t>43</w:t>
            </w:r>
          </w:p>
        </w:tc>
        <w:tc>
          <w:tcPr>
            <w:tcW w:w="360" w:type="dxa"/>
            <w:vAlign w:val="bottom"/>
            <w:vMerge w:val="continue"/>
          </w:tcPr>
          <w:p>
            <w:pPr>
              <w:spacing w:after="0"/>
              <w:rPr>
                <w:sz w:val="22"/>
                <w:szCs w:val="22"/>
                <w:color w:val="auto"/>
              </w:rPr>
            </w:pPr>
          </w:p>
        </w:tc>
        <w:tc>
          <w:tcPr>
            <w:tcW w:w="3280" w:type="dxa"/>
            <w:vAlign w:val="bottom"/>
            <w:gridSpan w:val="19"/>
          </w:tcPr>
          <w:p>
            <w:pPr>
              <w:spacing w:after="0"/>
              <w:rPr>
                <w:sz w:val="20"/>
                <w:szCs w:val="20"/>
                <w:color w:val="auto"/>
              </w:rPr>
            </w:pPr>
            <w:r>
              <w:rPr>
                <w:rFonts w:ascii="Arial" w:cs="Arial" w:eastAsia="Arial" w:hAnsi="Arial"/>
                <w:sz w:val="15"/>
                <w:szCs w:val="15"/>
                <w:b w:val="1"/>
                <w:bCs w:val="1"/>
                <w:color w:val="0000EE"/>
              </w:rPr>
              <w:t>COMPENSATION COMPONENTS</w:t>
            </w:r>
          </w:p>
        </w:tc>
        <w:tc>
          <w:tcPr>
            <w:tcW w:w="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2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6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top w:val="single" w:sz="8" w:color="0000EE"/>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160" w:type="dxa"/>
            <w:vAlign w:val="bottom"/>
          </w:tcPr>
          <w:p>
            <w:pPr>
              <w:spacing w:after="0" w:line="156" w:lineRule="exact"/>
              <w:rPr>
                <w:sz w:val="20"/>
                <w:szCs w:val="20"/>
                <w:color w:val="auto"/>
              </w:rPr>
            </w:pPr>
            <w:r>
              <w:rPr>
                <w:rFonts w:ascii="Arial" w:cs="Arial" w:eastAsia="Arial" w:hAnsi="Arial"/>
                <w:sz w:val="15"/>
                <w:szCs w:val="15"/>
                <w:color w:val="0000EE"/>
                <w:w w:val="83"/>
              </w:rPr>
              <w:t>43</w:t>
            </w:r>
          </w:p>
        </w:tc>
        <w:tc>
          <w:tcPr>
            <w:tcW w:w="20" w:type="dxa"/>
            <w:vAlign w:val="bottom"/>
          </w:tcPr>
          <w:p>
            <w:pPr>
              <w:spacing w:after="0"/>
              <w:rPr>
                <w:sz w:val="13"/>
                <w:szCs w:val="13"/>
                <w:color w:val="auto"/>
              </w:rPr>
            </w:pPr>
          </w:p>
        </w:tc>
        <w:tc>
          <w:tcPr>
            <w:tcW w:w="360" w:type="dxa"/>
            <w:vAlign w:val="bottom"/>
          </w:tcPr>
          <w:p>
            <w:pPr>
              <w:ind w:left="140"/>
              <w:spacing w:after="0" w:line="156" w:lineRule="exact"/>
              <w:rPr>
                <w:sz w:val="20"/>
                <w:szCs w:val="20"/>
                <w:color w:val="auto"/>
              </w:rPr>
            </w:pPr>
            <w:r>
              <w:rPr>
                <w:rFonts w:ascii="Arial" w:cs="Arial" w:eastAsia="Arial" w:hAnsi="Arial"/>
                <w:sz w:val="15"/>
                <w:szCs w:val="15"/>
                <w:color w:val="auto"/>
              </w:rPr>
              <w:t>​ ​</w:t>
            </w:r>
          </w:p>
        </w:tc>
        <w:tc>
          <w:tcPr>
            <w:tcW w:w="3280" w:type="dxa"/>
            <w:vAlign w:val="bottom"/>
            <w:gridSpan w:val="19"/>
          </w:tcPr>
          <w:p>
            <w:pPr>
              <w:spacing w:after="0" w:line="156" w:lineRule="exact"/>
              <w:rPr>
                <w:sz w:val="20"/>
                <w:szCs w:val="20"/>
                <w:color w:val="auto"/>
              </w:rPr>
            </w:pPr>
            <w:r>
              <w:rPr>
                <w:rFonts w:ascii="Arial" w:cs="Arial" w:eastAsia="Arial" w:hAnsi="Arial"/>
                <w:sz w:val="15"/>
                <w:szCs w:val="15"/>
                <w:color w:val="0000EE"/>
              </w:rPr>
              <w:t>Compensation Mix</w:t>
            </w:r>
          </w:p>
        </w:tc>
        <w:tc>
          <w:tcPr>
            <w:tcW w:w="280" w:type="dxa"/>
            <w:vAlign w:val="bottom"/>
          </w:tcPr>
          <w:p>
            <w:pPr>
              <w:ind w:left="16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0000EE"/>
            </w:tcBorders>
          </w:tcPr>
          <w:p>
            <w:pPr>
              <w:spacing w:after="0" w:line="169" w:lineRule="exact"/>
              <w:rPr>
                <w:sz w:val="20"/>
                <w:szCs w:val="20"/>
                <w:color w:val="auto"/>
              </w:rPr>
            </w:pPr>
            <w:r>
              <w:rPr>
                <w:rFonts w:ascii="Arial" w:cs="Arial" w:eastAsia="Arial" w:hAnsi="Arial"/>
                <w:sz w:val="15"/>
                <w:szCs w:val="15"/>
                <w:color w:val="0000EE"/>
                <w:w w:val="83"/>
              </w:rPr>
              <w:t>44</w:t>
            </w:r>
          </w:p>
        </w:tc>
        <w:tc>
          <w:tcPr>
            <w:tcW w:w="20" w:type="dxa"/>
            <w:vAlign w:val="bottom"/>
          </w:tcPr>
          <w:p>
            <w:pPr>
              <w:spacing w:after="0"/>
              <w:rPr>
                <w:sz w:val="14"/>
                <w:szCs w:val="14"/>
                <w:color w:val="auto"/>
              </w:rPr>
            </w:pPr>
          </w:p>
        </w:tc>
        <w:tc>
          <w:tcPr>
            <w:tcW w:w="360" w:type="dxa"/>
            <w:vAlign w:val="bottom"/>
          </w:tcPr>
          <w:p>
            <w:pPr>
              <w:ind w:left="140"/>
              <w:spacing w:after="0" w:line="169" w:lineRule="exact"/>
              <w:rPr>
                <w:sz w:val="20"/>
                <w:szCs w:val="20"/>
                <w:color w:val="auto"/>
              </w:rPr>
            </w:pPr>
            <w:r>
              <w:rPr>
                <w:rFonts w:ascii="Arial" w:cs="Arial" w:eastAsia="Arial" w:hAnsi="Arial"/>
                <w:sz w:val="15"/>
                <w:szCs w:val="15"/>
                <w:color w:val="auto"/>
              </w:rPr>
              <w:t>​ ​</w:t>
            </w:r>
          </w:p>
        </w:tc>
        <w:tc>
          <w:tcPr>
            <w:tcW w:w="1300" w:type="dxa"/>
            <w:vAlign w:val="bottom"/>
            <w:tcBorders>
              <w:top w:val="single" w:sz="8" w:color="0000EE"/>
            </w:tcBorders>
            <w:gridSpan w:val="5"/>
          </w:tcPr>
          <w:p>
            <w:pPr>
              <w:spacing w:after="0" w:line="169" w:lineRule="exact"/>
              <w:rPr>
                <w:sz w:val="20"/>
                <w:szCs w:val="20"/>
                <w:color w:val="auto"/>
              </w:rPr>
            </w:pPr>
            <w:r>
              <w:rPr>
                <w:rFonts w:ascii="Arial" w:cs="Arial" w:eastAsia="Arial" w:hAnsi="Arial"/>
                <w:sz w:val="15"/>
                <w:szCs w:val="15"/>
                <w:color w:val="0000EE"/>
              </w:rPr>
              <w:t>How Target Levels</w:t>
            </w:r>
          </w:p>
        </w:tc>
        <w:tc>
          <w:tcPr>
            <w:tcW w:w="1980" w:type="dxa"/>
            <w:vAlign w:val="bottom"/>
            <w:gridSpan w:val="14"/>
          </w:tcPr>
          <w:p>
            <w:pPr>
              <w:ind w:left="40"/>
              <w:spacing w:after="0" w:line="169" w:lineRule="exact"/>
              <w:rPr>
                <w:sz w:val="20"/>
                <w:szCs w:val="20"/>
                <w:color w:val="auto"/>
              </w:rPr>
            </w:pPr>
            <w:r>
              <w:rPr>
                <w:rFonts w:ascii="Arial" w:cs="Arial" w:eastAsia="Arial" w:hAnsi="Arial"/>
                <w:sz w:val="15"/>
                <w:szCs w:val="15"/>
                <w:color w:val="0000EE"/>
              </w:rPr>
              <w:t>of Compensation Are</w:t>
            </w:r>
          </w:p>
        </w:tc>
        <w:tc>
          <w:tcPr>
            <w:tcW w:w="280" w:type="dxa"/>
            <w:vAlign w:val="bottom"/>
          </w:tcPr>
          <w:p>
            <w:pPr>
              <w:ind w:left="16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12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16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 ​</w:t>
            </w:r>
          </w:p>
        </w:tc>
        <w:tc>
          <w:tcPr>
            <w:tcW w:w="82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5"/>
                <w:szCs w:val="15"/>
                <w:color w:val="0000EE"/>
              </w:rPr>
              <w:t>Determined</w:t>
            </w:r>
          </w:p>
        </w:tc>
        <w:tc>
          <w:tcPr>
            <w:tcW w:w="2020" w:type="dxa"/>
            <w:vAlign w:val="bottom"/>
            <w:tcBorders>
              <w:top w:val="single" w:sz="8" w:color="0000EE"/>
            </w:tcBorders>
            <w:gridSpan w:val="13"/>
          </w:tcPr>
          <w:p>
            <w:pPr>
              <w:spacing w:after="0"/>
              <w:rPr>
                <w:sz w:val="12"/>
                <w:szCs w:val="12"/>
                <w:color w:val="auto"/>
              </w:rPr>
            </w:pPr>
          </w:p>
        </w:tc>
        <w:tc>
          <w:tcPr>
            <w:tcW w:w="440" w:type="dxa"/>
            <w:vAlign w:val="bottom"/>
            <w:gridSpan w:val="4"/>
          </w:tcPr>
          <w:p>
            <w:pPr>
              <w:spacing w:after="0"/>
              <w:rPr>
                <w:sz w:val="12"/>
                <w:szCs w:val="12"/>
                <w:color w:val="auto"/>
              </w:rPr>
            </w:pPr>
          </w:p>
        </w:tc>
        <w:tc>
          <w:tcPr>
            <w:tcW w:w="2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63"/>
        </w:trPr>
        <w:tc>
          <w:tcPr>
            <w:tcW w:w="120" w:type="dxa"/>
            <w:vAlign w:val="bottom"/>
            <w:vMerge w:val="continue"/>
          </w:tcPr>
          <w:p>
            <w:pPr>
              <w:spacing w:after="0"/>
              <w:rPr>
                <w:sz w:val="22"/>
                <w:szCs w:val="22"/>
                <w:color w:val="auto"/>
              </w:rPr>
            </w:pPr>
          </w:p>
        </w:tc>
        <w:tc>
          <w:tcPr>
            <w:tcW w:w="180" w:type="dxa"/>
            <w:vAlign w:val="bottom"/>
            <w:gridSpan w:val="2"/>
          </w:tcPr>
          <w:p>
            <w:pPr>
              <w:spacing w:after="0"/>
              <w:rPr>
                <w:sz w:val="20"/>
                <w:szCs w:val="20"/>
                <w:color w:val="auto"/>
              </w:rPr>
            </w:pPr>
            <w:r>
              <w:rPr>
                <w:rFonts w:ascii="Arial" w:cs="Arial" w:eastAsia="Arial" w:hAnsi="Arial"/>
                <w:sz w:val="15"/>
                <w:szCs w:val="15"/>
                <w:b w:val="1"/>
                <w:bCs w:val="1"/>
                <w:color w:val="0000EE"/>
                <w:w w:val="95"/>
              </w:rPr>
              <w:t>44</w:t>
            </w:r>
          </w:p>
        </w:tc>
        <w:tc>
          <w:tcPr>
            <w:tcW w:w="360" w:type="dxa"/>
            <w:vAlign w:val="bottom"/>
            <w:vMerge w:val="continue"/>
          </w:tcPr>
          <w:p>
            <w:pPr>
              <w:spacing w:after="0"/>
              <w:rPr>
                <w:sz w:val="22"/>
                <w:szCs w:val="22"/>
                <w:color w:val="auto"/>
              </w:rPr>
            </w:pPr>
          </w:p>
        </w:tc>
        <w:tc>
          <w:tcPr>
            <w:tcW w:w="3280" w:type="dxa"/>
            <w:vAlign w:val="bottom"/>
            <w:gridSpan w:val="19"/>
          </w:tcPr>
          <w:p>
            <w:pPr>
              <w:spacing w:after="0"/>
              <w:rPr>
                <w:sz w:val="20"/>
                <w:szCs w:val="20"/>
                <w:color w:val="auto"/>
              </w:rPr>
            </w:pPr>
            <w:r>
              <w:rPr>
                <w:rFonts w:ascii="Arial" w:cs="Arial" w:eastAsia="Arial" w:hAnsi="Arial"/>
                <w:sz w:val="15"/>
                <w:szCs w:val="15"/>
                <w:b w:val="1"/>
                <w:bCs w:val="1"/>
                <w:color w:val="0000EE"/>
              </w:rPr>
              <w:t>2026 COMPENSATION</w:t>
            </w:r>
          </w:p>
        </w:tc>
        <w:tc>
          <w:tcPr>
            <w:tcW w:w="2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6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6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260" w:type="dxa"/>
            <w:vAlign w:val="bottom"/>
            <w:tcBorders>
              <w:top w:val="single" w:sz="8" w:color="0000EE"/>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bottom w:val="single" w:sz="8" w:color="E7417A"/>
            </w:tcBorders>
          </w:tcPr>
          <w:p>
            <w:pPr>
              <w:spacing w:after="0" w:line="20" w:lineRule="exact"/>
              <w:rPr>
                <w:sz w:val="1"/>
                <w:szCs w:val="1"/>
                <w:color w:val="auto"/>
              </w:rPr>
            </w:pPr>
          </w:p>
        </w:tc>
        <w:tc>
          <w:tcPr>
            <w:tcW w:w="340" w:type="dxa"/>
            <w:vAlign w:val="bottom"/>
            <w:tcBorders>
              <w:bottom w:val="single" w:sz="8" w:color="E7417A"/>
            </w:tcBorders>
          </w:tcPr>
          <w:p>
            <w:pPr>
              <w:spacing w:after="0" w:line="20" w:lineRule="exact"/>
              <w:rPr>
                <w:sz w:val="1"/>
                <w:szCs w:val="1"/>
                <w:color w:val="auto"/>
              </w:rPr>
            </w:pPr>
          </w:p>
        </w:tc>
        <w:tc>
          <w:tcPr>
            <w:tcW w:w="26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8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40" w:type="dxa"/>
            <w:vAlign w:val="bottom"/>
            <w:tcBorders>
              <w:bottom w:val="single" w:sz="8" w:color="E7417A"/>
            </w:tcBorders>
          </w:tcPr>
          <w:p>
            <w:pPr>
              <w:spacing w:after="0" w:line="20" w:lineRule="exact"/>
              <w:rPr>
                <w:sz w:val="1"/>
                <w:szCs w:val="1"/>
                <w:color w:val="auto"/>
              </w:rPr>
            </w:pPr>
          </w:p>
        </w:tc>
        <w:tc>
          <w:tcPr>
            <w:tcW w:w="32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8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line="142" w:lineRule="exact"/>
              <w:rPr>
                <w:sz w:val="20"/>
                <w:szCs w:val="20"/>
                <w:color w:val="auto"/>
              </w:rPr>
            </w:pPr>
            <w:r>
              <w:rPr>
                <w:rFonts w:ascii="Arial" w:cs="Arial" w:eastAsia="Arial" w:hAnsi="Arial"/>
                <w:sz w:val="15"/>
                <w:szCs w:val="15"/>
                <w:color w:val="auto"/>
              </w:rPr>
              <w:t>​</w:t>
            </w:r>
          </w:p>
        </w:tc>
        <w:tc>
          <w:tcPr>
            <w:tcW w:w="160" w:type="dxa"/>
            <w:vAlign w:val="bottom"/>
          </w:tcPr>
          <w:p>
            <w:pPr>
              <w:spacing w:after="0" w:line="142" w:lineRule="exact"/>
              <w:rPr>
                <w:sz w:val="20"/>
                <w:szCs w:val="20"/>
                <w:color w:val="auto"/>
              </w:rPr>
            </w:pPr>
            <w:r>
              <w:rPr>
                <w:rFonts w:ascii="Arial" w:cs="Arial" w:eastAsia="Arial" w:hAnsi="Arial"/>
                <w:sz w:val="15"/>
                <w:szCs w:val="15"/>
                <w:color w:val="0000EE"/>
                <w:w w:val="83"/>
              </w:rPr>
              <w:t>44</w:t>
            </w:r>
          </w:p>
        </w:tc>
        <w:tc>
          <w:tcPr>
            <w:tcW w:w="20" w:type="dxa"/>
            <w:vAlign w:val="bottom"/>
          </w:tcPr>
          <w:p>
            <w:pPr>
              <w:spacing w:after="0"/>
              <w:rPr>
                <w:sz w:val="12"/>
                <w:szCs w:val="12"/>
                <w:color w:val="auto"/>
              </w:rPr>
            </w:pPr>
          </w:p>
        </w:tc>
        <w:tc>
          <w:tcPr>
            <w:tcW w:w="360" w:type="dxa"/>
            <w:vAlign w:val="bottom"/>
          </w:tcPr>
          <w:p>
            <w:pPr>
              <w:ind w:left="140"/>
              <w:spacing w:after="0" w:line="142" w:lineRule="exact"/>
              <w:rPr>
                <w:sz w:val="20"/>
                <w:szCs w:val="20"/>
                <w:color w:val="auto"/>
              </w:rPr>
            </w:pPr>
            <w:r>
              <w:rPr>
                <w:rFonts w:ascii="Arial" w:cs="Arial" w:eastAsia="Arial" w:hAnsi="Arial"/>
                <w:sz w:val="15"/>
                <w:szCs w:val="15"/>
                <w:color w:val="auto"/>
              </w:rPr>
              <w:t>​ ​</w:t>
            </w:r>
          </w:p>
        </w:tc>
        <w:tc>
          <w:tcPr>
            <w:tcW w:w="3280" w:type="dxa"/>
            <w:vAlign w:val="bottom"/>
            <w:gridSpan w:val="19"/>
          </w:tcPr>
          <w:p>
            <w:pPr>
              <w:spacing w:after="0" w:line="142" w:lineRule="exact"/>
              <w:rPr>
                <w:sz w:val="20"/>
                <w:szCs w:val="20"/>
                <w:color w:val="auto"/>
              </w:rPr>
            </w:pPr>
            <w:r>
              <w:rPr>
                <w:rFonts w:ascii="Arial" w:cs="Arial" w:eastAsia="Arial" w:hAnsi="Arial"/>
                <w:sz w:val="15"/>
                <w:szCs w:val="15"/>
                <w:color w:val="0000EE"/>
              </w:rPr>
              <w:t>Base Salary</w:t>
            </w:r>
          </w:p>
        </w:tc>
        <w:tc>
          <w:tcPr>
            <w:tcW w:w="280" w:type="dxa"/>
            <w:vAlign w:val="bottom"/>
          </w:tcPr>
          <w:p>
            <w:pPr>
              <w:ind w:left="160"/>
              <w:spacing w:after="0" w:line="14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160" w:type="dxa"/>
            <w:vAlign w:val="bottom"/>
            <w:tcBorders>
              <w:top w:val="single" w:sz="8" w:color="0000EE"/>
              <w:bottom w:val="single" w:sz="8" w:color="0000EE"/>
            </w:tcBorders>
          </w:tcPr>
          <w:p>
            <w:pPr>
              <w:spacing w:after="0" w:line="162" w:lineRule="exact"/>
              <w:rPr>
                <w:sz w:val="20"/>
                <w:szCs w:val="20"/>
                <w:color w:val="auto"/>
              </w:rPr>
            </w:pPr>
            <w:r>
              <w:rPr>
                <w:rFonts w:ascii="Arial" w:cs="Arial" w:eastAsia="Arial" w:hAnsi="Arial"/>
                <w:sz w:val="15"/>
                <w:szCs w:val="15"/>
                <w:color w:val="0000EE"/>
                <w:w w:val="83"/>
              </w:rPr>
              <w:t>44</w:t>
            </w:r>
          </w:p>
        </w:tc>
        <w:tc>
          <w:tcPr>
            <w:tcW w:w="20" w:type="dxa"/>
            <w:vAlign w:val="bottom"/>
          </w:tcPr>
          <w:p>
            <w:pPr>
              <w:spacing w:after="0"/>
              <w:rPr>
                <w:sz w:val="14"/>
                <w:szCs w:val="14"/>
                <w:color w:val="auto"/>
              </w:rPr>
            </w:pPr>
          </w:p>
        </w:tc>
        <w:tc>
          <w:tcPr>
            <w:tcW w:w="360" w:type="dxa"/>
            <w:vAlign w:val="bottom"/>
          </w:tcPr>
          <w:p>
            <w:pPr>
              <w:ind w:left="140"/>
              <w:spacing w:after="0" w:line="162" w:lineRule="exact"/>
              <w:rPr>
                <w:sz w:val="20"/>
                <w:szCs w:val="20"/>
                <w:color w:val="auto"/>
              </w:rPr>
            </w:pPr>
            <w:r>
              <w:rPr>
                <w:rFonts w:ascii="Arial" w:cs="Arial" w:eastAsia="Arial" w:hAnsi="Arial"/>
                <w:sz w:val="15"/>
                <w:szCs w:val="15"/>
                <w:color w:val="auto"/>
              </w:rPr>
              <w:t>​ ​</w:t>
            </w:r>
          </w:p>
        </w:tc>
        <w:tc>
          <w:tcPr>
            <w:tcW w:w="840" w:type="dxa"/>
            <w:vAlign w:val="bottom"/>
            <w:tcBorders>
              <w:top w:val="single" w:sz="8" w:color="0000EE"/>
              <w:bottom w:val="single" w:sz="8" w:color="0000EE"/>
            </w:tcBorders>
            <w:gridSpan w:val="3"/>
          </w:tcPr>
          <w:p>
            <w:pPr>
              <w:spacing w:after="0" w:line="162" w:lineRule="exact"/>
              <w:rPr>
                <w:sz w:val="20"/>
                <w:szCs w:val="20"/>
                <w:color w:val="auto"/>
              </w:rPr>
            </w:pPr>
            <w:r>
              <w:rPr>
                <w:rFonts w:ascii="Arial" w:cs="Arial" w:eastAsia="Arial" w:hAnsi="Arial"/>
                <w:sz w:val="15"/>
                <w:szCs w:val="15"/>
                <w:color w:val="0000EE"/>
                <w:w w:val="95"/>
              </w:rPr>
              <w:t>Annual Cash</w:t>
            </w:r>
          </w:p>
        </w:tc>
        <w:tc>
          <w:tcPr>
            <w:tcW w:w="720" w:type="dxa"/>
            <w:vAlign w:val="bottom"/>
            <w:tcBorders>
              <w:bottom w:val="single" w:sz="8" w:color="0000EE"/>
            </w:tcBorders>
            <w:gridSpan w:val="3"/>
          </w:tcPr>
          <w:p>
            <w:pPr>
              <w:ind w:left="100"/>
              <w:spacing w:after="0" w:line="162" w:lineRule="exact"/>
              <w:rPr>
                <w:sz w:val="20"/>
                <w:szCs w:val="20"/>
                <w:color w:val="auto"/>
              </w:rPr>
            </w:pPr>
            <w:r>
              <w:rPr>
                <w:rFonts w:ascii="Arial" w:cs="Arial" w:eastAsia="Arial" w:hAnsi="Arial"/>
                <w:sz w:val="15"/>
                <w:szCs w:val="15"/>
                <w:color w:val="0000EE"/>
              </w:rPr>
              <w:t>Bonuses</w:t>
            </w:r>
          </w:p>
        </w:tc>
        <w:tc>
          <w:tcPr>
            <w:tcW w:w="1720" w:type="dxa"/>
            <w:vAlign w:val="bottom"/>
            <w:gridSpan w:val="13"/>
          </w:tcPr>
          <w:p>
            <w:pPr>
              <w:spacing w:after="0"/>
              <w:rPr>
                <w:sz w:val="14"/>
                <w:szCs w:val="14"/>
                <w:color w:val="auto"/>
              </w:rPr>
            </w:pPr>
          </w:p>
        </w:tc>
        <w:tc>
          <w:tcPr>
            <w:tcW w:w="280" w:type="dxa"/>
            <w:vAlign w:val="bottom"/>
          </w:tcPr>
          <w:p>
            <w:pPr>
              <w:ind w:left="1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179705</wp:posOffset>
            </wp:positionV>
            <wp:extent cx="279463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9463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0000EE"/>
                <w:w w:val="83"/>
              </w:rPr>
              <w:t>46</w:t>
            </w:r>
          </w:p>
        </w:tc>
        <w:tc>
          <w:tcPr>
            <w:tcW w:w="3600" w:type="dxa"/>
            <w:vAlign w:val="bottom"/>
            <w:gridSpan w:val="19"/>
          </w:tcPr>
          <w:p>
            <w:pPr>
              <w:ind w:left="140"/>
              <w:spacing w:after="0"/>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color w:val="0000EE"/>
              </w:rPr>
              <w:t>Equity-Based Incentives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120" w:type="dxa"/>
            <w:vAlign w:val="bottom"/>
          </w:tcPr>
          <w:p>
            <w:pPr>
              <w:spacing w:after="0" w:line="149"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0000EE"/>
            </w:tcBorders>
          </w:tcPr>
          <w:p>
            <w:pPr>
              <w:jc w:val="right"/>
              <w:spacing w:after="0" w:line="149" w:lineRule="exact"/>
              <w:rPr>
                <w:sz w:val="20"/>
                <w:szCs w:val="20"/>
                <w:color w:val="auto"/>
              </w:rPr>
            </w:pPr>
            <w:r>
              <w:rPr>
                <w:rFonts w:ascii="Arial" w:cs="Arial" w:eastAsia="Arial" w:hAnsi="Arial"/>
                <w:sz w:val="15"/>
                <w:szCs w:val="15"/>
                <w:color w:val="0000EE"/>
                <w:w w:val="83"/>
              </w:rPr>
              <w:t>47</w:t>
            </w:r>
          </w:p>
        </w:tc>
        <w:tc>
          <w:tcPr>
            <w:tcW w:w="360" w:type="dxa"/>
            <w:vAlign w:val="bottom"/>
          </w:tcPr>
          <w:p>
            <w:pPr>
              <w:ind w:left="140"/>
              <w:spacing w:after="0" w:line="149" w:lineRule="exact"/>
              <w:rPr>
                <w:sz w:val="20"/>
                <w:szCs w:val="20"/>
                <w:color w:val="auto"/>
              </w:rPr>
            </w:pPr>
            <w:r>
              <w:rPr>
                <w:rFonts w:ascii="Arial" w:cs="Arial" w:eastAsia="Arial" w:hAnsi="Arial"/>
                <w:sz w:val="15"/>
                <w:szCs w:val="15"/>
                <w:color w:val="auto"/>
              </w:rPr>
              <w:t>​ ​</w:t>
            </w:r>
          </w:p>
        </w:tc>
        <w:tc>
          <w:tcPr>
            <w:tcW w:w="1700" w:type="dxa"/>
            <w:vAlign w:val="bottom"/>
            <w:tcBorders>
              <w:top w:val="single" w:sz="8" w:color="0000EE"/>
            </w:tcBorders>
            <w:gridSpan w:val="7"/>
          </w:tcPr>
          <w:p>
            <w:pPr>
              <w:spacing w:after="0" w:line="149" w:lineRule="exact"/>
              <w:rPr>
                <w:sz w:val="20"/>
                <w:szCs w:val="20"/>
                <w:color w:val="auto"/>
              </w:rPr>
            </w:pPr>
            <w:r>
              <w:rPr>
                <w:rFonts w:ascii="Arial" w:cs="Arial" w:eastAsia="Arial" w:hAnsi="Arial"/>
                <w:sz w:val="15"/>
                <w:szCs w:val="15"/>
                <w:color w:val="0000EE"/>
              </w:rPr>
              <w:t>Performance Goals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ind w:left="20"/>
              <w:spacing w:after="0" w:line="14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Borders>
              <w:top w:val="single" w:sz="8" w:color="0000EE"/>
            </w:tcBorders>
          </w:tcPr>
          <w:p>
            <w:pPr>
              <w:jc w:val="right"/>
              <w:spacing w:after="0"/>
              <w:rPr>
                <w:sz w:val="20"/>
                <w:szCs w:val="20"/>
                <w:color w:val="auto"/>
              </w:rPr>
            </w:pPr>
            <w:r>
              <w:rPr>
                <w:rFonts w:ascii="Arial" w:cs="Arial" w:eastAsia="Arial" w:hAnsi="Arial"/>
                <w:sz w:val="15"/>
                <w:szCs w:val="15"/>
                <w:b w:val="1"/>
                <w:bCs w:val="1"/>
                <w:color w:val="0000EE"/>
                <w:w w:val="95"/>
              </w:rPr>
              <w:t>49</w:t>
            </w:r>
          </w:p>
        </w:tc>
        <w:tc>
          <w:tcPr>
            <w:tcW w:w="360" w:type="dxa"/>
            <w:vAlign w:val="bottom"/>
          </w:tcPr>
          <w:p>
            <w:pPr>
              <w:ind w:left="140"/>
              <w:spacing w:after="0"/>
              <w:rPr>
                <w:sz w:val="20"/>
                <w:szCs w:val="20"/>
                <w:color w:val="auto"/>
              </w:rPr>
            </w:pPr>
            <w:r>
              <w:rPr>
                <w:rFonts w:ascii="Arial" w:cs="Arial" w:eastAsia="Arial" w:hAnsi="Arial"/>
                <w:sz w:val="15"/>
                <w:szCs w:val="15"/>
                <w:b w:val="1"/>
                <w:bCs w:val="1"/>
                <w:color w:val="auto"/>
              </w:rPr>
              <w:t>​ ​</w:t>
            </w:r>
          </w:p>
        </w:tc>
        <w:tc>
          <w:tcPr>
            <w:tcW w:w="1360" w:type="dxa"/>
            <w:vAlign w:val="bottom"/>
            <w:tcBorders>
              <w:top w:val="single" w:sz="8" w:color="0000EE"/>
            </w:tcBorders>
            <w:gridSpan w:val="5"/>
          </w:tcPr>
          <w:p>
            <w:pPr>
              <w:spacing w:after="0"/>
              <w:rPr>
                <w:sz w:val="20"/>
                <w:szCs w:val="20"/>
                <w:color w:val="auto"/>
              </w:rPr>
            </w:pPr>
            <w:r>
              <w:rPr>
                <w:rFonts w:ascii="Arial" w:cs="Arial" w:eastAsia="Arial" w:hAnsi="Arial"/>
                <w:sz w:val="15"/>
                <w:szCs w:val="15"/>
                <w:b w:val="1"/>
                <w:bCs w:val="1"/>
                <w:color w:val="0000EE"/>
              </w:rPr>
              <w:t>BENEFITS AND</w:t>
            </w:r>
          </w:p>
        </w:tc>
        <w:tc>
          <w:tcPr>
            <w:tcW w:w="1880" w:type="dxa"/>
            <w:vAlign w:val="bottom"/>
            <w:gridSpan w:val="13"/>
          </w:tcPr>
          <w:p>
            <w:pPr>
              <w:spacing w:after="0"/>
              <w:rPr>
                <w:sz w:val="20"/>
                <w:szCs w:val="20"/>
                <w:color w:val="auto"/>
              </w:rPr>
            </w:pPr>
            <w:r>
              <w:rPr>
                <w:rFonts w:ascii="Arial" w:cs="Arial" w:eastAsia="Arial" w:hAnsi="Arial"/>
                <w:sz w:val="15"/>
                <w:szCs w:val="15"/>
                <w:b w:val="1"/>
                <w:bCs w:val="1"/>
                <w:color w:val="0000EE"/>
              </w:rPr>
              <w:t>OTHER COMPENSATION</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52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00" w:type="dxa"/>
            <w:vAlign w:val="bottom"/>
            <w:tcBorders>
              <w:top w:val="single" w:sz="8" w:color="0000EE"/>
              <w:bottom w:val="single" w:sz="8" w:color="E7417A"/>
            </w:tcBorders>
          </w:tcPr>
          <w:p>
            <w:pPr>
              <w:spacing w:after="0" w:line="20" w:lineRule="exact"/>
              <w:rPr>
                <w:sz w:val="1"/>
                <w:szCs w:val="1"/>
                <w:color w:val="auto"/>
              </w:rPr>
            </w:pPr>
          </w:p>
        </w:tc>
        <w:tc>
          <w:tcPr>
            <w:tcW w:w="40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2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8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0000EE"/>
                <w:w w:val="95"/>
              </w:rPr>
              <w:t>50</w:t>
            </w:r>
          </w:p>
        </w:tc>
        <w:tc>
          <w:tcPr>
            <w:tcW w:w="3600" w:type="dxa"/>
            <w:vAlign w:val="bottom"/>
            <w:gridSpan w:val="19"/>
          </w:tcPr>
          <w:p>
            <w:pPr>
              <w:ind w:left="140"/>
              <w:spacing w:after="0" w:line="250" w:lineRule="exact"/>
              <w:rPr>
                <w:sz w:val="20"/>
                <w:szCs w:val="20"/>
                <w:color w:val="auto"/>
              </w:rPr>
            </w:pPr>
            <w:r>
              <w:rPr>
                <w:rFonts w:ascii="Arial" w:cs="Arial" w:eastAsia="Arial" w:hAnsi="Arial"/>
                <w:sz w:val="28"/>
                <w:szCs w:val="28"/>
                <w:b w:val="1"/>
                <w:bCs w:val="1"/>
                <w:color w:val="000000"/>
                <w:vertAlign w:val="superscript"/>
              </w:rPr>
              <w:t>​ ​</w:t>
            </w:r>
            <w:r>
              <w:rPr>
                <w:rFonts w:ascii="Arial" w:cs="Arial" w:eastAsia="Arial" w:hAnsi="Arial"/>
                <w:sz w:val="15"/>
                <w:szCs w:val="15"/>
                <w:b w:val="1"/>
                <w:bCs w:val="1"/>
                <w:color w:val="0000EE"/>
              </w:rPr>
              <w:t xml:space="preserve"> SEVERANCE AND SEPARATION</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2580" w:type="dxa"/>
            <w:vAlign w:val="bottom"/>
            <w:tcBorders>
              <w:top w:val="single" w:sz="8" w:color="0000EE"/>
            </w:tcBorders>
            <w:gridSpan w:val="13"/>
          </w:tcPr>
          <w:p>
            <w:pPr>
              <w:spacing w:after="0" w:line="142" w:lineRule="exact"/>
              <w:rPr>
                <w:sz w:val="20"/>
                <w:szCs w:val="20"/>
                <w:color w:val="auto"/>
              </w:rPr>
            </w:pPr>
            <w:r>
              <w:rPr>
                <w:rFonts w:ascii="Arial" w:cs="Arial" w:eastAsia="Arial" w:hAnsi="Arial"/>
                <w:sz w:val="15"/>
                <w:szCs w:val="15"/>
                <w:b w:val="1"/>
                <w:bCs w:val="1"/>
                <w:color w:val="0000EE"/>
              </w:rPr>
              <w:t>ARRANGEMENTS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52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00" w:type="dxa"/>
            <w:vAlign w:val="bottom"/>
            <w:tcBorders>
              <w:bottom w:val="single" w:sz="8" w:color="E7417A"/>
            </w:tcBorders>
          </w:tcPr>
          <w:p>
            <w:pPr>
              <w:spacing w:after="0" w:line="20" w:lineRule="exact"/>
              <w:rPr>
                <w:sz w:val="1"/>
                <w:szCs w:val="1"/>
                <w:color w:val="auto"/>
              </w:rPr>
            </w:pPr>
          </w:p>
        </w:tc>
        <w:tc>
          <w:tcPr>
            <w:tcW w:w="40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2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34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8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0000EE"/>
                <w:w w:val="95"/>
              </w:rPr>
              <w:t>50</w:t>
            </w:r>
          </w:p>
        </w:tc>
        <w:tc>
          <w:tcPr>
            <w:tcW w:w="3600" w:type="dxa"/>
            <w:vAlign w:val="bottom"/>
            <w:gridSpan w:val="19"/>
          </w:tcPr>
          <w:p>
            <w:pPr>
              <w:ind w:left="140"/>
              <w:spacing w:after="0" w:line="250" w:lineRule="exact"/>
              <w:rPr>
                <w:sz w:val="20"/>
                <w:szCs w:val="20"/>
                <w:color w:val="auto"/>
              </w:rPr>
            </w:pPr>
            <w:r>
              <w:rPr>
                <w:rFonts w:ascii="Arial" w:cs="Arial" w:eastAsia="Arial" w:hAnsi="Arial"/>
                <w:sz w:val="28"/>
                <w:szCs w:val="28"/>
                <w:b w:val="1"/>
                <w:bCs w:val="1"/>
                <w:color w:val="000000"/>
                <w:vertAlign w:val="superscript"/>
              </w:rPr>
              <w:t>​ ​</w:t>
            </w:r>
            <w:r>
              <w:rPr>
                <w:rFonts w:ascii="Arial" w:cs="Arial" w:eastAsia="Arial" w:hAnsi="Arial"/>
                <w:sz w:val="15"/>
                <w:szCs w:val="15"/>
                <w:b w:val="1"/>
                <w:bCs w:val="1"/>
                <w:color w:val="0000EE"/>
              </w:rPr>
              <w:t xml:space="preserve"> COMPENSATION POLICIES AND</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360" w:type="dxa"/>
            <w:vAlign w:val="bottom"/>
          </w:tcPr>
          <w:p>
            <w:pPr>
              <w:spacing w:after="0"/>
              <w:rPr>
                <w:sz w:val="11"/>
                <w:szCs w:val="11"/>
                <w:color w:val="auto"/>
              </w:rPr>
            </w:pPr>
          </w:p>
        </w:tc>
        <w:tc>
          <w:tcPr>
            <w:tcW w:w="2560" w:type="dxa"/>
            <w:vAlign w:val="bottom"/>
            <w:tcBorders>
              <w:top w:val="single" w:sz="8" w:color="0000EE"/>
            </w:tcBorders>
            <w:gridSpan w:val="12"/>
          </w:tcPr>
          <w:p>
            <w:pPr>
              <w:spacing w:after="0" w:line="129" w:lineRule="exact"/>
              <w:rPr>
                <w:sz w:val="20"/>
                <w:szCs w:val="20"/>
                <w:color w:val="auto"/>
              </w:rPr>
            </w:pPr>
            <w:r>
              <w:rPr>
                <w:rFonts w:ascii="Arial" w:cs="Arial" w:eastAsia="Arial" w:hAnsi="Arial"/>
                <w:sz w:val="14"/>
                <w:szCs w:val="14"/>
                <w:b w:val="1"/>
                <w:bCs w:val="1"/>
                <w:color w:val="0000EE"/>
              </w:rPr>
              <w:t>PRACTICES</w:t>
            </w:r>
          </w:p>
        </w:tc>
        <w:tc>
          <w:tcPr>
            <w:tcW w:w="36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20" w:type="dxa"/>
            <w:vAlign w:val="bottom"/>
            <w:tcBorders>
              <w:bottom w:val="single" w:sz="8" w:color="E7417A"/>
            </w:tcBorders>
          </w:tcPr>
          <w:p>
            <w:pPr>
              <w:spacing w:after="0"/>
              <w:rPr>
                <w:sz w:val="2"/>
                <w:szCs w:val="2"/>
                <w:color w:val="auto"/>
              </w:rPr>
            </w:pPr>
          </w:p>
        </w:tc>
        <w:tc>
          <w:tcPr>
            <w:tcW w:w="180" w:type="dxa"/>
            <w:vAlign w:val="bottom"/>
            <w:tcBorders>
              <w:bottom w:val="single" w:sz="8" w:color="E7417A"/>
            </w:tcBorders>
          </w:tcPr>
          <w:p>
            <w:pPr>
              <w:spacing w:after="0"/>
              <w:rPr>
                <w:sz w:val="2"/>
                <w:szCs w:val="2"/>
                <w:color w:val="auto"/>
              </w:rPr>
            </w:pPr>
          </w:p>
        </w:tc>
        <w:tc>
          <w:tcPr>
            <w:tcW w:w="360" w:type="dxa"/>
            <w:vAlign w:val="bottom"/>
            <w:tcBorders>
              <w:bottom w:val="single" w:sz="8" w:color="E7417A"/>
            </w:tcBorders>
          </w:tcPr>
          <w:p>
            <w:pPr>
              <w:spacing w:after="0"/>
              <w:rPr>
                <w:sz w:val="2"/>
                <w:szCs w:val="2"/>
                <w:color w:val="auto"/>
              </w:rPr>
            </w:pPr>
          </w:p>
        </w:tc>
        <w:tc>
          <w:tcPr>
            <w:tcW w:w="520" w:type="dxa"/>
            <w:vAlign w:val="bottom"/>
            <w:tcBorders>
              <w:top w:val="single" w:sz="8" w:color="0000EE"/>
              <w:bottom w:val="single" w:sz="8" w:color="E7417A"/>
            </w:tcBorders>
          </w:tcPr>
          <w:p>
            <w:pPr>
              <w:spacing w:after="0"/>
              <w:rPr>
                <w:sz w:val="2"/>
                <w:szCs w:val="2"/>
                <w:color w:val="auto"/>
              </w:rPr>
            </w:pPr>
          </w:p>
        </w:tc>
        <w:tc>
          <w:tcPr>
            <w:tcW w:w="420" w:type="dxa"/>
            <w:vAlign w:val="bottom"/>
            <w:tcBorders>
              <w:top w:val="single" w:sz="8" w:color="0000EE"/>
              <w:bottom w:val="single" w:sz="8" w:color="E7417A"/>
            </w:tcBorders>
          </w:tcPr>
          <w:p>
            <w:pPr>
              <w:spacing w:after="0"/>
              <w:rPr>
                <w:sz w:val="2"/>
                <w:szCs w:val="2"/>
                <w:color w:val="auto"/>
              </w:rPr>
            </w:pPr>
          </w:p>
        </w:tc>
        <w:tc>
          <w:tcPr>
            <w:tcW w:w="80" w:type="dxa"/>
            <w:vAlign w:val="bottom"/>
            <w:tcBorders>
              <w:bottom w:val="single" w:sz="8" w:color="E7417A"/>
            </w:tcBorders>
          </w:tcPr>
          <w:p>
            <w:pPr>
              <w:spacing w:after="0"/>
              <w:rPr>
                <w:sz w:val="2"/>
                <w:szCs w:val="2"/>
                <w:color w:val="auto"/>
              </w:rPr>
            </w:pPr>
          </w:p>
        </w:tc>
        <w:tc>
          <w:tcPr>
            <w:tcW w:w="140" w:type="dxa"/>
            <w:vAlign w:val="bottom"/>
            <w:tcBorders>
              <w:bottom w:val="single" w:sz="8" w:color="E7417A"/>
            </w:tcBorders>
          </w:tcPr>
          <w:p>
            <w:pPr>
              <w:spacing w:after="0"/>
              <w:rPr>
                <w:sz w:val="2"/>
                <w:szCs w:val="2"/>
                <w:color w:val="auto"/>
              </w:rPr>
            </w:pPr>
          </w:p>
        </w:tc>
        <w:tc>
          <w:tcPr>
            <w:tcW w:w="200" w:type="dxa"/>
            <w:vAlign w:val="bottom"/>
            <w:tcBorders>
              <w:bottom w:val="single" w:sz="8" w:color="E7417A"/>
            </w:tcBorders>
          </w:tcPr>
          <w:p>
            <w:pPr>
              <w:spacing w:after="0"/>
              <w:rPr>
                <w:sz w:val="2"/>
                <w:szCs w:val="2"/>
                <w:color w:val="auto"/>
              </w:rPr>
            </w:pPr>
          </w:p>
        </w:tc>
        <w:tc>
          <w:tcPr>
            <w:tcW w:w="40" w:type="dxa"/>
            <w:vAlign w:val="bottom"/>
            <w:tcBorders>
              <w:bottom w:val="single" w:sz="8" w:color="E7417A"/>
            </w:tcBorders>
          </w:tcPr>
          <w:p>
            <w:pPr>
              <w:spacing w:after="0"/>
              <w:rPr>
                <w:sz w:val="2"/>
                <w:szCs w:val="2"/>
                <w:color w:val="auto"/>
              </w:rPr>
            </w:pPr>
          </w:p>
        </w:tc>
        <w:tc>
          <w:tcPr>
            <w:tcW w:w="300" w:type="dxa"/>
            <w:vAlign w:val="bottom"/>
            <w:tcBorders>
              <w:bottom w:val="single" w:sz="8" w:color="E7417A"/>
            </w:tcBorders>
          </w:tcPr>
          <w:p>
            <w:pPr>
              <w:spacing w:after="0"/>
              <w:rPr>
                <w:sz w:val="2"/>
                <w:szCs w:val="2"/>
                <w:color w:val="auto"/>
              </w:rPr>
            </w:pPr>
          </w:p>
        </w:tc>
        <w:tc>
          <w:tcPr>
            <w:tcW w:w="400" w:type="dxa"/>
            <w:vAlign w:val="bottom"/>
            <w:tcBorders>
              <w:bottom w:val="single" w:sz="8" w:color="E7417A"/>
            </w:tcBorders>
          </w:tcPr>
          <w:p>
            <w:pPr>
              <w:spacing w:after="0"/>
              <w:rPr>
                <w:sz w:val="2"/>
                <w:szCs w:val="2"/>
                <w:color w:val="auto"/>
              </w:rPr>
            </w:pPr>
          </w:p>
        </w:tc>
        <w:tc>
          <w:tcPr>
            <w:tcW w:w="120" w:type="dxa"/>
            <w:vAlign w:val="bottom"/>
            <w:tcBorders>
              <w:bottom w:val="single" w:sz="8" w:color="E7417A"/>
            </w:tcBorders>
          </w:tcPr>
          <w:p>
            <w:pPr>
              <w:spacing w:after="0"/>
              <w:rPr>
                <w:sz w:val="2"/>
                <w:szCs w:val="2"/>
                <w:color w:val="auto"/>
              </w:rPr>
            </w:pPr>
          </w:p>
        </w:tc>
        <w:tc>
          <w:tcPr>
            <w:tcW w:w="20" w:type="dxa"/>
            <w:vAlign w:val="bottom"/>
            <w:tcBorders>
              <w:bottom w:val="single" w:sz="8" w:color="E7417A"/>
            </w:tcBorders>
          </w:tcPr>
          <w:p>
            <w:pPr>
              <w:spacing w:after="0"/>
              <w:rPr>
                <w:sz w:val="2"/>
                <w:szCs w:val="2"/>
                <w:color w:val="auto"/>
              </w:rPr>
            </w:pPr>
          </w:p>
        </w:tc>
        <w:tc>
          <w:tcPr>
            <w:tcW w:w="220" w:type="dxa"/>
            <w:vAlign w:val="bottom"/>
            <w:tcBorders>
              <w:bottom w:val="single" w:sz="8" w:color="E7417A"/>
            </w:tcBorders>
          </w:tcPr>
          <w:p>
            <w:pPr>
              <w:spacing w:after="0"/>
              <w:rPr>
                <w:sz w:val="2"/>
                <w:szCs w:val="2"/>
                <w:color w:val="auto"/>
              </w:rPr>
            </w:pPr>
          </w:p>
        </w:tc>
        <w:tc>
          <w:tcPr>
            <w:tcW w:w="100" w:type="dxa"/>
            <w:vAlign w:val="bottom"/>
            <w:tcBorders>
              <w:bottom w:val="single" w:sz="8" w:color="E7417A"/>
            </w:tcBorders>
          </w:tcPr>
          <w:p>
            <w:pPr>
              <w:spacing w:after="0"/>
              <w:rPr>
                <w:sz w:val="2"/>
                <w:szCs w:val="2"/>
                <w:color w:val="auto"/>
              </w:rPr>
            </w:pPr>
          </w:p>
        </w:tc>
        <w:tc>
          <w:tcPr>
            <w:tcW w:w="20" w:type="dxa"/>
            <w:vAlign w:val="bottom"/>
            <w:tcBorders>
              <w:bottom w:val="single" w:sz="8" w:color="E7417A"/>
            </w:tcBorders>
          </w:tcPr>
          <w:p>
            <w:pPr>
              <w:spacing w:after="0"/>
              <w:rPr>
                <w:sz w:val="2"/>
                <w:szCs w:val="2"/>
                <w:color w:val="auto"/>
              </w:rPr>
            </w:pPr>
          </w:p>
        </w:tc>
        <w:tc>
          <w:tcPr>
            <w:tcW w:w="340" w:type="dxa"/>
            <w:vAlign w:val="bottom"/>
            <w:tcBorders>
              <w:bottom w:val="single" w:sz="8" w:color="E7417A"/>
            </w:tcBorders>
          </w:tcPr>
          <w:p>
            <w:pPr>
              <w:spacing w:after="0"/>
              <w:rPr>
                <w:sz w:val="2"/>
                <w:szCs w:val="2"/>
                <w:color w:val="auto"/>
              </w:rPr>
            </w:pPr>
          </w:p>
        </w:tc>
        <w:tc>
          <w:tcPr>
            <w:tcW w:w="100" w:type="dxa"/>
            <w:vAlign w:val="bottom"/>
            <w:tcBorders>
              <w:bottom w:val="single" w:sz="8" w:color="E7417A"/>
            </w:tcBorders>
          </w:tcPr>
          <w:p>
            <w:pPr>
              <w:spacing w:after="0"/>
              <w:rPr>
                <w:sz w:val="2"/>
                <w:szCs w:val="2"/>
                <w:color w:val="auto"/>
              </w:rPr>
            </w:pPr>
          </w:p>
        </w:tc>
        <w:tc>
          <w:tcPr>
            <w:tcW w:w="60" w:type="dxa"/>
            <w:vAlign w:val="bottom"/>
            <w:tcBorders>
              <w:bottom w:val="single" w:sz="8" w:color="E7417A"/>
            </w:tcBorders>
          </w:tcPr>
          <w:p>
            <w:pPr>
              <w:spacing w:after="0"/>
              <w:rPr>
                <w:sz w:val="2"/>
                <w:szCs w:val="2"/>
                <w:color w:val="auto"/>
              </w:rPr>
            </w:pPr>
          </w:p>
        </w:tc>
        <w:tc>
          <w:tcPr>
            <w:tcW w:w="140" w:type="dxa"/>
            <w:vAlign w:val="bottom"/>
            <w:tcBorders>
              <w:bottom w:val="single" w:sz="8" w:color="E7417A"/>
            </w:tcBorders>
          </w:tcPr>
          <w:p>
            <w:pPr>
              <w:spacing w:after="0"/>
              <w:rPr>
                <w:sz w:val="2"/>
                <w:szCs w:val="2"/>
                <w:color w:val="auto"/>
              </w:rPr>
            </w:pPr>
          </w:p>
        </w:tc>
        <w:tc>
          <w:tcPr>
            <w:tcW w:w="20" w:type="dxa"/>
            <w:vAlign w:val="bottom"/>
            <w:tcBorders>
              <w:bottom w:val="single" w:sz="8" w:color="E7417A"/>
            </w:tcBorders>
          </w:tcPr>
          <w:p>
            <w:pPr>
              <w:spacing w:after="0"/>
              <w:rPr>
                <w:sz w:val="2"/>
                <w:szCs w:val="2"/>
                <w:color w:val="auto"/>
              </w:rPr>
            </w:pPr>
          </w:p>
        </w:tc>
        <w:tc>
          <w:tcPr>
            <w:tcW w:w="180" w:type="dxa"/>
            <w:vAlign w:val="bottom"/>
            <w:tcBorders>
              <w:bottom w:val="single" w:sz="8" w:color="E7417A"/>
            </w:tcBorders>
          </w:tcPr>
          <w:p>
            <w:pPr>
              <w:spacing w:after="0"/>
              <w:rPr>
                <w:sz w:val="2"/>
                <w:szCs w:val="2"/>
                <w:color w:val="auto"/>
              </w:rPr>
            </w:pPr>
          </w:p>
        </w:tc>
        <w:tc>
          <w:tcPr>
            <w:tcW w:w="20" w:type="dxa"/>
            <w:vAlign w:val="bottom"/>
            <w:tcBorders>
              <w:bottom w:val="single" w:sz="8" w:color="E7417A"/>
            </w:tcBorders>
          </w:tcPr>
          <w:p>
            <w:pPr>
              <w:spacing w:after="0"/>
              <w:rPr>
                <w:sz w:val="2"/>
                <w:szCs w:val="2"/>
                <w:color w:val="auto"/>
              </w:rPr>
            </w:pPr>
          </w:p>
        </w:tc>
        <w:tc>
          <w:tcPr>
            <w:tcW w:w="120" w:type="dxa"/>
            <w:vAlign w:val="bottom"/>
            <w:tcBorders>
              <w:bottom w:val="single" w:sz="8" w:color="E7417A"/>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line="142"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42" w:lineRule="exact"/>
              <w:rPr>
                <w:sz w:val="20"/>
                <w:szCs w:val="20"/>
                <w:color w:val="auto"/>
              </w:rPr>
            </w:pPr>
            <w:r>
              <w:rPr>
                <w:rFonts w:ascii="Arial" w:cs="Arial" w:eastAsia="Arial" w:hAnsi="Arial"/>
                <w:sz w:val="15"/>
                <w:szCs w:val="15"/>
                <w:color w:val="0000EE"/>
                <w:w w:val="83"/>
              </w:rPr>
              <w:t>50</w:t>
            </w:r>
          </w:p>
        </w:tc>
        <w:tc>
          <w:tcPr>
            <w:tcW w:w="3600" w:type="dxa"/>
            <w:vAlign w:val="bottom"/>
            <w:gridSpan w:val="19"/>
          </w:tcPr>
          <w:p>
            <w:pPr>
              <w:ind w:left="140"/>
              <w:spacing w:after="0" w:line="14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color w:val="0000EE"/>
              </w:rPr>
              <w:t>Stock Ownership Requirements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120" w:type="dxa"/>
            <w:vAlign w:val="bottom"/>
          </w:tcPr>
          <w:p>
            <w:pPr>
              <w:spacing w:after="0" w:line="162"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0000EE"/>
            </w:tcBorders>
          </w:tcPr>
          <w:p>
            <w:pPr>
              <w:jc w:val="right"/>
              <w:spacing w:after="0" w:line="162" w:lineRule="exact"/>
              <w:rPr>
                <w:sz w:val="20"/>
                <w:szCs w:val="20"/>
                <w:color w:val="auto"/>
              </w:rPr>
            </w:pPr>
            <w:r>
              <w:rPr>
                <w:rFonts w:ascii="Arial" w:cs="Arial" w:eastAsia="Arial" w:hAnsi="Arial"/>
                <w:sz w:val="15"/>
                <w:szCs w:val="15"/>
                <w:color w:val="0000EE"/>
                <w:w w:val="83"/>
              </w:rPr>
              <w:t>51</w:t>
            </w:r>
          </w:p>
        </w:tc>
        <w:tc>
          <w:tcPr>
            <w:tcW w:w="360" w:type="dxa"/>
            <w:vAlign w:val="bottom"/>
          </w:tcPr>
          <w:p>
            <w:pPr>
              <w:ind w:left="140"/>
              <w:spacing w:after="0" w:line="162" w:lineRule="exact"/>
              <w:rPr>
                <w:sz w:val="20"/>
                <w:szCs w:val="20"/>
                <w:color w:val="auto"/>
              </w:rPr>
            </w:pPr>
            <w:r>
              <w:rPr>
                <w:rFonts w:ascii="Arial" w:cs="Arial" w:eastAsia="Arial" w:hAnsi="Arial"/>
                <w:sz w:val="15"/>
                <w:szCs w:val="15"/>
                <w:color w:val="auto"/>
              </w:rPr>
              <w:t>​ ​</w:t>
            </w:r>
          </w:p>
        </w:tc>
        <w:tc>
          <w:tcPr>
            <w:tcW w:w="2220" w:type="dxa"/>
            <w:vAlign w:val="bottom"/>
            <w:tcBorders>
              <w:top w:val="single" w:sz="8" w:color="0000EE"/>
            </w:tcBorders>
            <w:gridSpan w:val="9"/>
          </w:tcPr>
          <w:p>
            <w:pPr>
              <w:spacing w:after="0" w:line="162" w:lineRule="exact"/>
              <w:rPr>
                <w:sz w:val="20"/>
                <w:szCs w:val="20"/>
                <w:color w:val="auto"/>
              </w:rPr>
            </w:pPr>
            <w:r>
              <w:rPr>
                <w:rFonts w:ascii="Arial" w:cs="Arial" w:eastAsia="Arial" w:hAnsi="Arial"/>
                <w:sz w:val="15"/>
                <w:szCs w:val="15"/>
                <w:color w:val="0000EE"/>
              </w:rPr>
              <w:t>Clawback Policy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ind w:left="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5"/>
                <w:szCs w:val="15"/>
                <w:color w:val="0000EE"/>
                <w:w w:val="83"/>
              </w:rPr>
              <w:t>51</w:t>
            </w:r>
          </w:p>
        </w:tc>
        <w:tc>
          <w:tcPr>
            <w:tcW w:w="360" w:type="dxa"/>
            <w:vAlign w:val="bottom"/>
          </w:tcPr>
          <w:p>
            <w:pPr>
              <w:ind w:left="140"/>
              <w:spacing w:after="0" w:line="169" w:lineRule="exact"/>
              <w:rPr>
                <w:sz w:val="20"/>
                <w:szCs w:val="20"/>
                <w:color w:val="auto"/>
              </w:rPr>
            </w:pPr>
            <w:r>
              <w:rPr>
                <w:rFonts w:ascii="Arial" w:cs="Arial" w:eastAsia="Arial" w:hAnsi="Arial"/>
                <w:sz w:val="15"/>
                <w:szCs w:val="15"/>
                <w:color w:val="auto"/>
              </w:rPr>
              <w:t>​ ​</w:t>
            </w:r>
          </w:p>
        </w:tc>
        <w:tc>
          <w:tcPr>
            <w:tcW w:w="116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5"/>
                <w:szCs w:val="15"/>
                <w:color w:val="0000EE"/>
              </w:rPr>
              <w:t>Insider Trading</w:t>
            </w:r>
          </w:p>
        </w:tc>
        <w:tc>
          <w:tcPr>
            <w:tcW w:w="2080" w:type="dxa"/>
            <w:vAlign w:val="bottom"/>
            <w:gridSpan w:val="14"/>
          </w:tcPr>
          <w:p>
            <w:pPr>
              <w:spacing w:after="0" w:line="169" w:lineRule="exact"/>
              <w:rPr>
                <w:sz w:val="20"/>
                <w:szCs w:val="20"/>
                <w:color w:val="auto"/>
              </w:rPr>
            </w:pPr>
            <w:r>
              <w:rPr>
                <w:rFonts w:ascii="Arial" w:cs="Arial" w:eastAsia="Arial" w:hAnsi="Arial"/>
                <w:sz w:val="15"/>
                <w:szCs w:val="15"/>
                <w:color w:val="0000EE"/>
              </w:rPr>
              <w:t>Policy and Policy Regarding</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ind w:left="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Borders>
              <w:top w:val="single" w:sz="8" w:color="0000EE"/>
              <w:bottom w:val="single" w:sz="8" w:color="0000EE"/>
            </w:tcBorders>
            <w:gridSpan w:val="16"/>
          </w:tcPr>
          <w:p>
            <w:pPr>
              <w:spacing w:after="0" w:line="142" w:lineRule="exact"/>
              <w:rPr>
                <w:sz w:val="20"/>
                <w:szCs w:val="20"/>
                <w:color w:val="auto"/>
              </w:rPr>
            </w:pPr>
            <w:r>
              <w:rPr>
                <w:rFonts w:ascii="Arial" w:cs="Arial" w:eastAsia="Arial" w:hAnsi="Arial"/>
                <w:sz w:val="15"/>
                <w:szCs w:val="15"/>
                <w:color w:val="0000EE"/>
                <w:w w:val="99"/>
              </w:rPr>
              <w:t>Transactions Involving Hedging, Monetization,</w:t>
            </w:r>
          </w:p>
        </w:tc>
        <w:tc>
          <w:tcPr>
            <w:tcW w:w="160" w:type="dxa"/>
            <w:vAlign w:val="bottom"/>
            <w:tcBorders>
              <w:bottom w:val="single" w:sz="8" w:color="0000EE"/>
            </w:tcBorders>
            <w:gridSpan w:val="2"/>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40" w:type="dxa"/>
            <w:vAlign w:val="bottom"/>
            <w:gridSpan w:val="18"/>
          </w:tcPr>
          <w:p>
            <w:pPr>
              <w:spacing w:after="0" w:line="156" w:lineRule="exact"/>
              <w:rPr>
                <w:sz w:val="20"/>
                <w:szCs w:val="20"/>
                <w:color w:val="auto"/>
              </w:rPr>
            </w:pPr>
            <w:r>
              <w:rPr>
                <w:rFonts w:ascii="Arial" w:cs="Arial" w:eastAsia="Arial" w:hAnsi="Arial"/>
                <w:sz w:val="15"/>
                <w:szCs w:val="15"/>
                <w:color w:val="0000EE"/>
              </w:rPr>
              <w:t>Margin Accounts and Pledges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0000EE"/>
                <w:w w:val="83"/>
              </w:rPr>
              <w:t>51</w:t>
            </w:r>
          </w:p>
        </w:tc>
        <w:tc>
          <w:tcPr>
            <w:tcW w:w="360" w:type="dxa"/>
            <w:vAlign w:val="bottom"/>
          </w:tcPr>
          <w:p>
            <w:pPr>
              <w:ind w:left="140"/>
              <w:spacing w:after="0"/>
              <w:rPr>
                <w:sz w:val="20"/>
                <w:szCs w:val="20"/>
                <w:color w:val="auto"/>
              </w:rPr>
            </w:pPr>
            <w:r>
              <w:rPr>
                <w:rFonts w:ascii="Arial" w:cs="Arial" w:eastAsia="Arial" w:hAnsi="Arial"/>
                <w:sz w:val="15"/>
                <w:szCs w:val="15"/>
                <w:color w:val="auto"/>
              </w:rPr>
              <w:t>​ ​</w:t>
            </w:r>
          </w:p>
        </w:tc>
        <w:tc>
          <w:tcPr>
            <w:tcW w:w="2100" w:type="dxa"/>
            <w:vAlign w:val="bottom"/>
            <w:tcBorders>
              <w:top w:val="single" w:sz="8" w:color="0000EE"/>
            </w:tcBorders>
            <w:gridSpan w:val="8"/>
          </w:tcPr>
          <w:p>
            <w:pPr>
              <w:spacing w:after="0"/>
              <w:rPr>
                <w:sz w:val="20"/>
                <w:szCs w:val="20"/>
                <w:color w:val="auto"/>
              </w:rPr>
            </w:pPr>
            <w:r>
              <w:rPr>
                <w:rFonts w:ascii="Arial" w:cs="Arial" w:eastAsia="Arial" w:hAnsi="Arial"/>
                <w:sz w:val="15"/>
                <w:szCs w:val="15"/>
                <w:color w:val="0000EE"/>
              </w:rPr>
              <w:t>Timing of Stock Options and</w:t>
            </w:r>
          </w:p>
        </w:tc>
        <w:tc>
          <w:tcPr>
            <w:tcW w:w="1140" w:type="dxa"/>
            <w:vAlign w:val="bottom"/>
            <w:gridSpan w:val="10"/>
          </w:tcPr>
          <w:p>
            <w:pPr>
              <w:spacing w:after="0"/>
              <w:rPr>
                <w:sz w:val="20"/>
                <w:szCs w:val="20"/>
                <w:color w:val="auto"/>
              </w:rPr>
            </w:pPr>
            <w:r>
              <w:rPr>
                <w:rFonts w:ascii="Arial" w:cs="Arial" w:eastAsia="Arial" w:hAnsi="Arial"/>
                <w:sz w:val="15"/>
                <w:szCs w:val="15"/>
                <w:color w:val="0000EE"/>
              </w:rPr>
              <w:t>Other Equity</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120" w:type="dxa"/>
            <w:vAlign w:val="bottom"/>
            <w:vMerge w:val="restart"/>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Borders>
              <w:top w:val="single" w:sz="8" w:color="0000EE"/>
            </w:tcBorders>
          </w:tcPr>
          <w:p>
            <w:pPr>
              <w:spacing w:after="0"/>
              <w:rPr>
                <w:sz w:val="12"/>
                <w:szCs w:val="12"/>
                <w:color w:val="auto"/>
              </w:rPr>
            </w:pPr>
          </w:p>
        </w:tc>
        <w:tc>
          <w:tcPr>
            <w:tcW w:w="3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 ​</w:t>
            </w:r>
          </w:p>
        </w:tc>
        <w:tc>
          <w:tcPr>
            <w:tcW w:w="520" w:type="dxa"/>
            <w:vAlign w:val="bottom"/>
            <w:tcBorders>
              <w:top w:val="single" w:sz="8" w:color="0000EE"/>
              <w:bottom w:val="single" w:sz="8" w:color="0000EE"/>
            </w:tcBorders>
          </w:tcPr>
          <w:p>
            <w:pPr>
              <w:spacing w:after="0" w:line="142" w:lineRule="exact"/>
              <w:rPr>
                <w:sz w:val="20"/>
                <w:szCs w:val="20"/>
                <w:color w:val="auto"/>
              </w:rPr>
            </w:pPr>
            <w:r>
              <w:rPr>
                <w:rFonts w:ascii="Arial" w:cs="Arial" w:eastAsia="Arial" w:hAnsi="Arial"/>
                <w:sz w:val="15"/>
                <w:szCs w:val="15"/>
                <w:color w:val="0000EE"/>
                <w:w w:val="99"/>
              </w:rPr>
              <w:t>Awards</w:t>
            </w:r>
          </w:p>
        </w:tc>
        <w:tc>
          <w:tcPr>
            <w:tcW w:w="2400" w:type="dxa"/>
            <w:vAlign w:val="bottom"/>
            <w:tcBorders>
              <w:top w:val="single" w:sz="8" w:color="0000EE"/>
            </w:tcBorders>
            <w:gridSpan w:val="13"/>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gridSpan w:val="3"/>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20" w:type="dxa"/>
            <w:vAlign w:val="bottom"/>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0000EE"/>
                <w:w w:val="95"/>
              </w:rPr>
              <w:t>51</w:t>
            </w:r>
          </w:p>
        </w:tc>
        <w:tc>
          <w:tcPr>
            <w:tcW w:w="360" w:type="dxa"/>
            <w:vAlign w:val="bottom"/>
            <w:vMerge w:val="continue"/>
          </w:tcPr>
          <w:p>
            <w:pPr>
              <w:spacing w:after="0"/>
              <w:rPr>
                <w:sz w:val="22"/>
                <w:szCs w:val="22"/>
                <w:color w:val="auto"/>
              </w:rPr>
            </w:pPr>
          </w:p>
        </w:tc>
        <w:tc>
          <w:tcPr>
            <w:tcW w:w="3560" w:type="dxa"/>
            <w:vAlign w:val="bottom"/>
            <w:gridSpan w:val="21"/>
          </w:tcPr>
          <w:p>
            <w:pPr>
              <w:spacing w:after="0" w:line="264" w:lineRule="exact"/>
              <w:rPr>
                <w:sz w:val="20"/>
                <w:szCs w:val="20"/>
                <w:color w:val="auto"/>
              </w:rPr>
            </w:pPr>
            <w:r>
              <w:rPr>
                <w:rFonts w:ascii="Arial" w:cs="Arial" w:eastAsia="Arial" w:hAnsi="Arial"/>
                <w:sz w:val="15"/>
                <w:szCs w:val="15"/>
                <w:b w:val="1"/>
                <w:bCs w:val="1"/>
                <w:color w:val="0000EE"/>
              </w:rPr>
              <w:t xml:space="preserve">TAX AND ACCOUNTING CONSIDERATIONS </w:t>
            </w:r>
            <w:r>
              <w:rPr>
                <w:rFonts w:ascii="Arial" w:cs="Arial" w:eastAsia="Arial" w:hAnsi="Arial"/>
                <w:sz w:val="30"/>
                <w:szCs w:val="30"/>
                <w:b w:val="1"/>
                <w:bCs w:val="1"/>
                <w:color w:val="000000"/>
                <w:vertAlign w:val="superscript"/>
              </w:rPr>
              <w:t>​</w:t>
            </w: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52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00" w:type="dxa"/>
            <w:vAlign w:val="bottom"/>
            <w:tcBorders>
              <w:top w:val="single" w:sz="8" w:color="0000EE"/>
              <w:bottom w:val="single" w:sz="8" w:color="E7417A"/>
            </w:tcBorders>
          </w:tcPr>
          <w:p>
            <w:pPr>
              <w:spacing w:after="0" w:line="20" w:lineRule="exact"/>
              <w:rPr>
                <w:sz w:val="1"/>
                <w:szCs w:val="1"/>
                <w:color w:val="auto"/>
              </w:rPr>
            </w:pPr>
          </w:p>
        </w:tc>
        <w:tc>
          <w:tcPr>
            <w:tcW w:w="40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2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340" w:type="dxa"/>
            <w:vAlign w:val="bottom"/>
            <w:tcBorders>
              <w:top w:val="single" w:sz="8" w:color="0000EE"/>
              <w:bottom w:val="single" w:sz="8" w:color="E7417A"/>
            </w:tcBorders>
          </w:tcPr>
          <w:p>
            <w:pPr>
              <w:spacing w:after="0" w:line="20" w:lineRule="exact"/>
              <w:rPr>
                <w:sz w:val="1"/>
                <w:szCs w:val="1"/>
                <w:color w:val="auto"/>
              </w:rPr>
            </w:pPr>
          </w:p>
        </w:tc>
        <w:tc>
          <w:tcPr>
            <w:tcW w:w="100" w:type="dxa"/>
            <w:vAlign w:val="bottom"/>
            <w:tcBorders>
              <w:top w:val="single" w:sz="8" w:color="0000EE"/>
              <w:bottom w:val="single" w:sz="8" w:color="E7417A"/>
            </w:tcBorders>
          </w:tcPr>
          <w:p>
            <w:pPr>
              <w:spacing w:after="0" w:line="20" w:lineRule="exact"/>
              <w:rPr>
                <w:sz w:val="1"/>
                <w:szCs w:val="1"/>
                <w:color w:val="auto"/>
              </w:rPr>
            </w:pPr>
          </w:p>
        </w:tc>
        <w:tc>
          <w:tcPr>
            <w:tcW w:w="6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18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180" w:type="dxa"/>
            <w:vAlign w:val="bottom"/>
          </w:tcPr>
          <w:p>
            <w:pPr>
              <w:jc w:val="right"/>
              <w:spacing w:after="0" w:line="156" w:lineRule="exact"/>
              <w:rPr>
                <w:sz w:val="20"/>
                <w:szCs w:val="20"/>
                <w:color w:val="auto"/>
              </w:rPr>
            </w:pPr>
            <w:r>
              <w:rPr>
                <w:rFonts w:ascii="Arial" w:cs="Arial" w:eastAsia="Arial" w:hAnsi="Arial"/>
                <w:sz w:val="15"/>
                <w:szCs w:val="15"/>
                <w:color w:val="0000EE"/>
                <w:w w:val="83"/>
              </w:rPr>
              <w:t>51</w:t>
            </w:r>
          </w:p>
        </w:tc>
        <w:tc>
          <w:tcPr>
            <w:tcW w:w="3600" w:type="dxa"/>
            <w:vAlign w:val="bottom"/>
            <w:gridSpan w:val="19"/>
          </w:tcPr>
          <w:p>
            <w:pPr>
              <w:ind w:left="140"/>
              <w:spacing w:after="0" w:line="156" w:lineRule="exact"/>
              <w:rPr>
                <w:sz w:val="20"/>
                <w:szCs w:val="20"/>
                <w:color w:val="auto"/>
              </w:rPr>
            </w:pPr>
            <w:r>
              <w:rPr>
                <w:rFonts w:ascii="Arial" w:cs="Arial" w:eastAsia="Arial" w:hAnsi="Arial"/>
                <w:sz w:val="15"/>
                <w:szCs w:val="15"/>
                <w:color w:val="auto"/>
              </w:rPr>
              <w:t xml:space="preserve">​ ​ </w:t>
            </w:r>
            <w:r>
              <w:rPr>
                <w:rFonts w:ascii="Arial" w:cs="Arial" w:eastAsia="Arial" w:hAnsi="Arial"/>
                <w:sz w:val="15"/>
                <w:szCs w:val="15"/>
                <w:color w:val="0000EE"/>
              </w:rPr>
              <w:t>Accounting for Stock-Based Compensation</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ind w:left="20"/>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12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5"/>
                <w:szCs w:val="15"/>
                <w:color w:val="0000EE"/>
                <w:w w:val="83"/>
              </w:rPr>
              <w:t>51</w:t>
            </w:r>
          </w:p>
        </w:tc>
        <w:tc>
          <w:tcPr>
            <w:tcW w:w="360" w:type="dxa"/>
            <w:vAlign w:val="bottom"/>
          </w:tcPr>
          <w:p>
            <w:pPr>
              <w:ind w:left="140"/>
              <w:spacing w:after="0" w:line="169" w:lineRule="exact"/>
              <w:rPr>
                <w:sz w:val="20"/>
                <w:szCs w:val="20"/>
                <w:color w:val="auto"/>
              </w:rPr>
            </w:pPr>
            <w:r>
              <w:rPr>
                <w:rFonts w:ascii="Arial" w:cs="Arial" w:eastAsia="Arial" w:hAnsi="Arial"/>
                <w:sz w:val="15"/>
                <w:szCs w:val="15"/>
                <w:color w:val="auto"/>
              </w:rPr>
              <w:t>​ ​</w:t>
            </w:r>
          </w:p>
        </w:tc>
        <w:tc>
          <w:tcPr>
            <w:tcW w:w="3020" w:type="dxa"/>
            <w:vAlign w:val="bottom"/>
            <w:tcBorders>
              <w:top w:val="single" w:sz="8" w:color="0000EE"/>
            </w:tcBorders>
            <w:gridSpan w:val="15"/>
          </w:tcPr>
          <w:p>
            <w:pPr>
              <w:spacing w:after="0" w:line="169" w:lineRule="exact"/>
              <w:rPr>
                <w:sz w:val="20"/>
                <w:szCs w:val="20"/>
                <w:color w:val="auto"/>
              </w:rPr>
            </w:pPr>
            <w:r>
              <w:rPr>
                <w:rFonts w:ascii="Arial" w:cs="Arial" w:eastAsia="Arial" w:hAnsi="Arial"/>
                <w:sz w:val="15"/>
                <w:szCs w:val="15"/>
                <w:color w:val="0000EE"/>
              </w:rPr>
              <w:t>Policy on Deductibility of Executive</w:t>
            </w:r>
          </w:p>
        </w:tc>
        <w:tc>
          <w:tcPr>
            <w:tcW w:w="220" w:type="dxa"/>
            <w:vAlign w:val="bottom"/>
            <w:gridSpan w:val="3"/>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ind w:left="2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tcBorders>
              <w:top w:val="single" w:sz="8" w:color="0000EE"/>
              <w:bottom w:val="single" w:sz="8" w:color="0000EE"/>
            </w:tcBorders>
            <w:gridSpan w:val="3"/>
          </w:tcPr>
          <w:p>
            <w:pPr>
              <w:spacing w:after="0" w:line="142" w:lineRule="exact"/>
              <w:rPr>
                <w:sz w:val="20"/>
                <w:szCs w:val="20"/>
                <w:color w:val="auto"/>
              </w:rPr>
            </w:pPr>
            <w:r>
              <w:rPr>
                <w:rFonts w:ascii="Arial" w:cs="Arial" w:eastAsia="Arial" w:hAnsi="Arial"/>
                <w:sz w:val="15"/>
                <w:szCs w:val="15"/>
                <w:color w:val="0000EE"/>
              </w:rPr>
              <w:t>Compensation</w:t>
            </w:r>
          </w:p>
        </w:tc>
        <w:tc>
          <w:tcPr>
            <w:tcW w:w="1440" w:type="dxa"/>
            <w:vAlign w:val="bottom"/>
            <w:tcBorders>
              <w:top w:val="single" w:sz="8" w:color="0000EE"/>
            </w:tcBorders>
            <w:gridSpan w:val="8"/>
          </w:tcPr>
          <w:p>
            <w:pPr>
              <w:spacing w:after="0"/>
              <w:rPr>
                <w:sz w:val="12"/>
                <w:szCs w:val="12"/>
                <w:color w:val="auto"/>
              </w:rPr>
            </w:pPr>
          </w:p>
        </w:tc>
        <w:tc>
          <w:tcPr>
            <w:tcW w:w="780" w:type="dxa"/>
            <w:vAlign w:val="bottom"/>
            <w:gridSpan w:val="7"/>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0000EE"/>
                <w:w w:val="95"/>
              </w:rPr>
              <w:t>52</w:t>
            </w:r>
          </w:p>
        </w:tc>
        <w:tc>
          <w:tcPr>
            <w:tcW w:w="360" w:type="dxa"/>
            <w:vAlign w:val="bottom"/>
          </w:tcPr>
          <w:p>
            <w:pPr>
              <w:ind w:left="140"/>
              <w:spacing w:after="0"/>
              <w:rPr>
                <w:sz w:val="20"/>
                <w:szCs w:val="20"/>
                <w:color w:val="auto"/>
              </w:rPr>
            </w:pPr>
            <w:r>
              <w:rPr>
                <w:rFonts w:ascii="Arial" w:cs="Arial" w:eastAsia="Arial" w:hAnsi="Arial"/>
                <w:sz w:val="15"/>
                <w:szCs w:val="15"/>
                <w:b w:val="1"/>
                <w:bCs w:val="1"/>
                <w:color w:val="auto"/>
              </w:rPr>
              <w:t>​ ​</w:t>
            </w:r>
          </w:p>
        </w:tc>
        <w:tc>
          <w:tcPr>
            <w:tcW w:w="3560" w:type="dxa"/>
            <w:vAlign w:val="bottom"/>
            <w:gridSpan w:val="21"/>
          </w:tcPr>
          <w:p>
            <w:pPr>
              <w:spacing w:after="0" w:line="264" w:lineRule="exact"/>
              <w:rPr>
                <w:sz w:val="20"/>
                <w:szCs w:val="20"/>
                <w:color w:val="auto"/>
              </w:rPr>
            </w:pPr>
            <w:r>
              <w:rPr>
                <w:rFonts w:ascii="Arial" w:cs="Arial" w:eastAsia="Arial" w:hAnsi="Arial"/>
                <w:sz w:val="15"/>
                <w:szCs w:val="15"/>
                <w:b w:val="1"/>
                <w:bCs w:val="1"/>
                <w:color w:val="0000EE"/>
              </w:rPr>
              <w:t xml:space="preserve">RISK MANAGEMENT AND OUR EXECUTIVE </w:t>
            </w:r>
            <w:r>
              <w:rPr>
                <w:rFonts w:ascii="Arial" w:cs="Arial" w:eastAsia="Arial" w:hAnsi="Arial"/>
                <w:sz w:val="30"/>
                <w:szCs w:val="30"/>
                <w:b w:val="1"/>
                <w:bCs w:val="1"/>
                <w:color w:val="000000"/>
                <w:vertAlign w:val="superscript"/>
              </w:rPr>
              <w:t>​</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360" w:type="dxa"/>
            <w:vAlign w:val="bottom"/>
          </w:tcPr>
          <w:p>
            <w:pPr>
              <w:spacing w:after="0"/>
              <w:rPr>
                <w:sz w:val="12"/>
                <w:szCs w:val="12"/>
                <w:color w:val="auto"/>
              </w:rPr>
            </w:pPr>
          </w:p>
        </w:tc>
        <w:tc>
          <w:tcPr>
            <w:tcW w:w="3240" w:type="dxa"/>
            <w:vAlign w:val="bottom"/>
            <w:tcBorders>
              <w:top w:val="single" w:sz="8" w:color="0000EE"/>
            </w:tcBorders>
            <w:gridSpan w:val="18"/>
          </w:tcPr>
          <w:p>
            <w:pPr>
              <w:spacing w:after="0" w:line="142" w:lineRule="exact"/>
              <w:rPr>
                <w:sz w:val="20"/>
                <w:szCs w:val="20"/>
                <w:color w:val="auto"/>
              </w:rPr>
            </w:pPr>
            <w:r>
              <w:rPr>
                <w:rFonts w:ascii="Arial" w:cs="Arial" w:eastAsia="Arial" w:hAnsi="Arial"/>
                <w:sz w:val="15"/>
                <w:szCs w:val="15"/>
                <w:b w:val="1"/>
                <w:bCs w:val="1"/>
                <w:color w:val="0000EE"/>
              </w:rPr>
              <w:t>COMPENSATION PROGRAM</w:t>
            </w:r>
          </w:p>
        </w:tc>
        <w:tc>
          <w:tcPr>
            <w:tcW w:w="1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7417A"/>
            </w:tcBorders>
          </w:tcPr>
          <w:p>
            <w:pPr>
              <w:spacing w:after="0" w:line="20" w:lineRule="exact"/>
              <w:rPr>
                <w:sz w:val="1"/>
                <w:szCs w:val="1"/>
                <w:color w:val="auto"/>
              </w:rPr>
            </w:pPr>
          </w:p>
        </w:tc>
        <w:tc>
          <w:tcPr>
            <w:tcW w:w="180" w:type="dxa"/>
            <w:vAlign w:val="bottom"/>
            <w:tcBorders>
              <w:bottom w:val="single" w:sz="8" w:color="E7417A"/>
            </w:tcBorders>
          </w:tcPr>
          <w:p>
            <w:pPr>
              <w:spacing w:after="0" w:line="20" w:lineRule="exact"/>
              <w:rPr>
                <w:sz w:val="1"/>
                <w:szCs w:val="1"/>
                <w:color w:val="auto"/>
              </w:rPr>
            </w:pPr>
          </w:p>
        </w:tc>
        <w:tc>
          <w:tcPr>
            <w:tcW w:w="360" w:type="dxa"/>
            <w:vAlign w:val="bottom"/>
            <w:tcBorders>
              <w:bottom w:val="single" w:sz="8" w:color="E7417A"/>
            </w:tcBorders>
          </w:tcPr>
          <w:p>
            <w:pPr>
              <w:spacing w:after="0" w:line="20" w:lineRule="exact"/>
              <w:rPr>
                <w:sz w:val="1"/>
                <w:szCs w:val="1"/>
                <w:color w:val="auto"/>
              </w:rPr>
            </w:pPr>
          </w:p>
        </w:tc>
        <w:tc>
          <w:tcPr>
            <w:tcW w:w="520" w:type="dxa"/>
            <w:vAlign w:val="bottom"/>
            <w:tcBorders>
              <w:top w:val="single" w:sz="8" w:color="0000EE"/>
              <w:bottom w:val="single" w:sz="8" w:color="E7417A"/>
            </w:tcBorders>
          </w:tcPr>
          <w:p>
            <w:pPr>
              <w:spacing w:after="0" w:line="20" w:lineRule="exact"/>
              <w:rPr>
                <w:sz w:val="1"/>
                <w:szCs w:val="1"/>
                <w:color w:val="auto"/>
              </w:rPr>
            </w:pPr>
          </w:p>
        </w:tc>
        <w:tc>
          <w:tcPr>
            <w:tcW w:w="420" w:type="dxa"/>
            <w:vAlign w:val="bottom"/>
            <w:tcBorders>
              <w:top w:val="single" w:sz="8" w:color="0000EE"/>
              <w:bottom w:val="single" w:sz="8" w:color="E7417A"/>
            </w:tcBorders>
          </w:tcPr>
          <w:p>
            <w:pPr>
              <w:spacing w:after="0" w:line="20" w:lineRule="exact"/>
              <w:rPr>
                <w:sz w:val="1"/>
                <w:szCs w:val="1"/>
                <w:color w:val="auto"/>
              </w:rPr>
            </w:pPr>
          </w:p>
        </w:tc>
        <w:tc>
          <w:tcPr>
            <w:tcW w:w="80" w:type="dxa"/>
            <w:vAlign w:val="bottom"/>
            <w:tcBorders>
              <w:top w:val="single" w:sz="8" w:color="0000EE"/>
              <w:bottom w:val="single" w:sz="8" w:color="E7417A"/>
            </w:tcBorders>
          </w:tcPr>
          <w:p>
            <w:pPr>
              <w:spacing w:after="0" w:line="20" w:lineRule="exact"/>
              <w:rPr>
                <w:sz w:val="1"/>
                <w:szCs w:val="1"/>
                <w:color w:val="auto"/>
              </w:rPr>
            </w:pPr>
          </w:p>
        </w:tc>
        <w:tc>
          <w:tcPr>
            <w:tcW w:w="140" w:type="dxa"/>
            <w:vAlign w:val="bottom"/>
            <w:tcBorders>
              <w:top w:val="single" w:sz="8" w:color="0000EE"/>
              <w:bottom w:val="single" w:sz="8" w:color="E7417A"/>
            </w:tcBorders>
          </w:tcPr>
          <w:p>
            <w:pPr>
              <w:spacing w:after="0" w:line="20" w:lineRule="exact"/>
              <w:rPr>
                <w:sz w:val="1"/>
                <w:szCs w:val="1"/>
                <w:color w:val="auto"/>
              </w:rPr>
            </w:pPr>
          </w:p>
        </w:tc>
        <w:tc>
          <w:tcPr>
            <w:tcW w:w="200" w:type="dxa"/>
            <w:vAlign w:val="bottom"/>
            <w:tcBorders>
              <w:top w:val="single" w:sz="8" w:color="0000EE"/>
              <w:bottom w:val="single" w:sz="8" w:color="E7417A"/>
            </w:tcBorders>
          </w:tcPr>
          <w:p>
            <w:pPr>
              <w:spacing w:after="0" w:line="20" w:lineRule="exact"/>
              <w:rPr>
                <w:sz w:val="1"/>
                <w:szCs w:val="1"/>
                <w:color w:val="auto"/>
              </w:rPr>
            </w:pPr>
          </w:p>
        </w:tc>
        <w:tc>
          <w:tcPr>
            <w:tcW w:w="40" w:type="dxa"/>
            <w:vAlign w:val="bottom"/>
            <w:tcBorders>
              <w:top w:val="single" w:sz="8" w:color="0000EE"/>
              <w:bottom w:val="single" w:sz="8" w:color="E7417A"/>
            </w:tcBorders>
          </w:tcPr>
          <w:p>
            <w:pPr>
              <w:spacing w:after="0" w:line="20" w:lineRule="exact"/>
              <w:rPr>
                <w:sz w:val="1"/>
                <w:szCs w:val="1"/>
                <w:color w:val="auto"/>
              </w:rPr>
            </w:pPr>
          </w:p>
        </w:tc>
        <w:tc>
          <w:tcPr>
            <w:tcW w:w="300" w:type="dxa"/>
            <w:vAlign w:val="bottom"/>
            <w:tcBorders>
              <w:top w:val="single" w:sz="8" w:color="0000EE"/>
              <w:bottom w:val="single" w:sz="8" w:color="E7417A"/>
            </w:tcBorders>
          </w:tcPr>
          <w:p>
            <w:pPr>
              <w:spacing w:after="0" w:line="20" w:lineRule="exact"/>
              <w:rPr>
                <w:sz w:val="1"/>
                <w:szCs w:val="1"/>
                <w:color w:val="auto"/>
              </w:rPr>
            </w:pPr>
          </w:p>
        </w:tc>
        <w:tc>
          <w:tcPr>
            <w:tcW w:w="400" w:type="dxa"/>
            <w:vAlign w:val="bottom"/>
            <w:tcBorders>
              <w:top w:val="single" w:sz="8" w:color="0000EE"/>
              <w:bottom w:val="single" w:sz="8" w:color="E7417A"/>
            </w:tcBorders>
          </w:tcPr>
          <w:p>
            <w:pPr>
              <w:spacing w:after="0" w:line="20" w:lineRule="exact"/>
              <w:rPr>
                <w:sz w:val="1"/>
                <w:szCs w:val="1"/>
                <w:color w:val="auto"/>
              </w:rPr>
            </w:pPr>
          </w:p>
        </w:tc>
        <w:tc>
          <w:tcPr>
            <w:tcW w:w="120" w:type="dxa"/>
            <w:vAlign w:val="bottom"/>
            <w:tcBorders>
              <w:top w:val="single" w:sz="8" w:color="0000EE"/>
              <w:bottom w:val="single" w:sz="8" w:color="E7417A"/>
            </w:tcBorders>
          </w:tcPr>
          <w:p>
            <w:pPr>
              <w:spacing w:after="0" w:line="20" w:lineRule="exact"/>
              <w:rPr>
                <w:sz w:val="1"/>
                <w:szCs w:val="1"/>
                <w:color w:val="auto"/>
              </w:rPr>
            </w:pPr>
          </w:p>
        </w:tc>
        <w:tc>
          <w:tcPr>
            <w:tcW w:w="20" w:type="dxa"/>
            <w:vAlign w:val="bottom"/>
            <w:tcBorders>
              <w:top w:val="single" w:sz="8" w:color="0000EE"/>
              <w:bottom w:val="single" w:sz="8" w:color="E7417A"/>
            </w:tcBorders>
          </w:tcPr>
          <w:p>
            <w:pPr>
              <w:spacing w:after="0" w:line="20" w:lineRule="exact"/>
              <w:rPr>
                <w:sz w:val="1"/>
                <w:szCs w:val="1"/>
                <w:color w:val="auto"/>
              </w:rPr>
            </w:pPr>
          </w:p>
        </w:tc>
        <w:tc>
          <w:tcPr>
            <w:tcW w:w="22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340" w:type="dxa"/>
            <w:vAlign w:val="bottom"/>
            <w:tcBorders>
              <w:bottom w:val="single" w:sz="8" w:color="E7417A"/>
            </w:tcBorders>
          </w:tcPr>
          <w:p>
            <w:pPr>
              <w:spacing w:after="0" w:line="20" w:lineRule="exact"/>
              <w:rPr>
                <w:sz w:val="1"/>
                <w:szCs w:val="1"/>
                <w:color w:val="auto"/>
              </w:rPr>
            </w:pPr>
          </w:p>
        </w:tc>
        <w:tc>
          <w:tcPr>
            <w:tcW w:w="100" w:type="dxa"/>
            <w:vAlign w:val="bottom"/>
            <w:tcBorders>
              <w:bottom w:val="single" w:sz="8" w:color="E7417A"/>
            </w:tcBorders>
          </w:tcPr>
          <w:p>
            <w:pPr>
              <w:spacing w:after="0" w:line="20" w:lineRule="exact"/>
              <w:rPr>
                <w:sz w:val="1"/>
                <w:szCs w:val="1"/>
                <w:color w:val="auto"/>
              </w:rPr>
            </w:pPr>
          </w:p>
        </w:tc>
        <w:tc>
          <w:tcPr>
            <w:tcW w:w="60" w:type="dxa"/>
            <w:vAlign w:val="bottom"/>
            <w:tcBorders>
              <w:bottom w:val="single" w:sz="8" w:color="E7417A"/>
            </w:tcBorders>
          </w:tcPr>
          <w:p>
            <w:pPr>
              <w:spacing w:after="0" w:line="20" w:lineRule="exact"/>
              <w:rPr>
                <w:sz w:val="1"/>
                <w:szCs w:val="1"/>
                <w:color w:val="auto"/>
              </w:rPr>
            </w:pPr>
          </w:p>
        </w:tc>
        <w:tc>
          <w:tcPr>
            <w:tcW w:w="14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80" w:type="dxa"/>
            <w:vAlign w:val="bottom"/>
            <w:tcBorders>
              <w:bottom w:val="single" w:sz="8" w:color="E7417A"/>
            </w:tcBorders>
          </w:tcPr>
          <w:p>
            <w:pPr>
              <w:spacing w:after="0" w:line="20" w:lineRule="exact"/>
              <w:rPr>
                <w:sz w:val="1"/>
                <w:szCs w:val="1"/>
                <w:color w:val="auto"/>
              </w:rPr>
            </w:pPr>
          </w:p>
        </w:tc>
        <w:tc>
          <w:tcPr>
            <w:tcW w:w="20" w:type="dxa"/>
            <w:vAlign w:val="bottom"/>
            <w:tcBorders>
              <w:bottom w:val="single" w:sz="8" w:color="E7417A"/>
            </w:tcBorders>
          </w:tcPr>
          <w:p>
            <w:pPr>
              <w:spacing w:after="0" w:line="20" w:lineRule="exact"/>
              <w:rPr>
                <w:sz w:val="1"/>
                <w:szCs w:val="1"/>
                <w:color w:val="auto"/>
              </w:rPr>
            </w:pPr>
          </w:p>
        </w:tc>
        <w:tc>
          <w:tcPr>
            <w:tcW w:w="120" w:type="dxa"/>
            <w:vAlign w:val="bottom"/>
            <w:tcBorders>
              <w:bottom w:val="single" w:sz="8" w:color="E7417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111125</wp:posOffset>
            </wp:positionV>
            <wp:extent cx="2540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111125</wp:posOffset>
            </wp:positionV>
            <wp:extent cx="25400"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111125</wp:posOffset>
            </wp:positionV>
            <wp:extent cx="2540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111125</wp:posOffset>
            </wp:positionV>
            <wp:extent cx="2540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111125</wp:posOffset>
            </wp:positionV>
            <wp:extent cx="2540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111125</wp:posOffset>
            </wp:positionV>
            <wp:extent cx="2603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184150</wp:posOffset>
            </wp:positionH>
            <wp:positionV relativeFrom="paragraph">
              <wp:posOffset>111125</wp:posOffset>
            </wp:positionV>
            <wp:extent cx="25400"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235585</wp:posOffset>
            </wp:positionH>
            <wp:positionV relativeFrom="paragraph">
              <wp:posOffset>111125</wp:posOffset>
            </wp:positionV>
            <wp:extent cx="2540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287020</wp:posOffset>
            </wp:positionH>
            <wp:positionV relativeFrom="paragraph">
              <wp:posOffset>111125</wp:posOffset>
            </wp:positionV>
            <wp:extent cx="25400"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338455</wp:posOffset>
            </wp:positionH>
            <wp:positionV relativeFrom="paragraph">
              <wp:posOffset>111125</wp:posOffset>
            </wp:positionV>
            <wp:extent cx="2540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389890</wp:posOffset>
            </wp:positionH>
            <wp:positionV relativeFrom="paragraph">
              <wp:posOffset>111125</wp:posOffset>
            </wp:positionV>
            <wp:extent cx="2603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441325</wp:posOffset>
            </wp:positionH>
            <wp:positionV relativeFrom="paragraph">
              <wp:posOffset>111125</wp:posOffset>
            </wp:positionV>
            <wp:extent cx="2540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492760</wp:posOffset>
            </wp:positionH>
            <wp:positionV relativeFrom="paragraph">
              <wp:posOffset>111125</wp:posOffset>
            </wp:positionV>
            <wp:extent cx="2540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544195</wp:posOffset>
            </wp:positionH>
            <wp:positionV relativeFrom="paragraph">
              <wp:posOffset>111125</wp:posOffset>
            </wp:positionV>
            <wp:extent cx="2540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595630</wp:posOffset>
            </wp:positionH>
            <wp:positionV relativeFrom="paragraph">
              <wp:posOffset>111125</wp:posOffset>
            </wp:positionV>
            <wp:extent cx="2540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647065</wp:posOffset>
            </wp:positionH>
            <wp:positionV relativeFrom="paragraph">
              <wp:posOffset>111125</wp:posOffset>
            </wp:positionV>
            <wp:extent cx="2540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698500</wp:posOffset>
            </wp:positionH>
            <wp:positionV relativeFrom="paragraph">
              <wp:posOffset>111125</wp:posOffset>
            </wp:positionV>
            <wp:extent cx="2540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749935</wp:posOffset>
            </wp:positionH>
            <wp:positionV relativeFrom="paragraph">
              <wp:posOffset>111125</wp:posOffset>
            </wp:positionV>
            <wp:extent cx="2540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801370</wp:posOffset>
            </wp:positionH>
            <wp:positionV relativeFrom="paragraph">
              <wp:posOffset>111125</wp:posOffset>
            </wp:positionV>
            <wp:extent cx="260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852805</wp:posOffset>
            </wp:positionH>
            <wp:positionV relativeFrom="paragraph">
              <wp:posOffset>111125</wp:posOffset>
            </wp:positionV>
            <wp:extent cx="2540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904240</wp:posOffset>
            </wp:positionH>
            <wp:positionV relativeFrom="paragraph">
              <wp:posOffset>111125</wp:posOffset>
            </wp:positionV>
            <wp:extent cx="25400"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111125</wp:posOffset>
            </wp:positionV>
            <wp:extent cx="25400"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1007110</wp:posOffset>
            </wp:positionH>
            <wp:positionV relativeFrom="paragraph">
              <wp:posOffset>111125</wp:posOffset>
            </wp:positionV>
            <wp:extent cx="25400"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1058545</wp:posOffset>
            </wp:positionH>
            <wp:positionV relativeFrom="paragraph">
              <wp:posOffset>111125</wp:posOffset>
            </wp:positionV>
            <wp:extent cx="260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1109980</wp:posOffset>
            </wp:positionH>
            <wp:positionV relativeFrom="paragraph">
              <wp:posOffset>111125</wp:posOffset>
            </wp:positionV>
            <wp:extent cx="25400"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111125</wp:posOffset>
            </wp:positionV>
            <wp:extent cx="2540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1212850</wp:posOffset>
            </wp:positionH>
            <wp:positionV relativeFrom="paragraph">
              <wp:posOffset>111125</wp:posOffset>
            </wp:positionV>
            <wp:extent cx="2540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1264285</wp:posOffset>
            </wp:positionH>
            <wp:positionV relativeFrom="paragraph">
              <wp:posOffset>111125</wp:posOffset>
            </wp:positionV>
            <wp:extent cx="2540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1315720</wp:posOffset>
            </wp:positionH>
            <wp:positionV relativeFrom="paragraph">
              <wp:posOffset>111125</wp:posOffset>
            </wp:positionV>
            <wp:extent cx="25400"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1367155</wp:posOffset>
            </wp:positionH>
            <wp:positionV relativeFrom="paragraph">
              <wp:posOffset>111125</wp:posOffset>
            </wp:positionV>
            <wp:extent cx="25400"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1418590</wp:posOffset>
            </wp:positionH>
            <wp:positionV relativeFrom="paragraph">
              <wp:posOffset>111125</wp:posOffset>
            </wp:positionV>
            <wp:extent cx="25400"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1470025</wp:posOffset>
            </wp:positionH>
            <wp:positionV relativeFrom="paragraph">
              <wp:posOffset>111125</wp:posOffset>
            </wp:positionV>
            <wp:extent cx="260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1521460</wp:posOffset>
            </wp:positionH>
            <wp:positionV relativeFrom="paragraph">
              <wp:posOffset>111125</wp:posOffset>
            </wp:positionV>
            <wp:extent cx="2540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1572895</wp:posOffset>
            </wp:positionH>
            <wp:positionV relativeFrom="paragraph">
              <wp:posOffset>111125</wp:posOffset>
            </wp:positionV>
            <wp:extent cx="2540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1624330</wp:posOffset>
            </wp:positionH>
            <wp:positionV relativeFrom="paragraph">
              <wp:posOffset>111125</wp:posOffset>
            </wp:positionV>
            <wp:extent cx="2540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1675765</wp:posOffset>
            </wp:positionH>
            <wp:positionV relativeFrom="paragraph">
              <wp:posOffset>111125</wp:posOffset>
            </wp:positionV>
            <wp:extent cx="2540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1727200</wp:posOffset>
            </wp:positionH>
            <wp:positionV relativeFrom="paragraph">
              <wp:posOffset>111125</wp:posOffset>
            </wp:positionV>
            <wp:extent cx="2603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1778635</wp:posOffset>
            </wp:positionH>
            <wp:positionV relativeFrom="paragraph">
              <wp:posOffset>111125</wp:posOffset>
            </wp:positionV>
            <wp:extent cx="25400"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111125</wp:posOffset>
            </wp:positionV>
            <wp:extent cx="2540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111125</wp:posOffset>
            </wp:positionV>
            <wp:extent cx="25400"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1932940</wp:posOffset>
            </wp:positionH>
            <wp:positionV relativeFrom="paragraph">
              <wp:posOffset>111125</wp:posOffset>
            </wp:positionV>
            <wp:extent cx="25400"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111125</wp:posOffset>
            </wp:positionV>
            <wp:extent cx="25400"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2035810</wp:posOffset>
            </wp:positionH>
            <wp:positionV relativeFrom="paragraph">
              <wp:posOffset>111125</wp:posOffset>
            </wp:positionV>
            <wp:extent cx="25400"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2087245</wp:posOffset>
            </wp:positionH>
            <wp:positionV relativeFrom="paragraph">
              <wp:posOffset>111125</wp:posOffset>
            </wp:positionV>
            <wp:extent cx="25400"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2138680</wp:posOffset>
            </wp:positionH>
            <wp:positionV relativeFrom="paragraph">
              <wp:posOffset>111125</wp:posOffset>
            </wp:positionV>
            <wp:extent cx="2603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111125</wp:posOffset>
            </wp:positionV>
            <wp:extent cx="25400"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111125</wp:posOffset>
            </wp:positionV>
            <wp:extent cx="25400"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2292985</wp:posOffset>
            </wp:positionH>
            <wp:positionV relativeFrom="paragraph">
              <wp:posOffset>111125</wp:posOffset>
            </wp:positionV>
            <wp:extent cx="25400"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111125</wp:posOffset>
            </wp:positionV>
            <wp:extent cx="2540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111125</wp:posOffset>
            </wp:positionV>
            <wp:extent cx="260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035" cy="25400"/>
                    </a:xfrm>
                    <a:prstGeom prst="rect">
                      <a:avLst/>
                    </a:prstGeom>
                    <a:noFill/>
                  </pic:spPr>
                </pic:pic>
              </a:graphicData>
            </a:graphic>
          </wp:anchor>
        </w:drawing>
        <w:drawing>
          <wp:anchor simplePos="0" relativeHeight="251657728" behindDoc="1" locked="0" layoutInCell="0" allowOverlap="1">
            <wp:simplePos x="0" y="0"/>
            <wp:positionH relativeFrom="column">
              <wp:posOffset>2447290</wp:posOffset>
            </wp:positionH>
            <wp:positionV relativeFrom="paragraph">
              <wp:posOffset>111125</wp:posOffset>
            </wp:positionV>
            <wp:extent cx="25400"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111125</wp:posOffset>
            </wp:positionV>
            <wp:extent cx="25400"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111125</wp:posOffset>
            </wp:positionV>
            <wp:extent cx="25400"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111125</wp:posOffset>
            </wp:positionV>
            <wp:extent cx="25400"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400" cy="25400"/>
                    </a:xfrm>
                    <a:prstGeom prst="rect">
                      <a:avLst/>
                    </a:prstGeom>
                    <a:noFill/>
                  </pic:spPr>
                </pic:pic>
              </a:graphicData>
            </a:graphic>
          </wp:anchor>
        </w:drawing>
        <w:drawing>
          <wp:anchor simplePos="0" relativeHeight="251657728" behindDoc="1" locked="0" layoutInCell="0" allowOverlap="1">
            <wp:simplePos x="0" y="0"/>
            <wp:positionH relativeFrom="column">
              <wp:posOffset>2653030</wp:posOffset>
            </wp:positionH>
            <wp:positionV relativeFrom="paragraph">
              <wp:posOffset>111125</wp:posOffset>
            </wp:positionV>
            <wp:extent cx="25400"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40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420"/>
            <w:col w:w="4319"/>
          </w:cols>
          <w:pgMar w:left="580" w:top="97" w:right="1440" w:bottom="1440" w:gutter="0" w:footer="0" w:header="0"/>
          <w:type w:val="continuous"/>
        </w:sectPr>
      </w:pPr>
    </w:p>
    <w:p>
      <w:pPr>
        <w:spacing w:after="0" w:line="294"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Overview</w:t>
      </w:r>
    </w:p>
    <w:p>
      <w:pPr>
        <w:spacing w:after="0" w:line="152" w:lineRule="exact"/>
        <w:rPr>
          <w:sz w:val="20"/>
          <w:szCs w:val="20"/>
          <w:color w:val="auto"/>
        </w:rPr>
      </w:pPr>
    </w:p>
    <w:p>
      <w:pPr>
        <w:ind w:left="920" w:right="459"/>
        <w:spacing w:after="0" w:line="253" w:lineRule="auto"/>
        <w:rPr>
          <w:sz w:val="20"/>
          <w:szCs w:val="20"/>
          <w:color w:val="auto"/>
        </w:rPr>
      </w:pPr>
      <w:r>
        <w:rPr>
          <w:rFonts w:ascii="Arial" w:cs="Arial" w:eastAsia="Arial" w:hAnsi="Arial"/>
          <w:sz w:val="18"/>
          <w:szCs w:val="18"/>
          <w:color w:val="auto"/>
        </w:rPr>
        <w:t>This section explains our compensation philosophy and describes the material components of our executive compensation program for our NEOs, whose compensation is set forth in the 2025 Summary Compensation table and other compensation tables contained in this Proxy Statement.</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2025 Named Executive Officers</w:t>
      </w:r>
    </w:p>
    <w:p>
      <w:pPr>
        <w:spacing w:after="0" w:line="90" w:lineRule="exact"/>
        <w:rPr>
          <w:sz w:val="20"/>
          <w:szCs w:val="20"/>
          <w:color w:val="auto"/>
        </w:rPr>
      </w:pPr>
    </w:p>
    <w:tbl>
      <w:tblPr>
        <w:tblLayout w:type="fixed"/>
        <w:tblInd w:w="920" w:type="dxa"/>
        <w:tblCellMar>
          <w:top w:w="0" w:type="dxa"/>
          <w:left w:w="0" w:type="dxa"/>
          <w:bottom w:w="0" w:type="dxa"/>
          <w:right w:w="0" w:type="dxa"/>
        </w:tblCellMar>
      </w:tblPr>
      <w:tr>
        <w:trPr>
          <w:trHeight w:val="1093"/>
        </w:trPr>
        <w:tc>
          <w:tcPr>
            <w:tcW w:w="160" w:type="dxa"/>
            <w:vAlign w:val="bottom"/>
          </w:tcPr>
          <w:p>
            <w:pPr>
              <w:spacing w:after="0"/>
              <w:rPr>
                <w:sz w:val="20"/>
                <w:szCs w:val="20"/>
                <w:color w:val="auto"/>
              </w:rPr>
            </w:pPr>
            <w:r>
              <w:rPr>
                <w:rFonts w:ascii="Arial" w:cs="Arial" w:eastAsia="Arial" w:hAnsi="Arial"/>
                <w:sz w:val="17"/>
                <w:szCs w:val="17"/>
                <w:b w:val="1"/>
                <w:bCs w:val="1"/>
                <w:color w:val="FEFEFE"/>
              </w:rPr>
              <w:t>​</w:t>
            </w:r>
          </w:p>
        </w:tc>
        <w:tc>
          <w:tcPr>
            <w:tcW w:w="2660" w:type="dxa"/>
            <w:vAlign w:val="bottom"/>
          </w:tcPr>
          <w:p>
            <w:pPr>
              <w:spacing w:after="0"/>
              <w:rPr>
                <w:sz w:val="24"/>
                <w:szCs w:val="24"/>
                <w:color w:val="auto"/>
              </w:rPr>
            </w:pPr>
          </w:p>
        </w:tc>
        <w:tc>
          <w:tcPr>
            <w:tcW w:w="200" w:type="dxa"/>
            <w:vAlign w:val="bottom"/>
            <w:shd w:val="clear" w:color="auto" w:fill="FEFEFE"/>
          </w:tcPr>
          <w:p>
            <w:pPr>
              <w:spacing w:after="0"/>
              <w:rPr>
                <w:sz w:val="20"/>
                <w:szCs w:val="20"/>
                <w:color w:val="auto"/>
              </w:rPr>
            </w:pPr>
            <w:r>
              <w:rPr>
                <w:rFonts w:ascii="Arial" w:cs="Arial" w:eastAsia="Arial" w:hAnsi="Arial"/>
                <w:sz w:val="17"/>
                <w:szCs w:val="17"/>
                <w:b w:val="1"/>
                <w:bCs w:val="1"/>
                <w:color w:val="FEFEFE"/>
              </w:rPr>
              <w:t>​</w:t>
            </w:r>
          </w:p>
        </w:tc>
        <w:tc>
          <w:tcPr>
            <w:tcW w:w="400" w:type="dxa"/>
            <w:vAlign w:val="bottom"/>
          </w:tcPr>
          <w:p>
            <w:pPr>
              <w:spacing w:after="0"/>
              <w:rPr>
                <w:sz w:val="20"/>
                <w:szCs w:val="20"/>
                <w:color w:val="auto"/>
              </w:rPr>
            </w:pPr>
            <w:r>
              <w:rPr>
                <w:rFonts w:ascii="Arial" w:cs="Arial" w:eastAsia="Arial" w:hAnsi="Arial"/>
                <w:sz w:val="17"/>
                <w:szCs w:val="17"/>
                <w:b w:val="1"/>
                <w:bCs w:val="1"/>
                <w:color w:val="FEFEFE"/>
              </w:rPr>
              <w:t>​</w:t>
            </w:r>
          </w:p>
        </w:tc>
        <w:tc>
          <w:tcPr>
            <w:tcW w:w="2480" w:type="dxa"/>
            <w:vAlign w:val="bottom"/>
          </w:tcPr>
          <w:p>
            <w:pPr>
              <w:spacing w:after="0"/>
              <w:rPr>
                <w:sz w:val="24"/>
                <w:szCs w:val="24"/>
                <w:color w:val="auto"/>
              </w:rPr>
            </w:pPr>
          </w:p>
        </w:tc>
        <w:tc>
          <w:tcPr>
            <w:tcW w:w="220" w:type="dxa"/>
            <w:vAlign w:val="bottom"/>
            <w:shd w:val="clear" w:color="auto" w:fill="FEFEFE"/>
          </w:tcPr>
          <w:p>
            <w:pPr>
              <w:spacing w:after="0"/>
              <w:rPr>
                <w:sz w:val="20"/>
                <w:szCs w:val="20"/>
                <w:color w:val="auto"/>
              </w:rPr>
            </w:pPr>
            <w:r>
              <w:rPr>
                <w:rFonts w:ascii="Arial" w:cs="Arial" w:eastAsia="Arial" w:hAnsi="Arial"/>
                <w:sz w:val="17"/>
                <w:szCs w:val="17"/>
                <w:b w:val="1"/>
                <w:bCs w:val="1"/>
                <w:color w:val="FEFEFE"/>
              </w:rPr>
              <w:t>​</w:t>
            </w:r>
          </w:p>
        </w:tc>
        <w:tc>
          <w:tcPr>
            <w:tcW w:w="120" w:type="dxa"/>
            <w:vAlign w:val="bottom"/>
          </w:tcPr>
          <w:p>
            <w:pPr>
              <w:spacing w:after="0"/>
              <w:rPr>
                <w:sz w:val="20"/>
                <w:szCs w:val="20"/>
                <w:color w:val="auto"/>
              </w:rPr>
            </w:pPr>
            <w:r>
              <w:rPr>
                <w:rFonts w:ascii="Arial" w:cs="Arial" w:eastAsia="Arial" w:hAnsi="Arial"/>
                <w:sz w:val="17"/>
                <w:szCs w:val="17"/>
                <w:b w:val="1"/>
                <w:bCs w:val="1"/>
                <w:color w:val="FEFEFE"/>
              </w:rPr>
              <w:t>​</w:t>
            </w:r>
          </w:p>
        </w:tc>
        <w:tc>
          <w:tcPr>
            <w:tcW w:w="26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FEFEFE"/>
              </w:rPr>
              <w:t>​</w:t>
            </w:r>
          </w:p>
        </w:tc>
      </w:tr>
      <w:tr>
        <w:trPr>
          <w:trHeight w:val="277"/>
        </w:trPr>
        <w:tc>
          <w:tcPr>
            <w:tcW w:w="160" w:type="dxa"/>
            <w:vAlign w:val="bottom"/>
            <w:tcBorders>
              <w:bottom w:val="single" w:sz="8" w:color="62259D"/>
            </w:tcBorders>
            <w:shd w:val="clear" w:color="auto" w:fill="62259D"/>
          </w:tcPr>
          <w:p>
            <w:pPr>
              <w:spacing w:after="0"/>
              <w:rPr>
                <w:sz w:val="20"/>
                <w:szCs w:val="20"/>
                <w:color w:val="auto"/>
              </w:rPr>
            </w:pPr>
            <w:r>
              <w:rPr>
                <w:rFonts w:ascii="Arial" w:cs="Arial" w:eastAsia="Arial" w:hAnsi="Arial"/>
                <w:sz w:val="17"/>
                <w:szCs w:val="17"/>
                <w:b w:val="1"/>
                <w:bCs w:val="1"/>
                <w:color w:val="FEFEFE"/>
              </w:rPr>
              <w:t>​</w:t>
            </w:r>
          </w:p>
        </w:tc>
        <w:tc>
          <w:tcPr>
            <w:tcW w:w="2660" w:type="dxa"/>
            <w:vAlign w:val="bottom"/>
            <w:tcBorders>
              <w:bottom w:val="single" w:sz="8" w:color="62259D"/>
            </w:tcBorders>
            <w:shd w:val="clear" w:color="auto" w:fill="62259D"/>
          </w:tcPr>
          <w:p>
            <w:pPr>
              <w:jc w:val="center"/>
              <w:ind w:right="98"/>
              <w:spacing w:after="0"/>
              <w:rPr>
                <w:sz w:val="20"/>
                <w:szCs w:val="20"/>
                <w:color w:val="auto"/>
              </w:rPr>
            </w:pPr>
            <w:r>
              <w:rPr>
                <w:rFonts w:ascii="Arial" w:cs="Arial" w:eastAsia="Arial" w:hAnsi="Arial"/>
                <w:sz w:val="17"/>
                <w:szCs w:val="17"/>
                <w:b w:val="1"/>
                <w:bCs w:val="1"/>
                <w:color w:val="FEFEFE"/>
              </w:rPr>
              <w:t>Bruce W. McClelland</w:t>
            </w:r>
          </w:p>
        </w:tc>
        <w:tc>
          <w:tcPr>
            <w:tcW w:w="20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7"/>
                <w:szCs w:val="17"/>
                <w:b w:val="1"/>
                <w:bCs w:val="1"/>
                <w:color w:val="FEFEFE"/>
              </w:rPr>
              <w:t>​</w:t>
            </w:r>
          </w:p>
        </w:tc>
        <w:tc>
          <w:tcPr>
            <w:tcW w:w="400" w:type="dxa"/>
            <w:vAlign w:val="bottom"/>
            <w:tcBorders>
              <w:bottom w:val="single" w:sz="8" w:color="62259D"/>
            </w:tcBorders>
            <w:shd w:val="clear" w:color="auto" w:fill="62259D"/>
          </w:tcPr>
          <w:p>
            <w:pPr>
              <w:spacing w:after="0"/>
              <w:rPr>
                <w:sz w:val="20"/>
                <w:szCs w:val="20"/>
                <w:color w:val="auto"/>
              </w:rPr>
            </w:pPr>
            <w:r>
              <w:rPr>
                <w:rFonts w:ascii="Arial" w:cs="Arial" w:eastAsia="Arial" w:hAnsi="Arial"/>
                <w:sz w:val="17"/>
                <w:szCs w:val="17"/>
                <w:b w:val="1"/>
                <w:bCs w:val="1"/>
                <w:color w:val="FEFEFE"/>
              </w:rPr>
              <w:t>​</w:t>
            </w:r>
          </w:p>
        </w:tc>
        <w:tc>
          <w:tcPr>
            <w:tcW w:w="2480" w:type="dxa"/>
            <w:vAlign w:val="bottom"/>
            <w:tcBorders>
              <w:bottom w:val="single" w:sz="8" w:color="62259D"/>
            </w:tcBorders>
            <w:shd w:val="clear" w:color="auto" w:fill="62259D"/>
          </w:tcPr>
          <w:p>
            <w:pPr>
              <w:jc w:val="center"/>
              <w:ind w:right="317"/>
              <w:spacing w:after="0"/>
              <w:rPr>
                <w:sz w:val="20"/>
                <w:szCs w:val="20"/>
                <w:color w:val="auto"/>
              </w:rPr>
            </w:pPr>
            <w:r>
              <w:rPr>
                <w:rFonts w:ascii="Arial" w:cs="Arial" w:eastAsia="Arial" w:hAnsi="Arial"/>
                <w:sz w:val="17"/>
                <w:szCs w:val="17"/>
                <w:b w:val="1"/>
                <w:bCs w:val="1"/>
                <w:color w:val="FEFEFE"/>
              </w:rPr>
              <w:t>John Townsend</w:t>
            </w:r>
          </w:p>
        </w:tc>
        <w:tc>
          <w:tcPr>
            <w:tcW w:w="22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7"/>
                <w:szCs w:val="17"/>
                <w:b w:val="1"/>
                <w:bCs w:val="1"/>
                <w:color w:val="FEFEFE"/>
              </w:rPr>
              <w:t>​</w:t>
            </w:r>
          </w:p>
        </w:tc>
        <w:tc>
          <w:tcPr>
            <w:tcW w:w="120" w:type="dxa"/>
            <w:vAlign w:val="bottom"/>
            <w:tcBorders>
              <w:bottom w:val="single" w:sz="8" w:color="62259D"/>
            </w:tcBorders>
            <w:shd w:val="clear" w:color="auto" w:fill="62259D"/>
          </w:tcPr>
          <w:p>
            <w:pPr>
              <w:spacing w:after="0"/>
              <w:rPr>
                <w:sz w:val="20"/>
                <w:szCs w:val="20"/>
                <w:color w:val="auto"/>
              </w:rPr>
            </w:pPr>
            <w:r>
              <w:rPr>
                <w:rFonts w:ascii="Arial" w:cs="Arial" w:eastAsia="Arial" w:hAnsi="Arial"/>
                <w:sz w:val="17"/>
                <w:szCs w:val="17"/>
                <w:b w:val="1"/>
                <w:bCs w:val="1"/>
                <w:color w:val="FEFEFE"/>
              </w:rPr>
              <w:t>​</w:t>
            </w:r>
          </w:p>
        </w:tc>
        <w:tc>
          <w:tcPr>
            <w:tcW w:w="2620" w:type="dxa"/>
            <w:vAlign w:val="bottom"/>
            <w:tcBorders>
              <w:bottom w:val="single" w:sz="8" w:color="62259D"/>
            </w:tcBorders>
            <w:shd w:val="clear" w:color="auto" w:fill="62259D"/>
          </w:tcPr>
          <w:p>
            <w:pPr>
              <w:jc w:val="center"/>
              <w:ind w:right="38"/>
              <w:spacing w:after="0"/>
              <w:rPr>
                <w:sz w:val="20"/>
                <w:szCs w:val="20"/>
                <w:color w:val="auto"/>
              </w:rPr>
            </w:pPr>
            <w:r>
              <w:rPr>
                <w:rFonts w:ascii="Arial" w:cs="Arial" w:eastAsia="Arial" w:hAnsi="Arial"/>
                <w:sz w:val="17"/>
                <w:szCs w:val="17"/>
                <w:b w:val="1"/>
                <w:bCs w:val="1"/>
                <w:color w:val="FEFEFE"/>
              </w:rPr>
              <w:t>Sam Bucci</w:t>
            </w:r>
          </w:p>
        </w:tc>
        <w:tc>
          <w:tcPr>
            <w:tcW w:w="40" w:type="dxa"/>
            <w:vAlign w:val="bottom"/>
          </w:tcPr>
          <w:p>
            <w:pPr>
              <w:spacing w:after="0"/>
              <w:rPr>
                <w:sz w:val="20"/>
                <w:szCs w:val="20"/>
                <w:color w:val="auto"/>
              </w:rPr>
            </w:pPr>
            <w:r>
              <w:rPr>
                <w:rFonts w:ascii="Arial" w:cs="Arial" w:eastAsia="Arial" w:hAnsi="Arial"/>
                <w:sz w:val="17"/>
                <w:szCs w:val="17"/>
                <w:b w:val="1"/>
                <w:bCs w:val="1"/>
                <w:color w:val="FEFEFE"/>
              </w:rPr>
              <w:t>​</w:t>
            </w:r>
          </w:p>
        </w:tc>
      </w:tr>
      <w:tr>
        <w:trPr>
          <w:trHeight w:val="204"/>
        </w:trPr>
        <w:tc>
          <w:tcPr>
            <w:tcW w:w="160" w:type="dxa"/>
            <w:vAlign w:val="bottom"/>
          </w:tcPr>
          <w:p>
            <w:pPr>
              <w:spacing w:after="0"/>
              <w:rPr>
                <w:sz w:val="20"/>
                <w:szCs w:val="20"/>
                <w:color w:val="auto"/>
              </w:rPr>
            </w:pPr>
            <w:r>
              <w:rPr>
                <w:rFonts w:ascii="Arial" w:cs="Arial" w:eastAsia="Arial" w:hAnsi="Arial"/>
                <w:sz w:val="16"/>
                <w:szCs w:val="16"/>
                <w:i w:val="1"/>
                <w:iCs w:val="1"/>
                <w:color w:val="auto"/>
              </w:rPr>
              <w:t>​</w:t>
            </w:r>
          </w:p>
        </w:tc>
        <w:tc>
          <w:tcPr>
            <w:tcW w:w="2660" w:type="dxa"/>
            <w:vAlign w:val="bottom"/>
          </w:tcPr>
          <w:p>
            <w:pPr>
              <w:jc w:val="center"/>
              <w:ind w:right="78"/>
              <w:spacing w:after="0"/>
              <w:rPr>
                <w:sz w:val="20"/>
                <w:szCs w:val="20"/>
                <w:color w:val="auto"/>
              </w:rPr>
            </w:pPr>
            <w:r>
              <w:rPr>
                <w:rFonts w:ascii="Arial" w:cs="Arial" w:eastAsia="Arial" w:hAnsi="Arial"/>
                <w:sz w:val="16"/>
                <w:szCs w:val="16"/>
                <w:i w:val="1"/>
                <w:iCs w:val="1"/>
                <w:color w:val="auto"/>
              </w:rPr>
              <w:t>President and Chief Executive</w:t>
            </w:r>
          </w:p>
        </w:tc>
        <w:tc>
          <w:tcPr>
            <w:tcW w:w="200" w:type="dxa"/>
            <w:vAlign w:val="bottom"/>
            <w:shd w:val="clear" w:color="auto" w:fill="FEFEFE"/>
          </w:tcPr>
          <w:p>
            <w:pPr>
              <w:spacing w:after="0"/>
              <w:rPr>
                <w:sz w:val="20"/>
                <w:szCs w:val="20"/>
                <w:color w:val="auto"/>
              </w:rPr>
            </w:pPr>
            <w:r>
              <w:rPr>
                <w:rFonts w:ascii="Arial" w:cs="Arial" w:eastAsia="Arial" w:hAnsi="Arial"/>
                <w:sz w:val="16"/>
                <w:szCs w:val="16"/>
                <w:i w:val="1"/>
                <w:iCs w:val="1"/>
                <w:color w:val="auto"/>
              </w:rPr>
              <w:t>​</w:t>
            </w:r>
          </w:p>
        </w:tc>
        <w:tc>
          <w:tcPr>
            <w:tcW w:w="2880" w:type="dxa"/>
            <w:vAlign w:val="bottom"/>
            <w:gridSpan w:val="2"/>
          </w:tcPr>
          <w:p>
            <w:pPr>
              <w:spacing w:after="0" w:line="204" w:lineRule="exact"/>
              <w:rPr>
                <w:sz w:val="20"/>
                <w:szCs w:val="20"/>
                <w:color w:val="auto"/>
              </w:rPr>
            </w:pPr>
            <w:r>
              <w:rPr>
                <w:rFonts w:ascii="Arial" w:cs="Arial" w:eastAsia="Arial" w:hAnsi="Arial"/>
                <w:sz w:val="23"/>
                <w:szCs w:val="23"/>
                <w:i w:val="1"/>
                <w:iCs w:val="1"/>
                <w:color w:val="auto"/>
                <w:vertAlign w:val="superscript"/>
              </w:rPr>
              <w:t>​</w:t>
            </w:r>
            <w:r>
              <w:rPr>
                <w:rFonts w:ascii="Arial" w:cs="Arial" w:eastAsia="Arial" w:hAnsi="Arial"/>
                <w:sz w:val="13"/>
                <w:szCs w:val="13"/>
                <w:i w:val="1"/>
                <w:iCs w:val="1"/>
                <w:color w:val="auto"/>
              </w:rPr>
              <w:t xml:space="preserve"> Executive Vice President and Chief</w:t>
            </w:r>
          </w:p>
        </w:tc>
        <w:tc>
          <w:tcPr>
            <w:tcW w:w="220" w:type="dxa"/>
            <w:vAlign w:val="bottom"/>
            <w:shd w:val="clear" w:color="auto" w:fill="FEFEFE"/>
          </w:tcPr>
          <w:p>
            <w:pPr>
              <w:spacing w:after="0"/>
              <w:rPr>
                <w:sz w:val="20"/>
                <w:szCs w:val="20"/>
                <w:color w:val="auto"/>
              </w:rPr>
            </w:pPr>
            <w:r>
              <w:rPr>
                <w:rFonts w:ascii="Arial" w:cs="Arial" w:eastAsia="Arial" w:hAnsi="Arial"/>
                <w:sz w:val="16"/>
                <w:szCs w:val="16"/>
                <w:i w:val="1"/>
                <w:iCs w:val="1"/>
                <w:color w:val="auto"/>
              </w:rPr>
              <w:t>​</w:t>
            </w:r>
          </w:p>
        </w:tc>
        <w:tc>
          <w:tcPr>
            <w:tcW w:w="120" w:type="dxa"/>
            <w:vAlign w:val="bottom"/>
          </w:tcPr>
          <w:p>
            <w:pPr>
              <w:spacing w:after="0"/>
              <w:rPr>
                <w:sz w:val="20"/>
                <w:szCs w:val="20"/>
                <w:color w:val="auto"/>
              </w:rPr>
            </w:pPr>
            <w:r>
              <w:rPr>
                <w:rFonts w:ascii="Arial" w:cs="Arial" w:eastAsia="Arial" w:hAnsi="Arial"/>
                <w:sz w:val="16"/>
                <w:szCs w:val="16"/>
                <w:i w:val="1"/>
                <w:iCs w:val="1"/>
                <w:color w:val="auto"/>
              </w:rPr>
              <w:t>​</w:t>
            </w:r>
          </w:p>
        </w:tc>
        <w:tc>
          <w:tcPr>
            <w:tcW w:w="2620" w:type="dxa"/>
            <w:vAlign w:val="bottom"/>
          </w:tcPr>
          <w:p>
            <w:pPr>
              <w:jc w:val="center"/>
              <w:ind w:right="38"/>
              <w:spacing w:after="0"/>
              <w:rPr>
                <w:sz w:val="20"/>
                <w:szCs w:val="20"/>
                <w:color w:val="auto"/>
              </w:rPr>
            </w:pPr>
            <w:r>
              <w:rPr>
                <w:rFonts w:ascii="Arial" w:cs="Arial" w:eastAsia="Arial" w:hAnsi="Arial"/>
                <w:sz w:val="16"/>
                <w:szCs w:val="16"/>
                <w:i w:val="1"/>
                <w:iCs w:val="1"/>
                <w:color w:val="auto"/>
              </w:rPr>
              <w:t>Executive Vice President, Chief</w:t>
            </w:r>
          </w:p>
        </w:tc>
        <w:tc>
          <w:tcPr>
            <w:tcW w:w="40" w:type="dxa"/>
            <w:vAlign w:val="bottom"/>
          </w:tcPr>
          <w:p>
            <w:pPr>
              <w:spacing w:after="0"/>
              <w:rPr>
                <w:sz w:val="20"/>
                <w:szCs w:val="20"/>
                <w:color w:val="auto"/>
              </w:rPr>
            </w:pPr>
            <w:r>
              <w:rPr>
                <w:rFonts w:ascii="Arial" w:cs="Arial" w:eastAsia="Arial" w:hAnsi="Arial"/>
                <w:sz w:val="16"/>
                <w:szCs w:val="16"/>
                <w:i w:val="1"/>
                <w:iCs w:val="1"/>
                <w:color w:val="auto"/>
              </w:rPr>
              <w:t>​</w:t>
            </w:r>
          </w:p>
        </w:tc>
      </w:tr>
      <w:tr>
        <w:trPr>
          <w:trHeight w:val="228"/>
        </w:trPr>
        <w:tc>
          <w:tcPr>
            <w:tcW w:w="160" w:type="dxa"/>
            <w:vAlign w:val="bottom"/>
          </w:tcPr>
          <w:p>
            <w:pPr>
              <w:spacing w:after="0"/>
              <w:rPr>
                <w:sz w:val="19"/>
                <w:szCs w:val="19"/>
                <w:color w:val="auto"/>
              </w:rPr>
            </w:pPr>
          </w:p>
        </w:tc>
        <w:tc>
          <w:tcPr>
            <w:tcW w:w="2660" w:type="dxa"/>
            <w:vAlign w:val="bottom"/>
          </w:tcPr>
          <w:p>
            <w:pPr>
              <w:jc w:val="center"/>
              <w:ind w:right="78"/>
              <w:spacing w:after="0"/>
              <w:rPr>
                <w:sz w:val="20"/>
                <w:szCs w:val="20"/>
                <w:color w:val="auto"/>
              </w:rPr>
            </w:pPr>
            <w:r>
              <w:rPr>
                <w:rFonts w:ascii="Arial" w:cs="Arial" w:eastAsia="Arial" w:hAnsi="Arial"/>
                <w:sz w:val="16"/>
                <w:szCs w:val="16"/>
                <w:i w:val="1"/>
                <w:iCs w:val="1"/>
                <w:color w:val="auto"/>
              </w:rPr>
              <w:t>Officer</w:t>
            </w:r>
          </w:p>
        </w:tc>
        <w:tc>
          <w:tcPr>
            <w:tcW w:w="200" w:type="dxa"/>
            <w:vAlign w:val="bottom"/>
            <w:shd w:val="clear" w:color="auto" w:fill="FEFEFE"/>
          </w:tcPr>
          <w:p>
            <w:pPr>
              <w:spacing w:after="0"/>
              <w:rPr>
                <w:sz w:val="19"/>
                <w:szCs w:val="19"/>
                <w:color w:val="auto"/>
              </w:rPr>
            </w:pPr>
          </w:p>
        </w:tc>
        <w:tc>
          <w:tcPr>
            <w:tcW w:w="400" w:type="dxa"/>
            <w:vAlign w:val="bottom"/>
          </w:tcPr>
          <w:p>
            <w:pPr>
              <w:spacing w:after="0"/>
              <w:rPr>
                <w:sz w:val="19"/>
                <w:szCs w:val="19"/>
                <w:color w:val="auto"/>
              </w:rPr>
            </w:pPr>
          </w:p>
        </w:tc>
        <w:tc>
          <w:tcPr>
            <w:tcW w:w="2480" w:type="dxa"/>
            <w:vAlign w:val="bottom"/>
          </w:tcPr>
          <w:p>
            <w:pPr>
              <w:jc w:val="center"/>
              <w:ind w:right="297"/>
              <w:spacing w:after="0"/>
              <w:rPr>
                <w:sz w:val="20"/>
                <w:szCs w:val="20"/>
                <w:color w:val="auto"/>
              </w:rPr>
            </w:pPr>
            <w:r>
              <w:rPr>
                <w:rFonts w:ascii="Arial" w:cs="Arial" w:eastAsia="Arial" w:hAnsi="Arial"/>
                <w:sz w:val="16"/>
                <w:szCs w:val="16"/>
                <w:i w:val="1"/>
                <w:iCs w:val="1"/>
                <w:color w:val="auto"/>
              </w:rPr>
              <w:t>Financial Officer</w:t>
            </w:r>
          </w:p>
        </w:tc>
        <w:tc>
          <w:tcPr>
            <w:tcW w:w="220" w:type="dxa"/>
            <w:vAlign w:val="bottom"/>
            <w:shd w:val="clear" w:color="auto" w:fill="FEFEFE"/>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tcPr>
          <w:p>
            <w:pPr>
              <w:jc w:val="center"/>
              <w:ind w:right="58"/>
              <w:spacing w:after="0"/>
              <w:rPr>
                <w:sz w:val="20"/>
                <w:szCs w:val="20"/>
                <w:color w:val="auto"/>
              </w:rPr>
            </w:pPr>
            <w:r>
              <w:rPr>
                <w:rFonts w:ascii="Arial" w:cs="Arial" w:eastAsia="Arial" w:hAnsi="Arial"/>
                <w:sz w:val="16"/>
                <w:szCs w:val="16"/>
                <w:i w:val="1"/>
                <w:iCs w:val="1"/>
                <w:color w:val="auto"/>
              </w:rPr>
              <w:t>Operating Officer</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1194435</wp:posOffset>
            </wp:positionH>
            <wp:positionV relativeFrom="paragraph">
              <wp:posOffset>-1096645</wp:posOffset>
            </wp:positionV>
            <wp:extent cx="574040" cy="5746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4040" cy="57467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-1096645</wp:posOffset>
            </wp:positionV>
            <wp:extent cx="574040" cy="5746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74040" cy="57467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-1096645</wp:posOffset>
            </wp:positionV>
            <wp:extent cx="574040" cy="5746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4040" cy="5746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4305935</wp:posOffset>
            </wp:positionH>
            <wp:positionV relativeFrom="paragraph">
              <wp:posOffset>236855</wp:posOffset>
            </wp:positionV>
            <wp:extent cx="137160" cy="13798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13798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tbl>
      <w:tblPr>
        <w:tblLayout w:type="fixed"/>
        <w:tblInd w:w="920" w:type="dxa"/>
        <w:tblCellMar>
          <w:top w:w="0" w:type="dxa"/>
          <w:left w:w="0" w:type="dxa"/>
          <w:bottom w:w="0" w:type="dxa"/>
          <w:right w:w="0" w:type="dxa"/>
        </w:tblCellMar>
      </w:tblPr>
      <w:tr>
        <w:trPr>
          <w:trHeight w:val="1093"/>
        </w:trPr>
        <w:tc>
          <w:tcPr>
            <w:tcW w:w="120" w:type="dxa"/>
            <w:vAlign w:val="bottom"/>
          </w:tcPr>
          <w:p>
            <w:pPr>
              <w:spacing w:after="0"/>
              <w:rPr>
                <w:sz w:val="20"/>
                <w:szCs w:val="20"/>
                <w:color w:val="auto"/>
              </w:rPr>
            </w:pPr>
            <w:r>
              <w:rPr>
                <w:rFonts w:ascii="Arial" w:cs="Arial" w:eastAsia="Arial" w:hAnsi="Arial"/>
                <w:sz w:val="17"/>
                <w:szCs w:val="17"/>
                <w:b w:val="1"/>
                <w:bCs w:val="1"/>
                <w:color w:val="FEFEFE"/>
              </w:rPr>
              <w:t>​</w:t>
            </w:r>
          </w:p>
        </w:tc>
        <w:tc>
          <w:tcPr>
            <w:tcW w:w="2640" w:type="dxa"/>
            <w:vAlign w:val="bottom"/>
          </w:tcPr>
          <w:p>
            <w:pPr>
              <w:spacing w:after="0"/>
              <w:rPr>
                <w:sz w:val="24"/>
                <w:szCs w:val="24"/>
                <w:color w:val="auto"/>
              </w:rPr>
            </w:pPr>
          </w:p>
        </w:tc>
        <w:tc>
          <w:tcPr>
            <w:tcW w:w="220" w:type="dxa"/>
            <w:vAlign w:val="bottom"/>
            <w:shd w:val="clear" w:color="auto" w:fill="FEFEFE"/>
          </w:tcPr>
          <w:p>
            <w:pPr>
              <w:ind w:left="20"/>
              <w:spacing w:after="0"/>
              <w:rPr>
                <w:sz w:val="20"/>
                <w:szCs w:val="20"/>
                <w:color w:val="auto"/>
              </w:rPr>
            </w:pPr>
            <w:r>
              <w:rPr>
                <w:rFonts w:ascii="Arial" w:cs="Arial" w:eastAsia="Arial" w:hAnsi="Arial"/>
                <w:sz w:val="17"/>
                <w:szCs w:val="17"/>
                <w:b w:val="1"/>
                <w:bCs w:val="1"/>
                <w:color w:val="FEFEFE"/>
              </w:rPr>
              <w:t>​</w:t>
            </w:r>
          </w:p>
        </w:tc>
        <w:tc>
          <w:tcPr>
            <w:tcW w:w="140" w:type="dxa"/>
            <w:vAlign w:val="bottom"/>
          </w:tcPr>
          <w:p>
            <w:pPr>
              <w:spacing w:after="0"/>
              <w:rPr>
                <w:sz w:val="20"/>
                <w:szCs w:val="20"/>
                <w:color w:val="auto"/>
              </w:rPr>
            </w:pPr>
            <w:r>
              <w:rPr>
                <w:rFonts w:ascii="Arial" w:cs="Arial" w:eastAsia="Arial" w:hAnsi="Arial"/>
                <w:sz w:val="17"/>
                <w:szCs w:val="17"/>
                <w:b w:val="1"/>
                <w:bCs w:val="1"/>
                <w:color w:val="FEFEFE"/>
              </w:rPr>
              <w:t>​</w:t>
            </w:r>
          </w:p>
        </w:tc>
        <w:tc>
          <w:tcPr>
            <w:tcW w:w="2740" w:type="dxa"/>
            <w:vAlign w:val="bottom"/>
          </w:tcPr>
          <w:p>
            <w:pPr>
              <w:spacing w:after="0"/>
              <w:rPr>
                <w:sz w:val="24"/>
                <w:szCs w:val="24"/>
                <w:color w:val="auto"/>
              </w:rPr>
            </w:pPr>
          </w:p>
        </w:tc>
      </w:tr>
      <w:tr>
        <w:trPr>
          <w:trHeight w:val="277"/>
        </w:trPr>
        <w:tc>
          <w:tcPr>
            <w:tcW w:w="120" w:type="dxa"/>
            <w:vAlign w:val="bottom"/>
            <w:tcBorders>
              <w:bottom w:val="single" w:sz="8" w:color="62259D"/>
            </w:tcBorders>
            <w:shd w:val="clear" w:color="auto" w:fill="62259D"/>
          </w:tcPr>
          <w:p>
            <w:pPr>
              <w:spacing w:after="0"/>
              <w:rPr>
                <w:sz w:val="20"/>
                <w:szCs w:val="20"/>
                <w:color w:val="auto"/>
              </w:rPr>
            </w:pPr>
            <w:r>
              <w:rPr>
                <w:rFonts w:ascii="Arial" w:cs="Arial" w:eastAsia="Arial" w:hAnsi="Arial"/>
                <w:sz w:val="17"/>
                <w:szCs w:val="17"/>
                <w:b w:val="1"/>
                <w:bCs w:val="1"/>
                <w:color w:val="FEFEFE"/>
              </w:rPr>
              <w:t>​</w:t>
            </w:r>
          </w:p>
        </w:tc>
        <w:tc>
          <w:tcPr>
            <w:tcW w:w="2640" w:type="dxa"/>
            <w:vAlign w:val="bottom"/>
            <w:tcBorders>
              <w:bottom w:val="single" w:sz="8" w:color="62259D"/>
            </w:tcBorders>
            <w:shd w:val="clear" w:color="auto" w:fill="62259D"/>
          </w:tcPr>
          <w:p>
            <w:pPr>
              <w:jc w:val="center"/>
              <w:ind w:right="38"/>
              <w:spacing w:after="0"/>
              <w:rPr>
                <w:sz w:val="20"/>
                <w:szCs w:val="20"/>
                <w:color w:val="auto"/>
              </w:rPr>
            </w:pPr>
            <w:r>
              <w:rPr>
                <w:rFonts w:ascii="Arial" w:cs="Arial" w:eastAsia="Arial" w:hAnsi="Arial"/>
                <w:sz w:val="17"/>
                <w:szCs w:val="17"/>
                <w:b w:val="1"/>
                <w:bCs w:val="1"/>
                <w:color w:val="FEFEFE"/>
              </w:rPr>
              <w:t>Patrick Macken</w:t>
            </w:r>
          </w:p>
        </w:tc>
        <w:tc>
          <w:tcPr>
            <w:tcW w:w="2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7"/>
                <w:szCs w:val="17"/>
                <w:b w:val="1"/>
                <w:bCs w:val="1"/>
                <w:color w:val="FEFEFE"/>
              </w:rPr>
              <w:t>​</w:t>
            </w:r>
          </w:p>
        </w:tc>
        <w:tc>
          <w:tcPr>
            <w:tcW w:w="140" w:type="dxa"/>
            <w:vAlign w:val="bottom"/>
            <w:tcBorders>
              <w:bottom w:val="single" w:sz="8" w:color="62259D"/>
            </w:tcBorders>
            <w:shd w:val="clear" w:color="auto" w:fill="62259D"/>
          </w:tcPr>
          <w:p>
            <w:pPr>
              <w:spacing w:after="0"/>
              <w:rPr>
                <w:sz w:val="20"/>
                <w:szCs w:val="20"/>
                <w:color w:val="auto"/>
              </w:rPr>
            </w:pPr>
            <w:r>
              <w:rPr>
                <w:rFonts w:ascii="Arial" w:cs="Arial" w:eastAsia="Arial" w:hAnsi="Arial"/>
                <w:sz w:val="17"/>
                <w:szCs w:val="17"/>
                <w:b w:val="1"/>
                <w:bCs w:val="1"/>
                <w:color w:val="FEFEFE"/>
              </w:rPr>
              <w:t>​</w:t>
            </w:r>
          </w:p>
        </w:tc>
        <w:tc>
          <w:tcPr>
            <w:tcW w:w="2740" w:type="dxa"/>
            <w:vAlign w:val="bottom"/>
            <w:tcBorders>
              <w:bottom w:val="single" w:sz="8" w:color="62259D"/>
            </w:tcBorders>
            <w:shd w:val="clear" w:color="auto" w:fill="62259D"/>
          </w:tcPr>
          <w:p>
            <w:pPr>
              <w:jc w:val="center"/>
              <w:ind w:right="58"/>
              <w:spacing w:after="0"/>
              <w:rPr>
                <w:sz w:val="20"/>
                <w:szCs w:val="20"/>
                <w:color w:val="auto"/>
              </w:rPr>
            </w:pPr>
            <w:r>
              <w:rPr>
                <w:rFonts w:ascii="Arial" w:cs="Arial" w:eastAsia="Arial" w:hAnsi="Arial"/>
                <w:sz w:val="17"/>
                <w:szCs w:val="17"/>
                <w:b w:val="1"/>
                <w:bCs w:val="1"/>
                <w:color w:val="FEFEFE"/>
              </w:rPr>
              <w:t>Steve McCaffery</w:t>
            </w:r>
          </w:p>
        </w:tc>
      </w:tr>
      <w:tr>
        <w:trPr>
          <w:trHeight w:val="204"/>
        </w:trPr>
        <w:tc>
          <w:tcPr>
            <w:tcW w:w="120" w:type="dxa"/>
            <w:vAlign w:val="bottom"/>
          </w:tcPr>
          <w:p>
            <w:pPr>
              <w:spacing w:after="0"/>
              <w:rPr>
                <w:sz w:val="20"/>
                <w:szCs w:val="20"/>
                <w:color w:val="auto"/>
              </w:rPr>
            </w:pPr>
            <w:r>
              <w:rPr>
                <w:rFonts w:ascii="Arial" w:cs="Arial" w:eastAsia="Arial" w:hAnsi="Arial"/>
                <w:sz w:val="16"/>
                <w:szCs w:val="16"/>
                <w:i w:val="1"/>
                <w:iCs w:val="1"/>
                <w:color w:val="auto"/>
              </w:rPr>
              <w:t>​</w:t>
            </w:r>
          </w:p>
        </w:tc>
        <w:tc>
          <w:tcPr>
            <w:tcW w:w="2640" w:type="dxa"/>
            <w:vAlign w:val="bottom"/>
          </w:tcPr>
          <w:p>
            <w:pPr>
              <w:jc w:val="center"/>
              <w:ind w:right="58"/>
              <w:spacing w:after="0"/>
              <w:rPr>
                <w:sz w:val="20"/>
                <w:szCs w:val="20"/>
                <w:color w:val="auto"/>
              </w:rPr>
            </w:pPr>
            <w:r>
              <w:rPr>
                <w:rFonts w:ascii="Arial" w:cs="Arial" w:eastAsia="Arial" w:hAnsi="Arial"/>
                <w:sz w:val="16"/>
                <w:szCs w:val="16"/>
                <w:i w:val="1"/>
                <w:iCs w:val="1"/>
                <w:color w:val="auto"/>
              </w:rPr>
              <w:t>Executive Vice President, Chief</w:t>
            </w:r>
          </w:p>
        </w:tc>
        <w:tc>
          <w:tcPr>
            <w:tcW w:w="220" w:type="dxa"/>
            <w:vAlign w:val="bottom"/>
            <w:shd w:val="clear" w:color="auto" w:fill="FEFEFE"/>
          </w:tcPr>
          <w:p>
            <w:pPr>
              <w:ind w:left="20"/>
              <w:spacing w:after="0"/>
              <w:rPr>
                <w:sz w:val="20"/>
                <w:szCs w:val="20"/>
                <w:color w:val="auto"/>
              </w:rPr>
            </w:pPr>
            <w:r>
              <w:rPr>
                <w:rFonts w:ascii="Arial" w:cs="Arial" w:eastAsia="Arial" w:hAnsi="Arial"/>
                <w:sz w:val="16"/>
                <w:szCs w:val="16"/>
                <w:i w:val="1"/>
                <w:iCs w:val="1"/>
                <w:color w:val="auto"/>
              </w:rPr>
              <w:t>​</w:t>
            </w:r>
          </w:p>
        </w:tc>
        <w:tc>
          <w:tcPr>
            <w:tcW w:w="140" w:type="dxa"/>
            <w:vAlign w:val="bottom"/>
          </w:tcPr>
          <w:p>
            <w:pPr>
              <w:spacing w:after="0"/>
              <w:rPr>
                <w:sz w:val="20"/>
                <w:szCs w:val="20"/>
                <w:color w:val="auto"/>
              </w:rPr>
            </w:pPr>
            <w:r>
              <w:rPr>
                <w:rFonts w:ascii="Arial" w:cs="Arial" w:eastAsia="Arial" w:hAnsi="Arial"/>
                <w:sz w:val="16"/>
                <w:szCs w:val="16"/>
                <w:i w:val="1"/>
                <w:iCs w:val="1"/>
                <w:color w:val="auto"/>
              </w:rPr>
              <w:t>​</w:t>
            </w:r>
          </w:p>
        </w:tc>
        <w:tc>
          <w:tcPr>
            <w:tcW w:w="2740" w:type="dxa"/>
            <w:vAlign w:val="bottom"/>
          </w:tcPr>
          <w:p>
            <w:pPr>
              <w:jc w:val="center"/>
              <w:ind w:right="58"/>
              <w:spacing w:after="0"/>
              <w:rPr>
                <w:sz w:val="20"/>
                <w:szCs w:val="20"/>
                <w:color w:val="auto"/>
              </w:rPr>
            </w:pPr>
            <w:r>
              <w:rPr>
                <w:rFonts w:ascii="Arial" w:cs="Arial" w:eastAsia="Arial" w:hAnsi="Arial"/>
                <w:sz w:val="16"/>
                <w:szCs w:val="16"/>
                <w:i w:val="1"/>
                <w:iCs w:val="1"/>
                <w:color w:val="auto"/>
              </w:rPr>
              <w:t>Executive Vice President, Global</w:t>
            </w:r>
          </w:p>
        </w:tc>
      </w:tr>
      <w:tr>
        <w:trPr>
          <w:trHeight w:val="189"/>
        </w:trPr>
        <w:tc>
          <w:tcPr>
            <w:tcW w:w="120" w:type="dxa"/>
            <w:vAlign w:val="bottom"/>
          </w:tcPr>
          <w:p>
            <w:pPr>
              <w:spacing w:after="0"/>
              <w:rPr>
                <w:sz w:val="16"/>
                <w:szCs w:val="16"/>
                <w:color w:val="auto"/>
              </w:rPr>
            </w:pPr>
          </w:p>
        </w:tc>
        <w:tc>
          <w:tcPr>
            <w:tcW w:w="2640" w:type="dxa"/>
            <w:vAlign w:val="bottom"/>
          </w:tcPr>
          <w:p>
            <w:pPr>
              <w:jc w:val="center"/>
              <w:ind w:right="38"/>
              <w:spacing w:after="0"/>
              <w:rPr>
                <w:sz w:val="20"/>
                <w:szCs w:val="20"/>
                <w:color w:val="auto"/>
              </w:rPr>
            </w:pPr>
            <w:r>
              <w:rPr>
                <w:rFonts w:ascii="Arial" w:cs="Arial" w:eastAsia="Arial" w:hAnsi="Arial"/>
                <w:sz w:val="16"/>
                <w:szCs w:val="16"/>
                <w:i w:val="1"/>
                <w:iCs w:val="1"/>
                <w:color w:val="auto"/>
              </w:rPr>
              <w:t>Legal Officer and Corporate</w:t>
            </w:r>
          </w:p>
        </w:tc>
        <w:tc>
          <w:tcPr>
            <w:tcW w:w="220" w:type="dxa"/>
            <w:vAlign w:val="bottom"/>
            <w:shd w:val="clear" w:color="auto" w:fill="FEFEFE"/>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tcPr>
          <w:p>
            <w:pPr>
              <w:jc w:val="center"/>
              <w:ind w:right="38"/>
              <w:spacing w:after="0"/>
              <w:rPr>
                <w:sz w:val="20"/>
                <w:szCs w:val="20"/>
                <w:color w:val="auto"/>
              </w:rPr>
            </w:pPr>
            <w:r>
              <w:rPr>
                <w:rFonts w:ascii="Arial" w:cs="Arial" w:eastAsia="Arial" w:hAnsi="Arial"/>
                <w:sz w:val="16"/>
                <w:szCs w:val="16"/>
                <w:i w:val="1"/>
                <w:iCs w:val="1"/>
                <w:color w:val="auto"/>
              </w:rPr>
              <w:t>Sales</w:t>
            </w:r>
          </w:p>
        </w:tc>
      </w:tr>
      <w:tr>
        <w:trPr>
          <w:trHeight w:val="213"/>
        </w:trPr>
        <w:tc>
          <w:tcPr>
            <w:tcW w:w="120" w:type="dxa"/>
            <w:vAlign w:val="bottom"/>
          </w:tcPr>
          <w:p>
            <w:pPr>
              <w:spacing w:after="0"/>
              <w:rPr>
                <w:sz w:val="18"/>
                <w:szCs w:val="18"/>
                <w:color w:val="auto"/>
              </w:rPr>
            </w:pPr>
          </w:p>
        </w:tc>
        <w:tc>
          <w:tcPr>
            <w:tcW w:w="2640" w:type="dxa"/>
            <w:vAlign w:val="bottom"/>
          </w:tcPr>
          <w:p>
            <w:pPr>
              <w:jc w:val="center"/>
              <w:ind w:right="38"/>
              <w:spacing w:after="0"/>
              <w:rPr>
                <w:sz w:val="20"/>
                <w:szCs w:val="20"/>
                <w:color w:val="auto"/>
              </w:rPr>
            </w:pPr>
            <w:r>
              <w:rPr>
                <w:rFonts w:ascii="Arial" w:cs="Arial" w:eastAsia="Arial" w:hAnsi="Arial"/>
                <w:sz w:val="16"/>
                <w:szCs w:val="16"/>
                <w:i w:val="1"/>
                <w:iCs w:val="1"/>
                <w:color w:val="auto"/>
              </w:rPr>
              <w:t>Secretary</w:t>
            </w:r>
          </w:p>
        </w:tc>
        <w:tc>
          <w:tcPr>
            <w:tcW w:w="220" w:type="dxa"/>
            <w:vAlign w:val="bottom"/>
            <w:shd w:val="clear" w:color="auto" w:fill="FEFEFE"/>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178"/>
        </w:trPr>
        <w:tc>
          <w:tcPr>
            <w:tcW w:w="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shd w:val="clear" w:color="auto" w:fill="FEFEFE"/>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-1319530</wp:posOffset>
            </wp:positionV>
            <wp:extent cx="574040" cy="5740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4040" cy="574040"/>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-1319530</wp:posOffset>
            </wp:positionV>
            <wp:extent cx="574040" cy="5740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4040" cy="574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200" w:val="left"/>
        </w:tabs>
        <w:rPr>
          <w:sz w:val="20"/>
          <w:szCs w:val="20"/>
          <w:color w:val="auto"/>
        </w:rPr>
      </w:pPr>
      <w:r>
        <w:rPr>
          <w:rFonts w:ascii="Arial" w:cs="Arial" w:eastAsia="Arial" w:hAnsi="Arial"/>
          <w:sz w:val="17"/>
          <w:szCs w:val="17"/>
          <w:b w:val="1"/>
          <w:bCs w:val="1"/>
          <w:color w:val="FEFEFE"/>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-623570</wp:posOffset>
            </wp:positionV>
            <wp:extent cx="1765935" cy="8229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65935" cy="822960"/>
                    </a:xfrm>
                    <a:prstGeom prst="rect">
                      <a:avLst/>
                    </a:prstGeom>
                    <a:noFill/>
                  </pic:spPr>
                </pic:pic>
              </a:graphicData>
            </a:graphic>
          </wp:anchor>
        </w:drawing>
      </w:r>
    </w:p>
    <w:p>
      <w:pPr>
        <w:spacing w:after="0"/>
        <w:tabs>
          <w:tab w:leader="none" w:pos="200" w:val="left"/>
          <w:tab w:leader="none" w:pos="920" w:val="left"/>
        </w:tabs>
        <w:rPr>
          <w:sz w:val="20"/>
          <w:szCs w:val="20"/>
          <w:color w:val="auto"/>
        </w:rPr>
      </w:pPr>
      <w:r>
        <w:rPr>
          <w:rFonts w:ascii="Arial" w:cs="Arial" w:eastAsia="Arial" w:hAnsi="Arial"/>
          <w:sz w:val="34"/>
          <w:szCs w:val="34"/>
          <w:b w:val="1"/>
          <w:bCs w:val="1"/>
          <w:color w:val="FEFEFE"/>
          <w:vertAlign w:val="subscript"/>
        </w:rPr>
        <w:t>​</w:t>
      </w:r>
      <w:r>
        <w:rPr>
          <w:sz w:val="20"/>
          <w:szCs w:val="20"/>
          <w:color w:val="auto"/>
        </w:rPr>
        <w:tab/>
      </w:r>
      <w:r>
        <w:rPr>
          <w:rFonts w:ascii="Arial" w:cs="Arial" w:eastAsia="Arial" w:hAnsi="Arial"/>
          <w:sz w:val="34"/>
          <w:szCs w:val="34"/>
          <w:b w:val="1"/>
          <w:bCs w:val="1"/>
          <w:color w:val="FEFEFE"/>
          <w:vertAlign w:val="subscript"/>
        </w:rPr>
        <w:t>​</w:t>
      </w:r>
      <w:r>
        <w:rPr>
          <w:sz w:val="20"/>
          <w:szCs w:val="20"/>
          <w:color w:val="auto"/>
        </w:rPr>
        <w:tab/>
      </w:r>
      <w:r>
        <w:rPr>
          <w:rFonts w:ascii="Arial" w:cs="Arial" w:eastAsia="Arial" w:hAnsi="Arial"/>
          <w:sz w:val="17"/>
          <w:szCs w:val="17"/>
          <w:b w:val="1"/>
          <w:bCs w:val="1"/>
          <w:color w:val="FEFEFE"/>
        </w:rPr>
        <w:t>Dan Redington</w:t>
      </w:r>
    </w:p>
    <w:p>
      <w:pPr>
        <w:spacing w:after="0" w:line="1" w:lineRule="exact"/>
        <w:rPr>
          <w:sz w:val="20"/>
          <w:szCs w:val="20"/>
          <w:color w:val="auto"/>
        </w:rPr>
      </w:pPr>
    </w:p>
    <w:p>
      <w:pPr>
        <w:ind w:left="420" w:hanging="417"/>
        <w:spacing w:after="0" w:line="206" w:lineRule="auto"/>
        <w:tabs>
          <w:tab w:leader="none" w:pos="221" w:val="left"/>
        </w:tabs>
        <w:numPr>
          <w:ilvl w:val="0"/>
          <w:numId w:val="104"/>
        </w:numPr>
        <w:rPr>
          <w:rFonts w:ascii="Arial" w:cs="Arial" w:eastAsia="Arial" w:hAnsi="Arial"/>
          <w:sz w:val="32"/>
          <w:szCs w:val="32"/>
          <w:i w:val="1"/>
          <w:iCs w:val="1"/>
          <w:color w:val="auto"/>
          <w:vertAlign w:val="superscript"/>
        </w:rPr>
      </w:pPr>
      <w:r>
        <w:rPr>
          <w:rFonts w:ascii="Arial" w:cs="Arial" w:eastAsia="Arial" w:hAnsi="Arial"/>
          <w:sz w:val="32"/>
          <w:szCs w:val="32"/>
          <w:i w:val="1"/>
          <w:iCs w:val="1"/>
          <w:color w:val="auto"/>
          <w:vertAlign w:val="superscript"/>
        </w:rPr>
        <w:t>​</w:t>
      </w:r>
      <w:r>
        <w:rPr>
          <w:rFonts w:ascii="Arial" w:cs="Arial" w:eastAsia="Arial" w:hAnsi="Arial"/>
          <w:sz w:val="16"/>
          <w:szCs w:val="16"/>
          <w:i w:val="1"/>
          <w:iCs w:val="1"/>
          <w:color w:val="auto"/>
        </w:rPr>
        <w:t xml:space="preserve"> Former Executive Vice President, Global Sales (Mr. Redington left Ribbon Effective September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FEFEFE"/>
        </w:rPr>
        <w:t>​</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FEFEFE"/>
        </w:rPr>
        <w: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p>
    <w:p>
      <w:pPr>
        <w:spacing w:after="0" w:line="794" w:lineRule="exact"/>
        <w:rPr>
          <w:sz w:val="20"/>
          <w:szCs w:val="20"/>
          <w:color w:val="auto"/>
        </w:rPr>
      </w:pPr>
    </w:p>
    <w:p>
      <w:pPr>
        <w:sectPr>
          <w:pgSz w:w="11900" w:h="16838" w:orient="portrait"/>
          <w:cols w:equalWidth="0" w:num="3">
            <w:col w:w="6780" w:space="0"/>
            <w:col w:w="2860" w:space="140"/>
            <w:col w:w="99"/>
          </w:cols>
          <w:pgMar w:left="580" w:top="97" w:right="1440" w:bottom="1440" w:gutter="0" w:footer="0" w:header="0"/>
          <w:type w:val="continuous"/>
        </w:sectPr>
      </w:pPr>
    </w:p>
    <w:p>
      <w:pPr>
        <w:ind w:left="920"/>
        <w:spacing w:after="0"/>
        <w:rPr>
          <w:sz w:val="20"/>
          <w:szCs w:val="20"/>
          <w:color w:val="auto"/>
        </w:rPr>
      </w:pPr>
      <w:r>
        <w:rPr>
          <w:rFonts w:ascii="Arial" w:cs="Arial" w:eastAsia="Arial" w:hAnsi="Arial"/>
          <w:sz w:val="29"/>
          <w:szCs w:val="29"/>
          <w:color w:val="62259D"/>
        </w:rPr>
        <w:t>Executive Summary of 2025 Executive Compensation Decisions</w:t>
      </w:r>
    </w:p>
    <w:p>
      <w:pPr>
        <w:spacing w:after="0" w:line="125" w:lineRule="exact"/>
        <w:rPr>
          <w:sz w:val="20"/>
          <w:szCs w:val="20"/>
          <w:color w:val="auto"/>
        </w:rPr>
      </w:pPr>
    </w:p>
    <w:p>
      <w:pPr>
        <w:ind w:left="920" w:right="179"/>
        <w:spacing w:after="0" w:line="252" w:lineRule="auto"/>
        <w:rPr>
          <w:sz w:val="20"/>
          <w:szCs w:val="20"/>
          <w:color w:val="auto"/>
        </w:rPr>
      </w:pPr>
      <w:r>
        <w:rPr>
          <w:rFonts w:ascii="Arial" w:cs="Arial" w:eastAsia="Arial" w:hAnsi="Arial"/>
          <w:sz w:val="18"/>
          <w:szCs w:val="18"/>
          <w:color w:val="auto"/>
        </w:rPr>
        <w:t>We believe that our executive compensation program supports our business strategies and talent management objectives and is consistent with sound governance practices that are intended to best serve our stockholders’ long-term interests. In making its compensation decisions for 2025, the Compensation Committee considered, among other things:</w:t>
      </w:r>
    </w:p>
    <w:p>
      <w:pPr>
        <w:spacing w:after="0" w:line="89" w:lineRule="exact"/>
        <w:rPr>
          <w:sz w:val="20"/>
          <w:szCs w:val="20"/>
          <w:color w:val="auto"/>
        </w:rPr>
      </w:pPr>
    </w:p>
    <w:p>
      <w:pPr>
        <w:ind w:left="1280" w:hanging="356"/>
        <w:spacing w:after="0"/>
        <w:tabs>
          <w:tab w:leader="none" w:pos="1280" w:val="left"/>
        </w:tabs>
        <w:numPr>
          <w:ilvl w:val="0"/>
          <w:numId w:val="105"/>
        </w:numPr>
        <w:rPr>
          <w:rFonts w:ascii="Arial" w:cs="Arial" w:eastAsia="Arial" w:hAnsi="Arial"/>
          <w:sz w:val="18"/>
          <w:szCs w:val="18"/>
          <w:color w:val="62259D"/>
        </w:rPr>
      </w:pPr>
      <w:r>
        <w:rPr>
          <w:rFonts w:ascii="Arial" w:cs="Arial" w:eastAsia="Arial" w:hAnsi="Arial"/>
          <w:sz w:val="18"/>
          <w:szCs w:val="18"/>
          <w:color w:val="auto"/>
        </w:rPr>
        <w:t>our financial and operational results for the year,</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05"/>
        </w:numPr>
        <w:rPr>
          <w:rFonts w:ascii="Arial" w:cs="Arial" w:eastAsia="Arial" w:hAnsi="Arial"/>
          <w:sz w:val="18"/>
          <w:szCs w:val="18"/>
          <w:color w:val="62259D"/>
        </w:rPr>
      </w:pPr>
      <w:r>
        <w:rPr>
          <w:rFonts w:ascii="Arial" w:cs="Arial" w:eastAsia="Arial" w:hAnsi="Arial"/>
          <w:sz w:val="18"/>
          <w:szCs w:val="18"/>
          <w:color w:val="auto"/>
        </w:rPr>
        <w:t>the result of the say-on-pay vote at our 2025 annual meeting of stockholders, and</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105"/>
        </w:numPr>
        <w:rPr>
          <w:rFonts w:ascii="Arial" w:cs="Arial" w:eastAsia="Arial" w:hAnsi="Arial"/>
          <w:sz w:val="18"/>
          <w:szCs w:val="18"/>
          <w:color w:val="62259D"/>
        </w:rPr>
      </w:pPr>
      <w:r>
        <w:rPr>
          <w:rFonts w:ascii="Arial" w:cs="Arial" w:eastAsia="Arial" w:hAnsi="Arial"/>
          <w:sz w:val="18"/>
          <w:szCs w:val="18"/>
          <w:color w:val="auto"/>
        </w:rPr>
        <w:t>the achievement of the compensation objectives set by the Compensation Committee.</w:t>
      </w:r>
    </w:p>
    <w:p>
      <w:pPr>
        <w:spacing w:after="0" w:line="131" w:lineRule="exact"/>
        <w:rPr>
          <w:sz w:val="20"/>
          <w:szCs w:val="20"/>
          <w:color w:val="auto"/>
        </w:rPr>
      </w:pPr>
    </w:p>
    <w:p>
      <w:pPr>
        <w:ind w:left="920" w:right="639"/>
        <w:spacing w:after="0" w:line="271" w:lineRule="auto"/>
        <w:rPr>
          <w:sz w:val="20"/>
          <w:szCs w:val="20"/>
          <w:color w:val="auto"/>
        </w:rPr>
      </w:pPr>
      <w:r>
        <w:rPr>
          <w:rFonts w:ascii="Arial" w:cs="Arial" w:eastAsia="Arial" w:hAnsi="Arial"/>
          <w:sz w:val="18"/>
          <w:szCs w:val="18"/>
          <w:color w:val="auto"/>
        </w:rPr>
        <w:t>The components of the NEOs’ compensation and the key decisions underlying such components are described below.</w:t>
      </w:r>
    </w:p>
    <w:p>
      <w:pPr>
        <w:spacing w:after="0" w:line="164" w:lineRule="exact"/>
        <w:rPr>
          <w:sz w:val="20"/>
          <w:szCs w:val="20"/>
          <w:color w:val="auto"/>
        </w:rPr>
      </w:pPr>
    </w:p>
    <w:p>
      <w:pPr>
        <w:jc w:val="center"/>
        <w:ind w:right="-760"/>
        <w:spacing w:after="0"/>
        <w:rPr>
          <w:sz w:val="20"/>
          <w:szCs w:val="20"/>
          <w:color w:val="auto"/>
        </w:rPr>
      </w:pPr>
      <w:r>
        <w:rPr>
          <w:rFonts w:ascii="Arial" w:cs="Arial" w:eastAsia="Arial" w:hAnsi="Arial"/>
          <w:sz w:val="20"/>
          <w:szCs w:val="20"/>
          <w:color w:val="E7417A"/>
        </w:rPr>
        <w:t>TARGETED COMPENSATION COMPONENTS OF THE CEO AND CURRENT NEOs</w:t>
      </w:r>
    </w:p>
    <w:p>
      <w:pPr>
        <w:spacing w:after="0" w:line="18" w:lineRule="exact"/>
        <w:rPr>
          <w:sz w:val="20"/>
          <w:szCs w:val="20"/>
          <w:color w:val="auto"/>
        </w:rPr>
      </w:pPr>
    </w:p>
    <w:p>
      <w:pPr>
        <w:jc w:val="center"/>
        <w:ind w:right="-820"/>
        <w:spacing w:after="0"/>
        <w:rPr>
          <w:sz w:val="20"/>
          <w:szCs w:val="20"/>
          <w:color w:val="auto"/>
        </w:rPr>
      </w:pPr>
      <w:r>
        <w:rPr>
          <w:rFonts w:ascii="Arial" w:cs="Arial" w:eastAsia="Arial" w:hAnsi="Arial"/>
          <w:sz w:val="20"/>
          <w:szCs w:val="20"/>
          <w:color w:val="E7417A"/>
        </w:rPr>
        <w:t>(AS A PERCENTAGE OF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104775</wp:posOffset>
            </wp:positionV>
            <wp:extent cx="3257550" cy="18599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5755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20" w:right="319"/>
        <w:spacing w:after="0" w:line="253" w:lineRule="auto"/>
        <w:rPr>
          <w:sz w:val="20"/>
          <w:szCs w:val="20"/>
          <w:color w:val="auto"/>
        </w:rPr>
      </w:pPr>
      <w:r>
        <w:rPr>
          <w:rFonts w:ascii="Arial" w:cs="Arial" w:eastAsia="Arial" w:hAnsi="Arial"/>
          <w:sz w:val="18"/>
          <w:szCs w:val="18"/>
          <w:color w:val="auto"/>
        </w:rPr>
        <w:t>Our NEOs are responsible for achieving both short- and long-term performance goals critical to our long-term success. Accordingly, compensation is weighted more heavily towards rewarding variable compensation as an individual rises within the organization.</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Executive Compensation Highlights</w:t>
      </w:r>
    </w:p>
    <w:p>
      <w:pPr>
        <w:spacing w:after="0" w:line="135" w:lineRule="exact"/>
        <w:rPr>
          <w:sz w:val="20"/>
          <w:szCs w:val="20"/>
          <w:color w:val="auto"/>
        </w:rPr>
      </w:pPr>
    </w:p>
    <w:p>
      <w:pPr>
        <w:ind w:left="920" w:right="159"/>
        <w:spacing w:after="0" w:line="247" w:lineRule="auto"/>
        <w:rPr>
          <w:sz w:val="20"/>
          <w:szCs w:val="20"/>
          <w:color w:val="auto"/>
        </w:rPr>
      </w:pPr>
      <w:r>
        <w:rPr>
          <w:rFonts w:ascii="Arial" w:cs="Arial" w:eastAsia="Arial" w:hAnsi="Arial"/>
          <w:sz w:val="18"/>
          <w:szCs w:val="18"/>
          <w:color w:val="auto"/>
        </w:rPr>
        <w:t>The Compensation Committee reviews its pay practices to help ensure that they are aligned with the goals and objectives of the business established by the Board, and that such practices reflect what the Compensation Committee believes are good pay practices and support the Company’s strong governance and pay for performance compensation philosophy. No material changes were made to the pay practice structure in 2025.</w:t>
      </w:r>
    </w:p>
    <w:p>
      <w:pPr>
        <w:spacing w:after="0" w:line="2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Our Guiding Compensation Philosophy</w:t>
      </w:r>
    </w:p>
    <w:p>
      <w:pPr>
        <w:spacing w:after="0" w:line="135" w:lineRule="exact"/>
        <w:rPr>
          <w:sz w:val="20"/>
          <w:szCs w:val="20"/>
          <w:color w:val="auto"/>
        </w:rPr>
      </w:pPr>
    </w:p>
    <w:p>
      <w:pPr>
        <w:ind w:left="920" w:right="139"/>
        <w:spacing w:after="0" w:line="247" w:lineRule="auto"/>
        <w:rPr>
          <w:sz w:val="20"/>
          <w:szCs w:val="20"/>
          <w:color w:val="auto"/>
        </w:rPr>
      </w:pPr>
      <w:r>
        <w:rPr>
          <w:rFonts w:ascii="Arial" w:cs="Arial" w:eastAsia="Arial" w:hAnsi="Arial"/>
          <w:sz w:val="18"/>
          <w:szCs w:val="18"/>
          <w:color w:val="auto"/>
        </w:rPr>
        <w:t>Our compensation philosophy and practices are a critical part of our business strategy. We have a rigorous performance and compensation management system, and we believe our compensation processes and programs are aligned to provide strong incentives for success while appropriately balancing risk. In setting policies and practices regarding compensation, our guiding philosophy is that our compensation programs should: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90170</wp:posOffset>
            </wp:positionV>
            <wp:extent cx="5528945" cy="15087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5289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seek to accomplish these objectives by:</w:t>
      </w:r>
    </w:p>
    <w:p>
      <w:pPr>
        <w:spacing w:after="0" w:line="131" w:lineRule="exact"/>
        <w:rPr>
          <w:sz w:val="20"/>
          <w:szCs w:val="20"/>
          <w:color w:val="auto"/>
        </w:rPr>
      </w:pPr>
    </w:p>
    <w:p>
      <w:pPr>
        <w:ind w:left="1280" w:hanging="356"/>
        <w:spacing w:after="0"/>
        <w:tabs>
          <w:tab w:leader="none" w:pos="1280" w:val="left"/>
        </w:tabs>
        <w:numPr>
          <w:ilvl w:val="0"/>
          <w:numId w:val="106"/>
        </w:numPr>
        <w:rPr>
          <w:rFonts w:ascii="Arial" w:cs="Arial" w:eastAsia="Arial" w:hAnsi="Arial"/>
          <w:sz w:val="18"/>
          <w:szCs w:val="18"/>
          <w:color w:val="62259D"/>
        </w:rPr>
      </w:pPr>
      <w:r>
        <w:rPr>
          <w:rFonts w:ascii="Arial" w:cs="Arial" w:eastAsia="Arial" w:hAnsi="Arial"/>
          <w:sz w:val="18"/>
          <w:szCs w:val="18"/>
          <w:color w:val="auto"/>
        </w:rPr>
        <w:t>providing independent Compensation Committee oversight;</w:t>
      </w:r>
    </w:p>
    <w:p>
      <w:pPr>
        <w:spacing w:after="0" w:line="63" w:lineRule="exact"/>
        <w:rPr>
          <w:rFonts w:ascii="Arial" w:cs="Arial" w:eastAsia="Arial" w:hAnsi="Arial"/>
          <w:sz w:val="18"/>
          <w:szCs w:val="18"/>
          <w:color w:val="62259D"/>
        </w:rPr>
      </w:pPr>
    </w:p>
    <w:p>
      <w:pPr>
        <w:ind w:left="1280" w:right="319" w:hanging="356"/>
        <w:spacing w:after="0" w:line="281" w:lineRule="auto"/>
        <w:tabs>
          <w:tab w:leader="none" w:pos="1280" w:val="left"/>
        </w:tabs>
        <w:numPr>
          <w:ilvl w:val="0"/>
          <w:numId w:val="106"/>
        </w:numPr>
        <w:rPr>
          <w:rFonts w:ascii="Arial" w:cs="Arial" w:eastAsia="Arial" w:hAnsi="Arial"/>
          <w:sz w:val="18"/>
          <w:szCs w:val="18"/>
          <w:color w:val="62259D"/>
        </w:rPr>
      </w:pPr>
      <w:r>
        <w:rPr>
          <w:rFonts w:ascii="Arial" w:cs="Arial" w:eastAsia="Arial" w:hAnsi="Arial"/>
          <w:sz w:val="18"/>
          <w:szCs w:val="18"/>
          <w:color w:val="auto"/>
        </w:rPr>
        <w:t>encouraging and rewarding outstanding initiative, achievement, teamwork, appropriate business-risk taking and a shared success environment; and</w:t>
      </w:r>
    </w:p>
    <w:p>
      <w:pPr>
        <w:spacing w:after="0" w:line="1" w:lineRule="exact"/>
        <w:rPr>
          <w:rFonts w:ascii="Arial" w:cs="Arial" w:eastAsia="Arial" w:hAnsi="Arial"/>
          <w:sz w:val="18"/>
          <w:szCs w:val="18"/>
          <w:color w:val="62259D"/>
        </w:rPr>
      </w:pPr>
    </w:p>
    <w:p>
      <w:pPr>
        <w:ind w:left="1280" w:right="599" w:hanging="356"/>
        <w:spacing w:after="0" w:line="287" w:lineRule="auto"/>
        <w:tabs>
          <w:tab w:leader="none" w:pos="1280" w:val="left"/>
        </w:tabs>
        <w:numPr>
          <w:ilvl w:val="0"/>
          <w:numId w:val="106"/>
        </w:numPr>
        <w:rPr>
          <w:rFonts w:ascii="Arial" w:cs="Arial" w:eastAsia="Arial" w:hAnsi="Arial"/>
          <w:sz w:val="18"/>
          <w:szCs w:val="18"/>
          <w:color w:val="62259D"/>
        </w:rPr>
      </w:pPr>
      <w:r>
        <w:rPr>
          <w:rFonts w:ascii="Arial" w:cs="Arial" w:eastAsia="Arial" w:hAnsi="Arial"/>
          <w:sz w:val="18"/>
          <w:szCs w:val="18"/>
          <w:color w:val="auto"/>
        </w:rPr>
        <w:t>reinforcing critical measures of performance derived from our business strategy and key success factors.</w:t>
      </w:r>
    </w:p>
    <w:p>
      <w:pPr>
        <w:spacing w:after="0" w:line="45" w:lineRule="exact"/>
        <w:rPr>
          <w:sz w:val="20"/>
          <w:szCs w:val="20"/>
          <w:color w:val="auto"/>
        </w:rPr>
      </w:pPr>
    </w:p>
    <w:p>
      <w:pPr>
        <w:ind w:left="920" w:right="99"/>
        <w:spacing w:after="0" w:line="287" w:lineRule="auto"/>
        <w:rPr>
          <w:sz w:val="20"/>
          <w:szCs w:val="20"/>
          <w:color w:val="auto"/>
        </w:rPr>
      </w:pPr>
      <w:r>
        <w:rPr>
          <w:rFonts w:ascii="Arial" w:cs="Arial" w:eastAsia="Arial" w:hAnsi="Arial"/>
          <w:sz w:val="18"/>
          <w:szCs w:val="18"/>
          <w:color w:val="auto"/>
        </w:rPr>
        <w:t>These objectives, and our general compensation philosophy, are reviewed on an annual basis and updated as appropriate.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Some of the key features of our compensation programs and practices are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257"/>
        </w:trPr>
        <w:tc>
          <w:tcPr>
            <w:tcW w:w="26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w:t>
            </w:r>
          </w:p>
        </w:tc>
        <w:tc>
          <w:tcPr>
            <w:tcW w:w="7280" w:type="dxa"/>
            <w:vAlign w:val="bottom"/>
            <w:shd w:val="clear" w:color="auto" w:fill="62259D"/>
          </w:tcPr>
          <w:p>
            <w:pPr>
              <w:ind w:left="2260"/>
              <w:spacing w:after="0"/>
              <w:rPr>
                <w:sz w:val="20"/>
                <w:szCs w:val="20"/>
                <w:color w:val="auto"/>
              </w:rPr>
            </w:pPr>
            <w:r>
              <w:rPr>
                <w:rFonts w:ascii="Arial" w:cs="Arial" w:eastAsia="Arial" w:hAnsi="Arial"/>
                <w:sz w:val="16"/>
                <w:szCs w:val="16"/>
                <w:b w:val="1"/>
                <w:bCs w:val="1"/>
                <w:color w:val="FEFEFE"/>
              </w:rPr>
              <w:t>Compensation Best Practices that We Follow</w:t>
            </w:r>
          </w:p>
        </w:tc>
        <w:tc>
          <w:tcPr>
            <w:tcW w:w="1320" w:type="dxa"/>
            <w:vAlign w:val="bottom"/>
            <w:shd w:val="clear" w:color="auto" w:fill="62259D"/>
          </w:tcPr>
          <w:p>
            <w:pPr>
              <w:ind w:left="126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20"/>
                <w:szCs w:val="20"/>
                <w:color w:val="auto"/>
              </w:rPr>
            </w:pPr>
            <w:r>
              <w:rPr>
                <w:rFonts w:ascii="Arial" w:cs="Arial" w:eastAsia="Arial" w:hAnsi="Arial"/>
                <w:sz w:val="16"/>
                <w:szCs w:val="16"/>
                <w:color w:val="auto"/>
              </w:rPr>
              <w:t>​</w:t>
            </w:r>
          </w:p>
        </w:tc>
        <w:tc>
          <w:tcPr>
            <w:tcW w:w="72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PAY FOR PERFORMANCE</w:t>
            </w:r>
          </w:p>
        </w:tc>
        <w:tc>
          <w:tcPr>
            <w:tcW w:w="1320" w:type="dxa"/>
            <w:vAlign w:val="bottom"/>
          </w:tcPr>
          <w:p>
            <w:pPr>
              <w:ind w:left="1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260" w:type="dxa"/>
            <w:vAlign w:val="bottom"/>
          </w:tcPr>
          <w:p>
            <w:pPr>
              <w:spacing w:after="0"/>
              <w:rPr>
                <w:sz w:val="5"/>
                <w:szCs w:val="5"/>
                <w:color w:val="auto"/>
              </w:rPr>
            </w:pPr>
          </w:p>
        </w:tc>
        <w:tc>
          <w:tcPr>
            <w:tcW w:w="728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-166370</wp:posOffset>
            </wp:positionV>
            <wp:extent cx="5623560" cy="37458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23560" cy="3745865"/>
                    </a:xfrm>
                    <a:prstGeom prst="rect">
                      <a:avLst/>
                    </a:prstGeom>
                    <a:noFill/>
                  </pic:spPr>
                </pic:pic>
              </a:graphicData>
            </a:graphic>
          </wp:anchor>
        </w:drawing>
      </w:r>
    </w:p>
    <w:p>
      <w:pPr>
        <w:spacing w:after="0" w:line="14" w:lineRule="exact"/>
        <w:rPr>
          <w:sz w:val="20"/>
          <w:szCs w:val="20"/>
          <w:color w:val="auto"/>
        </w:rPr>
      </w:pPr>
    </w:p>
    <w:p>
      <w:pPr>
        <w:ind w:left="1520" w:hanging="164"/>
        <w:spacing w:after="0"/>
        <w:tabs>
          <w:tab w:leader="none" w:pos="1520" w:val="left"/>
        </w:tabs>
        <w:numPr>
          <w:ilvl w:val="0"/>
          <w:numId w:val="107"/>
        </w:numPr>
        <w:rPr>
          <w:rFonts w:ascii="Arial" w:cs="Arial" w:eastAsia="Arial" w:hAnsi="Arial"/>
          <w:sz w:val="16"/>
          <w:szCs w:val="16"/>
          <w:color w:val="62259D"/>
        </w:rPr>
      </w:pPr>
      <w:r>
        <w:rPr>
          <w:rFonts w:ascii="Arial" w:cs="Arial" w:eastAsia="Arial" w:hAnsi="Arial"/>
          <w:sz w:val="16"/>
          <w:szCs w:val="16"/>
          <w:color w:val="auto"/>
        </w:rPr>
        <w:t>A significant portion of the NEOs’ target compensation is performance-based, share-linked or both</w:t>
      </w:r>
    </w:p>
    <w:p>
      <w:pPr>
        <w:spacing w:after="0" w:line="72" w:lineRule="exact"/>
        <w:rPr>
          <w:rFonts w:ascii="Arial" w:cs="Arial" w:eastAsia="Arial" w:hAnsi="Arial"/>
          <w:sz w:val="16"/>
          <w:szCs w:val="16"/>
          <w:color w:val="62259D"/>
        </w:rPr>
      </w:pPr>
    </w:p>
    <w:p>
      <w:pPr>
        <w:ind w:left="1520" w:hanging="164"/>
        <w:spacing w:after="0"/>
        <w:tabs>
          <w:tab w:leader="none" w:pos="1520" w:val="left"/>
        </w:tabs>
        <w:numPr>
          <w:ilvl w:val="0"/>
          <w:numId w:val="107"/>
        </w:numPr>
        <w:rPr>
          <w:rFonts w:ascii="Arial" w:cs="Arial" w:eastAsia="Arial" w:hAnsi="Arial"/>
          <w:sz w:val="16"/>
          <w:szCs w:val="16"/>
          <w:color w:val="62259D"/>
        </w:rPr>
      </w:pPr>
      <w:r>
        <w:rPr>
          <w:rFonts w:ascii="Arial" w:cs="Arial" w:eastAsia="Arial" w:hAnsi="Arial"/>
          <w:sz w:val="16"/>
          <w:szCs w:val="16"/>
          <w:color w:val="auto"/>
        </w:rPr>
        <w:t>Over 45% of annual long-term equity awards granted to the NEOs in 2025 are performance-based</w:t>
      </w:r>
    </w:p>
    <w:p>
      <w:pPr>
        <w:spacing w:after="0" w:line="99" w:lineRule="exact"/>
        <w:rPr>
          <w:rFonts w:ascii="Arial" w:cs="Arial" w:eastAsia="Arial" w:hAnsi="Arial"/>
          <w:sz w:val="16"/>
          <w:szCs w:val="16"/>
          <w:color w:val="62259D"/>
        </w:rPr>
      </w:pPr>
    </w:p>
    <w:p>
      <w:pPr>
        <w:ind w:left="1520" w:right="819" w:hanging="164"/>
        <w:spacing w:after="0" w:line="286" w:lineRule="auto"/>
        <w:tabs>
          <w:tab w:leader="none" w:pos="1520" w:val="left"/>
        </w:tabs>
        <w:numPr>
          <w:ilvl w:val="0"/>
          <w:numId w:val="107"/>
        </w:numPr>
        <w:rPr>
          <w:rFonts w:ascii="Arial" w:cs="Arial" w:eastAsia="Arial" w:hAnsi="Arial"/>
          <w:sz w:val="16"/>
          <w:szCs w:val="16"/>
          <w:color w:val="62259D"/>
        </w:rPr>
      </w:pPr>
      <w:r>
        <w:rPr>
          <w:rFonts w:ascii="Arial" w:cs="Arial" w:eastAsia="Arial" w:hAnsi="Arial"/>
          <w:sz w:val="16"/>
          <w:szCs w:val="16"/>
          <w:color w:val="auto"/>
        </w:rPr>
        <w:t>100% of annual performance-based equity awards made to the NEOs in 2025 are tied to relative total stockholder return over a multi-year period</w:t>
      </w:r>
    </w:p>
    <w:p>
      <w:pPr>
        <w:spacing w:after="0" w:line="75"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CONSERVATIVE SEVERANCE ARRANGEMENTS</w:t>
      </w:r>
    </w:p>
    <w:p>
      <w:pPr>
        <w:spacing w:after="0" w:line="86" w:lineRule="exact"/>
        <w:rPr>
          <w:sz w:val="20"/>
          <w:szCs w:val="20"/>
          <w:color w:val="auto"/>
        </w:rPr>
      </w:pPr>
    </w:p>
    <w:p>
      <w:pPr>
        <w:ind w:left="1520" w:right="899" w:hanging="164"/>
        <w:spacing w:after="0" w:line="286" w:lineRule="auto"/>
        <w:tabs>
          <w:tab w:leader="none" w:pos="1520" w:val="left"/>
        </w:tabs>
        <w:numPr>
          <w:ilvl w:val="0"/>
          <w:numId w:val="108"/>
        </w:numPr>
        <w:rPr>
          <w:rFonts w:ascii="Arial" w:cs="Arial" w:eastAsia="Arial" w:hAnsi="Arial"/>
          <w:sz w:val="16"/>
          <w:szCs w:val="16"/>
          <w:color w:val="62259D"/>
        </w:rPr>
      </w:pPr>
      <w:r>
        <w:rPr>
          <w:rFonts w:ascii="Arial" w:cs="Arial" w:eastAsia="Arial" w:hAnsi="Arial"/>
          <w:sz w:val="16"/>
          <w:szCs w:val="16"/>
          <w:color w:val="auto"/>
        </w:rPr>
        <w:t>6- or 12-months base salary payment for termination without cause for NEOs (24-months for CEO in connection with termination without cause following a change of control)</w:t>
      </w:r>
    </w:p>
    <w:p>
      <w:pPr>
        <w:spacing w:after="0" w:line="20" w:lineRule="exact"/>
        <w:rPr>
          <w:rFonts w:ascii="Arial" w:cs="Arial" w:eastAsia="Arial" w:hAnsi="Arial"/>
          <w:sz w:val="16"/>
          <w:szCs w:val="16"/>
          <w:color w:val="62259D"/>
        </w:rPr>
      </w:pPr>
    </w:p>
    <w:p>
      <w:pPr>
        <w:ind w:left="1520" w:hanging="164"/>
        <w:spacing w:after="0"/>
        <w:tabs>
          <w:tab w:leader="none" w:pos="1520" w:val="left"/>
        </w:tabs>
        <w:numPr>
          <w:ilvl w:val="0"/>
          <w:numId w:val="108"/>
        </w:numPr>
        <w:rPr>
          <w:rFonts w:ascii="Arial" w:cs="Arial" w:eastAsia="Arial" w:hAnsi="Arial"/>
          <w:sz w:val="16"/>
          <w:szCs w:val="16"/>
          <w:color w:val="62259D"/>
        </w:rPr>
      </w:pPr>
      <w:r>
        <w:rPr>
          <w:rFonts w:ascii="Arial" w:cs="Arial" w:eastAsia="Arial" w:hAnsi="Arial"/>
          <w:sz w:val="16"/>
          <w:szCs w:val="16"/>
          <w:color w:val="auto"/>
        </w:rPr>
        <w:t>“Double Trigger” for acceleration of equity awards upon a change of control</w:t>
      </w:r>
    </w:p>
    <w:p>
      <w:pPr>
        <w:spacing w:after="0" w:line="100" w:lineRule="exact"/>
        <w:rPr>
          <w:sz w:val="20"/>
          <w:szCs w:val="20"/>
          <w:color w:val="auto"/>
        </w:rPr>
      </w:pPr>
    </w:p>
    <w:p>
      <w:pPr>
        <w:ind w:left="1360" w:right="399"/>
        <w:spacing w:after="0" w:line="286" w:lineRule="auto"/>
        <w:rPr>
          <w:sz w:val="20"/>
          <w:szCs w:val="20"/>
          <w:color w:val="auto"/>
        </w:rPr>
      </w:pPr>
      <w:r>
        <w:rPr>
          <w:rFonts w:ascii="Arial" w:cs="Arial" w:eastAsia="Arial" w:hAnsi="Arial"/>
          <w:sz w:val="16"/>
          <w:szCs w:val="16"/>
          <w:b w:val="1"/>
          <w:bCs w:val="1"/>
          <w:color w:val="auto"/>
        </w:rPr>
        <w:t xml:space="preserve">COMPENSATION BENCHMARKING </w:t>
      </w:r>
      <w:r>
        <w:rPr>
          <w:rFonts w:ascii="Arial" w:cs="Arial" w:eastAsia="Arial" w:hAnsi="Arial"/>
          <w:sz w:val="16"/>
          <w:szCs w:val="16"/>
          <w:color w:val="auto"/>
        </w:rPr>
        <w:t>and review of market compensation data, including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practices, of peer companies in evaluating the compensation of our NEOs</w:t>
      </w:r>
    </w:p>
    <w:p>
      <w:pPr>
        <w:spacing w:after="0" w:line="75"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MEANINGFUL STOCK OWNERSHIP REQUIREMENTS</w:t>
      </w:r>
    </w:p>
    <w:p>
      <w:pPr>
        <w:spacing w:after="0" w:line="86" w:lineRule="exact"/>
        <w:rPr>
          <w:sz w:val="20"/>
          <w:szCs w:val="20"/>
          <w:color w:val="auto"/>
        </w:rPr>
      </w:pPr>
    </w:p>
    <w:p>
      <w:pPr>
        <w:ind w:left="1520" w:hanging="164"/>
        <w:spacing w:after="0"/>
        <w:tabs>
          <w:tab w:leader="none" w:pos="1520" w:val="left"/>
        </w:tabs>
        <w:numPr>
          <w:ilvl w:val="0"/>
          <w:numId w:val="109"/>
        </w:numPr>
        <w:rPr>
          <w:rFonts w:ascii="Arial" w:cs="Arial" w:eastAsia="Arial" w:hAnsi="Arial"/>
          <w:sz w:val="16"/>
          <w:szCs w:val="16"/>
          <w:color w:val="62259D"/>
        </w:rPr>
      </w:pPr>
      <w:r>
        <w:rPr>
          <w:rFonts w:ascii="Arial" w:cs="Arial" w:eastAsia="Arial" w:hAnsi="Arial"/>
          <w:sz w:val="16"/>
          <w:szCs w:val="16"/>
          <w:color w:val="auto"/>
        </w:rPr>
        <w:t>6x base salary for the President and CEO</w:t>
      </w:r>
    </w:p>
    <w:p>
      <w:pPr>
        <w:spacing w:after="0" w:line="72" w:lineRule="exact"/>
        <w:rPr>
          <w:rFonts w:ascii="Arial" w:cs="Arial" w:eastAsia="Arial" w:hAnsi="Arial"/>
          <w:sz w:val="16"/>
          <w:szCs w:val="16"/>
          <w:color w:val="62259D"/>
        </w:rPr>
      </w:pPr>
    </w:p>
    <w:p>
      <w:pPr>
        <w:ind w:left="1520" w:hanging="164"/>
        <w:spacing w:after="0"/>
        <w:tabs>
          <w:tab w:leader="none" w:pos="1520" w:val="left"/>
        </w:tabs>
        <w:numPr>
          <w:ilvl w:val="0"/>
          <w:numId w:val="109"/>
        </w:numPr>
        <w:rPr>
          <w:rFonts w:ascii="Arial" w:cs="Arial" w:eastAsia="Arial" w:hAnsi="Arial"/>
          <w:sz w:val="16"/>
          <w:szCs w:val="16"/>
          <w:color w:val="62259D"/>
        </w:rPr>
      </w:pPr>
      <w:r>
        <w:rPr>
          <w:rFonts w:ascii="Arial" w:cs="Arial" w:eastAsia="Arial" w:hAnsi="Arial"/>
          <w:sz w:val="16"/>
          <w:szCs w:val="16"/>
          <w:color w:val="auto"/>
        </w:rPr>
        <w:t>2x base salary for the remaining NEOs</w:t>
      </w:r>
    </w:p>
    <w:p>
      <w:pPr>
        <w:spacing w:after="0" w:line="127" w:lineRule="exact"/>
        <w:rPr>
          <w:sz w:val="20"/>
          <w:szCs w:val="20"/>
          <w:color w:val="auto"/>
        </w:rPr>
      </w:pPr>
    </w:p>
    <w:p>
      <w:pPr>
        <w:ind w:left="1360" w:right="4079"/>
        <w:spacing w:after="0" w:line="387" w:lineRule="auto"/>
        <w:rPr>
          <w:sz w:val="20"/>
          <w:szCs w:val="20"/>
          <w:color w:val="auto"/>
        </w:rPr>
      </w:pPr>
      <w:r>
        <w:rPr>
          <w:rFonts w:ascii="Arial" w:cs="Arial" w:eastAsia="Arial" w:hAnsi="Arial"/>
          <w:sz w:val="16"/>
          <w:szCs w:val="16"/>
          <w:b w:val="1"/>
          <w:bCs w:val="1"/>
          <w:color w:val="auto"/>
        </w:rPr>
        <w:t xml:space="preserve">MINIMAL PERQUISITES </w:t>
      </w:r>
      <w:r>
        <w:rPr>
          <w:rFonts w:ascii="Arial" w:cs="Arial" w:eastAsia="Arial" w:hAnsi="Arial"/>
          <w:sz w:val="16"/>
          <w:szCs w:val="16"/>
          <w:color w:val="auto"/>
        </w:rPr>
        <w:t>are provided to our NEOs</w:t>
      </w:r>
      <w:r>
        <w:rPr>
          <w:rFonts w:ascii="Arial" w:cs="Arial" w:eastAsia="Arial" w:hAnsi="Arial"/>
          <w:sz w:val="16"/>
          <w:szCs w:val="16"/>
          <w:b w:val="1"/>
          <w:bCs w:val="1"/>
          <w:color w:val="auto"/>
        </w:rPr>
        <w:t xml:space="preserve"> ROBUST AND LONG-STANDING CLAWBACK POLICY</w:t>
      </w:r>
    </w:p>
    <w:p>
      <w:pPr>
        <w:spacing w:after="0" w:line="1" w:lineRule="exact"/>
        <w:rPr>
          <w:sz w:val="20"/>
          <w:szCs w:val="20"/>
          <w:color w:val="auto"/>
        </w:rPr>
      </w:pPr>
    </w:p>
    <w:p>
      <w:pPr>
        <w:ind w:left="1360" w:right="259"/>
        <w:spacing w:after="0" w:line="286" w:lineRule="auto"/>
        <w:rPr>
          <w:sz w:val="20"/>
          <w:szCs w:val="20"/>
          <w:color w:val="auto"/>
        </w:rPr>
      </w:pPr>
      <w:r>
        <w:rPr>
          <w:rFonts w:ascii="Arial" w:cs="Arial" w:eastAsia="Arial" w:hAnsi="Arial"/>
          <w:sz w:val="16"/>
          <w:szCs w:val="16"/>
          <w:b w:val="1"/>
          <w:bCs w:val="1"/>
          <w:color w:val="auto"/>
        </w:rPr>
        <w:t xml:space="preserve">MITIGATE UNDUE RISK </w:t>
      </w:r>
      <w:r>
        <w:rPr>
          <w:rFonts w:ascii="Arial" w:cs="Arial" w:eastAsia="Arial" w:hAnsi="Arial"/>
          <w:sz w:val="16"/>
          <w:szCs w:val="16"/>
          <w:color w:val="auto"/>
        </w:rPr>
        <w:t>by utilizing defined maximum payouts for performance-based compensation in order</w:t>
      </w:r>
      <w:r>
        <w:rPr>
          <w:rFonts w:ascii="Arial" w:cs="Arial" w:eastAsia="Arial" w:hAnsi="Arial"/>
          <w:sz w:val="16"/>
          <w:szCs w:val="16"/>
          <w:b w:val="1"/>
          <w:bCs w:val="1"/>
          <w:color w:val="auto"/>
        </w:rPr>
        <w:t xml:space="preserve"> </w:t>
      </w:r>
      <w:r>
        <w:rPr>
          <w:rFonts w:ascii="Arial" w:cs="Arial" w:eastAsia="Arial" w:hAnsi="Arial"/>
          <w:sz w:val="16"/>
          <w:szCs w:val="16"/>
          <w:color w:val="auto"/>
        </w:rPr>
        <w:t>to prevent out-sized payouts</w:t>
      </w:r>
    </w:p>
    <w:p>
      <w:pPr>
        <w:spacing w:after="0" w:line="61"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 xml:space="preserve">HOLD AN ANNUAL ADVISORY VOTE </w:t>
      </w:r>
      <w:r>
        <w:rPr>
          <w:rFonts w:ascii="Arial" w:cs="Arial" w:eastAsia="Arial" w:hAnsi="Arial"/>
          <w:sz w:val="16"/>
          <w:szCs w:val="16"/>
          <w:color w:val="auto"/>
        </w:rPr>
        <w:t>on the compensation paid to our NEOs</w:t>
      </w:r>
    </w:p>
    <w:p>
      <w:pPr>
        <w:spacing w:after="0" w:line="100" w:lineRule="exact"/>
        <w:rPr>
          <w:sz w:val="20"/>
          <w:szCs w:val="20"/>
          <w:color w:val="auto"/>
        </w:rPr>
      </w:pPr>
    </w:p>
    <w:p>
      <w:pPr>
        <w:ind w:left="1360" w:right="519"/>
        <w:spacing w:after="0" w:line="286" w:lineRule="auto"/>
        <w:rPr>
          <w:sz w:val="20"/>
          <w:szCs w:val="20"/>
          <w:color w:val="auto"/>
        </w:rPr>
      </w:pPr>
      <w:r>
        <w:rPr>
          <w:rFonts w:ascii="Arial" w:cs="Arial" w:eastAsia="Arial" w:hAnsi="Arial"/>
          <w:sz w:val="16"/>
          <w:szCs w:val="16"/>
          <w:b w:val="1"/>
          <w:bCs w:val="1"/>
          <w:color w:val="auto"/>
        </w:rPr>
        <w:t>INDEPENDENT COMPENSATION CONSULTING FIRM</w:t>
      </w:r>
      <w:r>
        <w:rPr>
          <w:rFonts w:ascii="Arial" w:cs="Arial" w:eastAsia="Arial" w:hAnsi="Arial"/>
          <w:sz w:val="16"/>
          <w:szCs w:val="16"/>
          <w:color w:val="auto"/>
        </w:rPr>
        <w:t>, engaged by the Compensation Committee, that</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no other services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236220</wp:posOffset>
            </wp:positionV>
            <wp:extent cx="56235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390525</wp:posOffset>
            </wp:positionV>
            <wp:extent cx="5623560" cy="1631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23560" cy="1631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80"/>
        <w:spacing w:after="0"/>
        <w:tabs>
          <w:tab w:leader="none" w:pos="3320" w:val="left"/>
        </w:tabs>
        <w:rPr>
          <w:sz w:val="20"/>
          <w:szCs w:val="20"/>
          <w:color w:val="auto"/>
        </w:rPr>
      </w:pPr>
      <w:r>
        <w:rPr>
          <w:rFonts w:ascii="Arial" w:cs="Arial" w:eastAsia="Arial" w:hAnsi="Arial"/>
          <w:sz w:val="16"/>
          <w:szCs w:val="16"/>
          <w:b w:val="1"/>
          <w:bCs w:val="1"/>
          <w:color w:val="FEFEFE"/>
        </w:rPr>
        <w:t>​</w:t>
      </w:r>
      <w:r>
        <w:rPr>
          <w:sz w:val="20"/>
          <w:szCs w:val="20"/>
          <w:color w:val="auto"/>
        </w:rPr>
        <w:tab/>
      </w:r>
      <w:r>
        <w:rPr>
          <w:rFonts w:ascii="Arial" w:cs="Arial" w:eastAsia="Arial" w:hAnsi="Arial"/>
          <w:sz w:val="16"/>
          <w:szCs w:val="16"/>
          <w:b w:val="1"/>
          <w:bCs w:val="1"/>
          <w:color w:val="FEFEFE"/>
        </w:rPr>
        <w:t>Compensation Practices that We Do Not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20955</wp:posOffset>
            </wp:positionV>
            <wp:extent cx="5623560" cy="14401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23560" cy="1440180"/>
                    </a:xfrm>
                    <a:prstGeom prst="rect">
                      <a:avLst/>
                    </a:prstGeom>
                    <a:noFill/>
                  </pic:spPr>
                </pic:pic>
              </a:graphicData>
            </a:graphic>
          </wp:anchor>
        </w:drawing>
      </w:r>
    </w:p>
    <w:p>
      <w:pPr>
        <w:spacing w:after="0" w:line="26" w:lineRule="exact"/>
        <w:rPr>
          <w:sz w:val="20"/>
          <w:szCs w:val="20"/>
          <w:color w:val="auto"/>
        </w:rPr>
      </w:pPr>
    </w:p>
    <w:p>
      <w:pPr>
        <w:ind w:left="1040" w:hanging="116"/>
        <w:spacing w:after="0"/>
        <w:tabs>
          <w:tab w:leader="none" w:pos="1040" w:val="left"/>
        </w:tabs>
        <w:numPr>
          <w:ilvl w:val="0"/>
          <w:numId w:val="110"/>
        </w:numPr>
        <w:rPr>
          <w:rFonts w:ascii="Arial" w:cs="Arial" w:eastAsia="Arial" w:hAnsi="Arial"/>
          <w:sz w:val="16"/>
          <w:szCs w:val="16"/>
          <w:color w:val="auto"/>
        </w:rPr>
      </w:pPr>
      <w:r>
        <w:rPr>
          <w:rFonts w:ascii="Arial" w:cs="Arial" w:eastAsia="Arial" w:hAnsi="Arial"/>
          <w:sz w:val="1"/>
          <w:szCs w:val="1"/>
          <w:color w:val="auto"/>
        </w:rPr>
        <w:drawing>
          <wp:inline distT="0" distB="0" distL="0" distR="0">
            <wp:extent cx="102870" cy="10287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6"/>
          <w:szCs w:val="16"/>
          <w:b w:val="1"/>
          <w:bCs w:val="1"/>
          <w:color w:val="auto"/>
        </w:rPr>
        <w:t xml:space="preserve">  NO GUARANTEED BONUSES </w:t>
      </w:r>
      <w:r>
        <w:rPr>
          <w:rFonts w:ascii="Arial" w:cs="Arial" w:eastAsia="Arial" w:hAnsi="Arial"/>
          <w:sz w:val="16"/>
          <w:szCs w:val="16"/>
          <w:color w:val="auto"/>
        </w:rPr>
        <w:t>for our executive officers generally</w:t>
      </w:r>
    </w:p>
    <w:p>
      <w:pPr>
        <w:spacing w:after="0" w:line="26" w:lineRule="exact"/>
        <w:rPr>
          <w:rFonts w:ascii="Arial" w:cs="Arial" w:eastAsia="Arial" w:hAnsi="Arial"/>
          <w:sz w:val="16"/>
          <w:szCs w:val="16"/>
          <w:color w:val="auto"/>
        </w:rPr>
      </w:pPr>
    </w:p>
    <w:p>
      <w:pPr>
        <w:ind w:left="1360" w:right="160" w:hanging="326"/>
        <w:spacing w:after="0"/>
        <w:rPr>
          <w:rFonts w:ascii="Arial" w:cs="Arial" w:eastAsia="Arial" w:hAnsi="Arial"/>
          <w:sz w:val="16"/>
          <w:szCs w:val="16"/>
          <w:color w:val="auto"/>
        </w:rPr>
      </w:pPr>
      <w:r>
        <w:rPr>
          <w:rFonts w:ascii="Arial" w:cs="Arial" w:eastAsia="Arial" w:hAnsi="Arial"/>
          <w:sz w:val="1"/>
          <w:szCs w:val="1"/>
          <w:color w:val="auto"/>
        </w:rPr>
        <w:drawing>
          <wp:inline distT="0" distB="0" distL="0" distR="0">
            <wp:extent cx="102870" cy="10287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102870"/>
                    </a:xfrm>
                    <a:prstGeom prst="rect">
                      <a:avLst/>
                    </a:prstGeom>
                    <a:noFill/>
                    <a:ln>
                      <a:noFill/>
                    </a:ln>
                  </pic:spPr>
                </pic:pic>
              </a:graphicData>
            </a:graphic>
          </wp:inline>
        </w:drawing>
      </w:r>
      <w:r>
        <w:rPr>
          <w:rFonts w:ascii="Arial" w:cs="Arial" w:eastAsia="Arial" w:hAnsi="Arial"/>
          <w:sz w:val="16"/>
          <w:szCs w:val="16"/>
          <w:b w:val="1"/>
          <w:bCs w:val="1"/>
          <w:color w:val="auto"/>
        </w:rPr>
        <w:t xml:space="preserve"> NO INDIVIDUAL PERFORMANCE OR NON-FINANCIAL METRICS </w:t>
      </w:r>
      <w:r>
        <w:rPr>
          <w:rFonts w:ascii="Arial" w:cs="Arial" w:eastAsia="Arial" w:hAnsi="Arial"/>
          <w:sz w:val="16"/>
          <w:szCs w:val="16"/>
          <w:color w:val="auto"/>
        </w:rPr>
        <w:t>for determining annual bonus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NEOs</w:t>
      </w:r>
    </w:p>
    <w:p>
      <w:pPr>
        <w:spacing w:after="0" w:line="42" w:lineRule="exact"/>
        <w:rPr>
          <w:sz w:val="20"/>
          <w:szCs w:val="20"/>
          <w:color w:val="auto"/>
        </w:rPr>
      </w:pPr>
    </w:p>
    <w:p>
      <w:pPr>
        <w:ind w:left="1360" w:right="840"/>
        <w:spacing w:after="0" w:line="308" w:lineRule="auto"/>
        <w:rPr>
          <w:sz w:val="20"/>
          <w:szCs w:val="20"/>
          <w:color w:val="auto"/>
        </w:rPr>
      </w:pPr>
      <w:r>
        <w:rPr>
          <w:rFonts w:ascii="Arial" w:cs="Arial" w:eastAsia="Arial" w:hAnsi="Arial"/>
          <w:sz w:val="16"/>
          <w:szCs w:val="16"/>
          <w:b w:val="1"/>
          <w:bCs w:val="1"/>
          <w:color w:val="auto"/>
        </w:rPr>
        <w:t xml:space="preserve">NO DISCOUNTED STOCK AWARDS, RELOADS OR REPRICING </w:t>
      </w:r>
      <w:r>
        <w:rPr>
          <w:rFonts w:ascii="Arial" w:cs="Arial" w:eastAsia="Arial" w:hAnsi="Arial"/>
          <w:sz w:val="16"/>
          <w:szCs w:val="16"/>
          <w:color w:val="auto"/>
        </w:rPr>
        <w:t>without stockholder approval</w:t>
      </w:r>
      <w:r>
        <w:rPr>
          <w:rFonts w:ascii="Arial" w:cs="Arial" w:eastAsia="Arial" w:hAnsi="Arial"/>
          <w:sz w:val="16"/>
          <w:szCs w:val="16"/>
          <w:b w:val="1"/>
          <w:bCs w:val="1"/>
          <w:color w:val="auto"/>
        </w:rPr>
        <w:t xml:space="preserve"> NO HEDGING OR PLEDGING </w:t>
      </w:r>
      <w:r>
        <w:rPr>
          <w:rFonts w:ascii="Arial" w:cs="Arial" w:eastAsia="Arial" w:hAnsi="Arial"/>
          <w:sz w:val="16"/>
          <w:szCs w:val="16"/>
          <w:color w:val="auto"/>
        </w:rPr>
        <w:t>of shares permitted for our executive officers and directors</w:t>
      </w:r>
    </w:p>
    <w:p>
      <w:pPr>
        <w:ind w:left="1360"/>
        <w:spacing w:after="0" w:line="286" w:lineRule="auto"/>
        <w:rPr>
          <w:sz w:val="20"/>
          <w:szCs w:val="20"/>
          <w:color w:val="auto"/>
        </w:rPr>
      </w:pPr>
      <w:r>
        <w:rPr>
          <w:rFonts w:ascii="Arial" w:cs="Arial" w:eastAsia="Arial" w:hAnsi="Arial"/>
          <w:sz w:val="16"/>
          <w:szCs w:val="16"/>
          <w:b w:val="1"/>
          <w:bCs w:val="1"/>
          <w:color w:val="auto"/>
        </w:rPr>
        <w:t xml:space="preserve">NO TAX GROSS-UP PAYMENTS </w:t>
      </w:r>
      <w:r>
        <w:rPr>
          <w:rFonts w:ascii="Arial" w:cs="Arial" w:eastAsia="Arial" w:hAnsi="Arial"/>
          <w:sz w:val="16"/>
          <w:szCs w:val="16"/>
          <w:color w:val="auto"/>
        </w:rPr>
        <w:t>with respect to any payments made in connection with severance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change of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99"/>
        <w:spacing w:after="0"/>
        <w:rPr>
          <w:sz w:val="20"/>
          <w:szCs w:val="20"/>
          <w:color w:val="auto"/>
        </w:rPr>
      </w:pPr>
      <w:r>
        <w:rPr>
          <w:rFonts w:ascii="Arial" w:cs="Arial" w:eastAsia="Arial" w:hAnsi="Arial"/>
          <w:sz w:val="16"/>
          <w:szCs w:val="16"/>
          <w:b w:val="1"/>
          <w:bCs w:val="1"/>
          <w:color w:val="FEFEFE"/>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406" w:lineRule="exact"/>
        <w:rPr>
          <w:sz w:val="20"/>
          <w:szCs w:val="20"/>
          <w:color w:val="auto"/>
        </w:rPr>
      </w:pPr>
    </w:p>
    <w:p>
      <w:pPr>
        <w:sectPr>
          <w:pgSz w:w="11900" w:h="16838" w:orient="portrait"/>
          <w:cols w:equalWidth="0" w:num="2">
            <w:col w:w="9600" w:space="80"/>
            <w:col w:w="199"/>
          </w:cols>
          <w:pgMar w:left="580" w:top="97" w:right="1440" w:bottom="1440" w:gutter="0" w:footer="0" w:header="0"/>
          <w:type w:val="continuous"/>
        </w:sectPr>
      </w:pPr>
    </w:p>
    <w:p>
      <w:pPr>
        <w:ind w:left="1360"/>
        <w:spacing w:after="0"/>
        <w:rPr>
          <w:sz w:val="20"/>
          <w:szCs w:val="20"/>
          <w:color w:val="auto"/>
        </w:rPr>
      </w:pPr>
      <w:r>
        <w:rPr>
          <w:rFonts w:ascii="Arial" w:cs="Arial" w:eastAsia="Arial" w:hAnsi="Arial"/>
          <w:sz w:val="16"/>
          <w:szCs w:val="16"/>
          <w:b w:val="1"/>
          <w:bCs w:val="1"/>
          <w:color w:val="auto"/>
        </w:rPr>
        <w:t xml:space="preserve">NO BROAD SHARE RECYCLING </w:t>
      </w:r>
      <w:r>
        <w:rPr>
          <w:rFonts w:ascii="Arial" w:cs="Arial" w:eastAsia="Arial" w:hAnsi="Arial"/>
          <w:sz w:val="16"/>
          <w:szCs w:val="16"/>
          <w:color w:val="auto"/>
        </w:rPr>
        <w:t>under our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312420</wp:posOffset>
            </wp:positionV>
            <wp:extent cx="56235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Consideration of Stockholder Say-on-Pay Vote</w:t>
      </w:r>
    </w:p>
    <w:p>
      <w:pPr>
        <w:spacing w:after="0" w:line="135" w:lineRule="exact"/>
        <w:rPr>
          <w:sz w:val="20"/>
          <w:szCs w:val="20"/>
          <w:color w:val="auto"/>
        </w:rPr>
      </w:pPr>
    </w:p>
    <w:p>
      <w:pPr>
        <w:ind w:left="920" w:right="319"/>
        <w:spacing w:after="0" w:line="261" w:lineRule="auto"/>
        <w:rPr>
          <w:sz w:val="20"/>
          <w:szCs w:val="20"/>
          <w:color w:val="auto"/>
        </w:rPr>
      </w:pPr>
      <w:r>
        <w:rPr>
          <w:rFonts w:ascii="Arial" w:cs="Arial" w:eastAsia="Arial" w:hAnsi="Arial"/>
          <w:sz w:val="18"/>
          <w:szCs w:val="18"/>
          <w:color w:val="auto"/>
        </w:rPr>
        <w:t>The Compensation Committee has historically considered the outcome of the Company’s annual say-on-pay vote when making decisions regarding the Company’s executive compensation program, including engaging in stockholder outreach.</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10" w:lineRule="exact"/>
        <w:rPr>
          <w:sz w:val="20"/>
          <w:szCs w:val="20"/>
          <w:color w:val="auto"/>
        </w:rPr>
      </w:pPr>
    </w:p>
    <w:p>
      <w:pPr>
        <w:ind w:left="1780"/>
        <w:spacing w:after="0"/>
        <w:tabs>
          <w:tab w:leader="none" w:pos="2580" w:val="left"/>
          <w:tab w:leader="none" w:pos="4360" w:val="left"/>
        </w:tabs>
        <w:rPr>
          <w:sz w:val="20"/>
          <w:szCs w:val="20"/>
          <w:color w:val="auto"/>
        </w:rPr>
      </w:pPr>
      <w:r>
        <w:rPr>
          <w:rFonts w:ascii="Arial" w:cs="Arial" w:eastAsia="Arial" w:hAnsi="Arial"/>
          <w:sz w:val="20"/>
          <w:szCs w:val="20"/>
          <w:color w:val="E7417A"/>
        </w:rPr>
        <w:t>​</w:t>
      </w:r>
      <w:r>
        <w:rPr>
          <w:sz w:val="20"/>
          <w:szCs w:val="20"/>
          <w:color w:val="auto"/>
        </w:rPr>
        <w:tab/>
      </w:r>
      <w:r>
        <w:rPr>
          <w:rFonts w:ascii="Arial" w:cs="Arial" w:eastAsia="Arial" w:hAnsi="Arial"/>
          <w:sz w:val="20"/>
          <w:szCs w:val="20"/>
          <w:color w:val="E7417A"/>
        </w:rPr>
        <w:t>​​</w:t>
      </w:r>
      <w:r>
        <w:rPr>
          <w:sz w:val="20"/>
          <w:szCs w:val="20"/>
          <w:color w:val="auto"/>
        </w:rPr>
        <w:tab/>
      </w:r>
      <w:r>
        <w:rPr>
          <w:rFonts w:ascii="Arial" w:cs="Arial" w:eastAsia="Arial" w:hAnsi="Arial"/>
          <w:sz w:val="20"/>
          <w:szCs w:val="20"/>
          <w:color w:val="E7417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-131445</wp:posOffset>
            </wp:positionV>
            <wp:extent cx="514350" cy="5226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0" cy="522605"/>
                    </a:xfrm>
                    <a:prstGeom prst="rect">
                      <a:avLst/>
                    </a:prstGeom>
                    <a:noFill/>
                  </pic:spPr>
                </pic:pic>
              </a:graphicData>
            </a:graphic>
          </wp:anchor>
        </w:drawing>
      </w:r>
    </w:p>
    <w:p>
      <w:pPr>
        <w:ind w:left="2760" w:right="900"/>
        <w:spacing w:after="0" w:line="267" w:lineRule="auto"/>
        <w:rPr>
          <w:sz w:val="20"/>
          <w:szCs w:val="20"/>
          <w:color w:val="auto"/>
        </w:rPr>
      </w:pPr>
      <w:r>
        <w:rPr>
          <w:rFonts w:ascii="Arial" w:cs="Arial" w:eastAsia="Arial" w:hAnsi="Arial"/>
          <w:sz w:val="20"/>
          <w:szCs w:val="20"/>
          <w:color w:val="E7417A"/>
        </w:rPr>
        <w:t>STOCKHOLDER ENGAGEMENT</w:t>
      </w:r>
    </w:p>
    <w:p>
      <w:pPr>
        <w:spacing w:after="0" w:line="270" w:lineRule="exact"/>
        <w:rPr>
          <w:sz w:val="20"/>
          <w:szCs w:val="20"/>
          <w:color w:val="auto"/>
        </w:rPr>
      </w:pPr>
    </w:p>
    <w:p>
      <w:pPr>
        <w:ind w:left="1280" w:hanging="356"/>
        <w:spacing w:after="0" w:line="247" w:lineRule="auto"/>
        <w:tabs>
          <w:tab w:leader="none" w:pos="1280" w:val="left"/>
        </w:tabs>
        <w:numPr>
          <w:ilvl w:val="0"/>
          <w:numId w:val="111"/>
        </w:numPr>
        <w:rPr>
          <w:rFonts w:ascii="Arial" w:cs="Arial" w:eastAsia="Arial" w:hAnsi="Arial"/>
          <w:sz w:val="18"/>
          <w:szCs w:val="18"/>
          <w:color w:val="62259D"/>
        </w:rPr>
      </w:pPr>
      <w:r>
        <w:rPr>
          <w:rFonts w:ascii="Arial" w:cs="Arial" w:eastAsia="Arial" w:hAnsi="Arial"/>
          <w:sz w:val="18"/>
          <w:szCs w:val="18"/>
          <w:color w:val="auto"/>
        </w:rPr>
        <w:t>In 2025, we engaged with our two largest stockholders, through Messrs. Shani and Smith, two of our non-employee directors, to discuss matters relating to the compensation of our executive officers, generally.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360" w:right="239" w:hanging="360"/>
        <w:spacing w:after="0" w:line="261" w:lineRule="auto"/>
        <w:tabs>
          <w:tab w:leader="none" w:pos="360" w:val="left"/>
        </w:tabs>
        <w:numPr>
          <w:ilvl w:val="0"/>
          <w:numId w:val="112"/>
        </w:numPr>
        <w:rPr>
          <w:rFonts w:ascii="Arial" w:cs="Arial" w:eastAsia="Arial" w:hAnsi="Arial"/>
          <w:sz w:val="18"/>
          <w:szCs w:val="18"/>
          <w:color w:val="62259D"/>
        </w:rPr>
      </w:pPr>
      <w:r>
        <w:rPr>
          <w:rFonts w:ascii="Arial" w:cs="Arial" w:eastAsia="Arial" w:hAnsi="Arial"/>
          <w:sz w:val="18"/>
          <w:szCs w:val="18"/>
          <w:color w:val="auto"/>
        </w:rPr>
        <w:t>Additionally, in 2025, we met with investors regularly to discuss matters of interest to such stockholders.</w:t>
      </w:r>
    </w:p>
    <w:p>
      <w:pPr>
        <w:spacing w:after="0" w:line="40" w:lineRule="exact"/>
        <w:rPr>
          <w:rFonts w:ascii="Arial" w:cs="Arial" w:eastAsia="Arial" w:hAnsi="Arial"/>
          <w:sz w:val="18"/>
          <w:szCs w:val="18"/>
          <w:color w:val="62259D"/>
        </w:rPr>
      </w:pPr>
    </w:p>
    <w:p>
      <w:pPr>
        <w:ind w:left="360" w:right="279" w:hanging="360"/>
        <w:spacing w:after="0" w:line="261" w:lineRule="auto"/>
        <w:tabs>
          <w:tab w:leader="none" w:pos="360" w:val="left"/>
        </w:tabs>
        <w:numPr>
          <w:ilvl w:val="0"/>
          <w:numId w:val="112"/>
        </w:numPr>
        <w:rPr>
          <w:rFonts w:ascii="Arial" w:cs="Arial" w:eastAsia="Arial" w:hAnsi="Arial"/>
          <w:sz w:val="18"/>
          <w:szCs w:val="18"/>
          <w:color w:val="62259D"/>
        </w:rPr>
      </w:pPr>
      <w:r>
        <w:rPr>
          <w:rFonts w:ascii="Arial" w:cs="Arial" w:eastAsia="Arial" w:hAnsi="Arial"/>
          <w:sz w:val="18"/>
          <w:szCs w:val="18"/>
          <w:color w:val="auto"/>
        </w:rPr>
        <w:t xml:space="preserve">At the 2025 Annual Meeting of Stockholders, </w:t>
      </w:r>
      <w:r>
        <w:rPr>
          <w:rFonts w:ascii="Arial" w:cs="Arial" w:eastAsia="Arial" w:hAnsi="Arial"/>
          <w:sz w:val="18"/>
          <w:szCs w:val="18"/>
          <w:b w:val="1"/>
          <w:bCs w:val="1"/>
          <w:color w:val="62259D"/>
        </w:rPr>
        <w:t xml:space="preserve">~99% </w:t>
      </w:r>
      <w:r>
        <w:rPr>
          <w:rFonts w:ascii="Arial" w:cs="Arial" w:eastAsia="Arial" w:hAnsi="Arial"/>
          <w:sz w:val="18"/>
          <w:szCs w:val="18"/>
          <w:color w:val="000000"/>
        </w:rPr>
        <w:t>of the votes cast were in support of our</w:t>
      </w:r>
      <w:r>
        <w:rPr>
          <w:rFonts w:ascii="Arial" w:cs="Arial" w:eastAsia="Arial" w:hAnsi="Arial"/>
          <w:sz w:val="18"/>
          <w:szCs w:val="18"/>
          <w:b w:val="1"/>
          <w:bCs w:val="1"/>
          <w:color w:val="62259D"/>
        </w:rPr>
        <w:t xml:space="preserve"> </w:t>
      </w:r>
      <w:r>
        <w:rPr>
          <w:rFonts w:ascii="Arial" w:cs="Arial" w:eastAsia="Arial" w:hAnsi="Arial"/>
          <w:sz w:val="18"/>
          <w:szCs w:val="18"/>
          <w:color w:val="000000"/>
        </w:rPr>
        <w:t>say-on-pay proposal.</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508" w:lineRule="exact"/>
        <w:rPr>
          <w:sz w:val="20"/>
          <w:szCs w:val="20"/>
          <w:color w:val="auto"/>
        </w:rPr>
      </w:pPr>
    </w:p>
    <w:p>
      <w:pPr>
        <w:sectPr>
          <w:pgSz w:w="11900" w:h="16838" w:orient="portrait"/>
          <w:cols w:equalWidth="0" w:num="2">
            <w:col w:w="5200" w:space="260"/>
            <w:col w:w="4419"/>
          </w:cols>
          <w:pgMar w:left="580" w:top="97" w:right="1440" w:bottom="1440" w:gutter="0" w:footer="0" w:header="0"/>
          <w:type w:val="continuous"/>
        </w:sectPr>
      </w:pPr>
    </w:p>
    <w:p>
      <w:pPr>
        <w:ind w:left="920" w:right="319"/>
        <w:spacing w:after="0" w:line="245" w:lineRule="auto"/>
        <w:rPr>
          <w:sz w:val="20"/>
          <w:szCs w:val="20"/>
          <w:color w:val="auto"/>
        </w:rPr>
      </w:pPr>
      <w:r>
        <w:rPr>
          <w:rFonts w:ascii="Arial" w:cs="Arial" w:eastAsia="Arial" w:hAnsi="Arial"/>
          <w:sz w:val="18"/>
          <w:szCs w:val="18"/>
          <w:color w:val="auto"/>
        </w:rPr>
        <w:t>The Compensation Committee also engaged its independent compensation consultant, FW Cook, to review our executive compensation program in a manner that we believe reflects the goals of our current</w:t>
      </w:r>
    </w:p>
    <w:p>
      <w:pPr>
        <w:ind w:left="920" w:right="759"/>
        <w:spacing w:after="0" w:line="226" w:lineRule="auto"/>
        <w:rPr>
          <w:sz w:val="20"/>
          <w:szCs w:val="20"/>
          <w:color w:val="auto"/>
        </w:rPr>
      </w:pPr>
      <w:r>
        <w:rPr>
          <w:rFonts w:ascii="Arial" w:cs="Arial" w:eastAsia="Arial" w:hAnsi="Arial"/>
          <w:sz w:val="18"/>
          <w:szCs w:val="18"/>
          <w:color w:val="auto"/>
        </w:rPr>
        <w:t xml:space="preserve">business, and certain material aspects of the current compensation program are described in this </w:t>
      </w:r>
      <w:r>
        <w:rPr>
          <w:rFonts w:ascii="Arial" w:cs="Arial" w:eastAsia="Arial" w:hAnsi="Arial"/>
          <w:sz w:val="18"/>
          <w:szCs w:val="18"/>
          <w:i w:val="1"/>
          <w:iCs w:val="1"/>
          <w:color w:val="auto"/>
        </w:rPr>
        <w:t xml:space="preserve">Compensation Discussion and Analysis </w:t>
      </w:r>
      <w:r>
        <w:rPr>
          <w:rFonts w:ascii="Arial" w:cs="Arial" w:eastAsia="Arial" w:hAnsi="Arial"/>
          <w:sz w:val="18"/>
          <w:szCs w:val="18"/>
          <w:color w:val="auto"/>
        </w:rPr>
        <w:t>section. While we believe our current program provides the</w:t>
      </w:r>
    </w:p>
    <w:p>
      <w:pPr>
        <w:ind w:left="920"/>
        <w:spacing w:after="0" w:line="236" w:lineRule="auto"/>
        <w:rPr>
          <w:sz w:val="20"/>
          <w:szCs w:val="20"/>
          <w:color w:val="auto"/>
        </w:rPr>
      </w:pPr>
      <w:r>
        <w:rPr>
          <w:rFonts w:ascii="Arial" w:cs="Arial" w:eastAsia="Arial" w:hAnsi="Arial"/>
          <w:sz w:val="18"/>
          <w:szCs w:val="18"/>
          <w:color w:val="auto"/>
        </w:rPr>
        <w:t>appropriate incentives and pay-for-performance culture for our NEOs, the Compensation Committee</w:t>
      </w:r>
    </w:p>
    <w:p>
      <w:pPr>
        <w:spacing w:after="0" w:line="1" w:lineRule="exact"/>
        <w:rPr>
          <w:sz w:val="20"/>
          <w:szCs w:val="20"/>
          <w:color w:val="auto"/>
        </w:rPr>
      </w:pPr>
    </w:p>
    <w:p>
      <w:pPr>
        <w:ind w:left="920" w:right="279"/>
        <w:spacing w:after="0" w:line="237" w:lineRule="auto"/>
        <w:rPr>
          <w:sz w:val="20"/>
          <w:szCs w:val="20"/>
          <w:color w:val="auto"/>
        </w:rPr>
      </w:pPr>
      <w:r>
        <w:rPr>
          <w:rFonts w:ascii="Arial" w:cs="Arial" w:eastAsia="Arial" w:hAnsi="Arial"/>
          <w:sz w:val="18"/>
          <w:szCs w:val="18"/>
          <w:color w:val="auto"/>
        </w:rPr>
        <w:t>intends to continue to review our compensation practices in the future based on the results of say-on-pay votes and to engage stockholders for input into the Company’s pay practices, where appropriate.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Overview of the Company’s Executive Compensation Program</w:t>
      </w:r>
    </w:p>
    <w:p>
      <w:pPr>
        <w:spacing w:after="0" w:line="112" w:lineRule="exact"/>
        <w:rPr>
          <w:sz w:val="20"/>
          <w:szCs w:val="20"/>
          <w:color w:val="auto"/>
        </w:rPr>
      </w:pPr>
    </w:p>
    <w:p>
      <w:pPr>
        <w:ind w:left="920" w:right="179"/>
        <w:spacing w:after="0" w:line="245" w:lineRule="auto"/>
        <w:rPr>
          <w:sz w:val="20"/>
          <w:szCs w:val="20"/>
          <w:color w:val="auto"/>
        </w:rPr>
      </w:pPr>
      <w:r>
        <w:rPr>
          <w:rFonts w:ascii="Arial" w:cs="Arial" w:eastAsia="Arial" w:hAnsi="Arial"/>
          <w:sz w:val="18"/>
          <w:szCs w:val="18"/>
          <w:color w:val="auto"/>
        </w:rPr>
        <w:t>The Company’s executive compensation program is administered by the Compensation Committee. In addition to attracting and retaining high caliber executives, the components of the executive compensation</w:t>
      </w:r>
    </w:p>
    <w:p>
      <w:pPr>
        <w:ind w:left="920" w:right="99"/>
        <w:spacing w:after="0" w:line="226" w:lineRule="auto"/>
        <w:rPr>
          <w:sz w:val="20"/>
          <w:szCs w:val="20"/>
          <w:color w:val="auto"/>
        </w:rPr>
      </w:pPr>
      <w:r>
        <w:rPr>
          <w:rFonts w:ascii="Arial" w:cs="Arial" w:eastAsia="Arial" w:hAnsi="Arial"/>
          <w:sz w:val="18"/>
          <w:szCs w:val="18"/>
          <w:color w:val="auto"/>
        </w:rPr>
        <w:t>program are designed to reward the successful execution of corporate strategies, foster and drive continuous improvement, and encourage a high-performance culture, both on an annual basis and over the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long-term.</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Who Oversees the Company’s Executive Compensation Program?</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THE COMPENSATION COMMITTEE</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Compensation Committee is primarily responsible for overseeing the Company’s executive</w:t>
      </w:r>
    </w:p>
    <w:p>
      <w:pPr>
        <w:spacing w:after="0" w:line="14" w:lineRule="exact"/>
        <w:rPr>
          <w:sz w:val="20"/>
          <w:szCs w:val="20"/>
          <w:color w:val="auto"/>
        </w:rPr>
      </w:pPr>
    </w:p>
    <w:p>
      <w:pPr>
        <w:ind w:left="920" w:right="279"/>
        <w:spacing w:after="0" w:line="226" w:lineRule="auto"/>
        <w:rPr>
          <w:sz w:val="20"/>
          <w:szCs w:val="20"/>
          <w:color w:val="auto"/>
        </w:rPr>
      </w:pPr>
      <w:r>
        <w:rPr>
          <w:rFonts w:ascii="Arial" w:cs="Arial" w:eastAsia="Arial" w:hAnsi="Arial"/>
          <w:sz w:val="18"/>
          <w:szCs w:val="18"/>
          <w:color w:val="auto"/>
        </w:rPr>
        <w:t>compensation program. Our Board sets the overall corporate performance objectives for each year, while the Compensation Committee determines and approves the compensation level for the CEO; reviews the</w:t>
      </w:r>
    </w:p>
    <w:p>
      <w:pPr>
        <w:ind w:left="920"/>
        <w:spacing w:after="0" w:line="236" w:lineRule="auto"/>
        <w:rPr>
          <w:sz w:val="20"/>
          <w:szCs w:val="20"/>
          <w:color w:val="auto"/>
        </w:rPr>
      </w:pPr>
      <w:r>
        <w:rPr>
          <w:rFonts w:ascii="Arial" w:cs="Arial" w:eastAsia="Arial" w:hAnsi="Arial"/>
          <w:sz w:val="18"/>
          <w:szCs w:val="18"/>
          <w:color w:val="auto"/>
        </w:rPr>
        <w:t>recommendations of the CEO and approves compensation levels of other executive officers; evaluates the</w:t>
      </w:r>
    </w:p>
    <w:p>
      <w:pPr>
        <w:spacing w:after="0" w:line="1" w:lineRule="exact"/>
        <w:rPr>
          <w:sz w:val="20"/>
          <w:szCs w:val="20"/>
          <w:color w:val="auto"/>
        </w:rPr>
      </w:pPr>
    </w:p>
    <w:p>
      <w:pPr>
        <w:ind w:left="920" w:right="239"/>
        <w:spacing w:after="0" w:line="226" w:lineRule="auto"/>
        <w:rPr>
          <w:sz w:val="20"/>
          <w:szCs w:val="20"/>
          <w:color w:val="auto"/>
        </w:rPr>
      </w:pPr>
      <w:r>
        <w:rPr>
          <w:rFonts w:ascii="Arial" w:cs="Arial" w:eastAsia="Arial" w:hAnsi="Arial"/>
          <w:sz w:val="18"/>
          <w:szCs w:val="18"/>
          <w:color w:val="auto"/>
        </w:rPr>
        <w:t>performance of these executives; and evaluates and approves all grants of equity-based compensation to the CEO and the other executive officers. All decisions regarding the CEO’s compensation are made by</w:t>
      </w:r>
    </w:p>
    <w:p>
      <w:pPr>
        <w:ind w:left="920"/>
        <w:spacing w:after="0" w:line="236" w:lineRule="auto"/>
        <w:rPr>
          <w:sz w:val="20"/>
          <w:szCs w:val="20"/>
          <w:color w:val="auto"/>
        </w:rPr>
      </w:pPr>
      <w:r>
        <w:rPr>
          <w:rFonts w:ascii="Arial" w:cs="Arial" w:eastAsia="Arial" w:hAnsi="Arial"/>
          <w:sz w:val="18"/>
          <w:szCs w:val="18"/>
          <w:color w:val="auto"/>
        </w:rPr>
        <w:t>the Compensation Committee in executive session without the CEO present. After the end of the fiscal</w:t>
      </w:r>
    </w:p>
    <w:p>
      <w:pPr>
        <w:spacing w:after="0" w:line="1" w:lineRule="exact"/>
        <w:rPr>
          <w:sz w:val="20"/>
          <w:szCs w:val="20"/>
          <w:color w:val="auto"/>
        </w:rPr>
      </w:pPr>
    </w:p>
    <w:p>
      <w:pPr>
        <w:ind w:left="920" w:right="139"/>
        <w:spacing w:after="0" w:line="237" w:lineRule="auto"/>
        <w:rPr>
          <w:sz w:val="20"/>
          <w:szCs w:val="20"/>
          <w:color w:val="auto"/>
        </w:rPr>
      </w:pPr>
      <w:r>
        <w:rPr>
          <w:rFonts w:ascii="Arial" w:cs="Arial" w:eastAsia="Arial" w:hAnsi="Arial"/>
          <w:sz w:val="18"/>
          <w:szCs w:val="18"/>
          <w:color w:val="auto"/>
        </w:rPr>
        <w:t>year, the Compensation Committee reviews the actual corporate performance to determine the appropriate cash incentive amount, if any, to be paid to each eligible executive officer.</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ROLE OF THE COMPENSATION CONSULTANT</w:t>
      </w:r>
    </w:p>
    <w:p>
      <w:pPr>
        <w:spacing w:after="0" w:line="124" w:lineRule="exact"/>
        <w:rPr>
          <w:sz w:val="20"/>
          <w:szCs w:val="20"/>
          <w:color w:val="auto"/>
        </w:rPr>
      </w:pPr>
    </w:p>
    <w:p>
      <w:pPr>
        <w:ind w:left="920" w:right="279"/>
        <w:spacing w:after="0" w:line="237" w:lineRule="auto"/>
        <w:rPr>
          <w:sz w:val="20"/>
          <w:szCs w:val="20"/>
          <w:color w:val="auto"/>
        </w:rPr>
      </w:pPr>
      <w:r>
        <w:rPr>
          <w:rFonts w:ascii="Arial" w:cs="Arial" w:eastAsia="Arial" w:hAnsi="Arial"/>
          <w:sz w:val="18"/>
          <w:szCs w:val="18"/>
          <w:color w:val="auto"/>
        </w:rPr>
        <w:t>The duties of the compensation consultant we engage are generally to evaluate board and executive compensation, perform an analysis on realized pay alignment with financial and stock performance, keep</w:t>
      </w:r>
    </w:p>
    <w:p>
      <w:pPr>
        <w:ind w:left="920"/>
        <w:spacing w:after="0" w:line="235" w:lineRule="auto"/>
        <w:rPr>
          <w:sz w:val="20"/>
          <w:szCs w:val="20"/>
          <w:color w:val="auto"/>
        </w:rPr>
      </w:pPr>
      <w:r>
        <w:rPr>
          <w:rFonts w:ascii="Arial" w:cs="Arial" w:eastAsia="Arial" w:hAnsi="Arial"/>
          <w:sz w:val="18"/>
          <w:szCs w:val="18"/>
          <w:color w:val="auto"/>
        </w:rPr>
        <w:t>the committee apprised of general compensation trends, provide competitive market practice data and</w:t>
      </w:r>
    </w:p>
    <w:p>
      <w:pPr>
        <w:spacing w:after="0" w:line="1" w:lineRule="exact"/>
        <w:rPr>
          <w:sz w:val="20"/>
          <w:szCs w:val="20"/>
          <w:color w:val="auto"/>
        </w:rPr>
      </w:pPr>
    </w:p>
    <w:p>
      <w:pPr>
        <w:ind w:left="920" w:right="139"/>
        <w:spacing w:after="0" w:line="226" w:lineRule="auto"/>
        <w:rPr>
          <w:sz w:val="20"/>
          <w:szCs w:val="20"/>
          <w:color w:val="auto"/>
        </w:rPr>
      </w:pPr>
      <w:r>
        <w:rPr>
          <w:rFonts w:ascii="Arial" w:cs="Arial" w:eastAsia="Arial" w:hAnsi="Arial"/>
          <w:sz w:val="18"/>
          <w:szCs w:val="18"/>
          <w:color w:val="auto"/>
        </w:rPr>
        <w:t>benchmarking (including peer group determination), participate in the design and implementation of certain elements of the executive compensation program, assist in share usage analysis and determinations with</w:t>
      </w:r>
    </w:p>
    <w:p>
      <w:pPr>
        <w:ind w:left="920"/>
        <w:spacing w:after="0" w:line="236" w:lineRule="auto"/>
        <w:rPr>
          <w:sz w:val="20"/>
          <w:szCs w:val="20"/>
          <w:color w:val="auto"/>
        </w:rPr>
      </w:pPr>
      <w:r>
        <w:rPr>
          <w:rFonts w:ascii="Arial" w:cs="Arial" w:eastAsia="Arial" w:hAnsi="Arial"/>
          <w:sz w:val="18"/>
          <w:szCs w:val="18"/>
          <w:color w:val="auto"/>
        </w:rPr>
        <w:t>respect to our equity incentive plans (including with respect to our share reserve), assist the Compensation</w:t>
      </w:r>
    </w:p>
    <w:p>
      <w:pPr>
        <w:spacing w:after="0" w:line="1" w:lineRule="exact"/>
        <w:rPr>
          <w:sz w:val="20"/>
          <w:szCs w:val="20"/>
          <w:color w:val="auto"/>
        </w:rPr>
      </w:pPr>
    </w:p>
    <w:p>
      <w:pPr>
        <w:ind w:left="920" w:right="599"/>
        <w:spacing w:after="0" w:line="226" w:lineRule="auto"/>
        <w:rPr>
          <w:sz w:val="20"/>
          <w:szCs w:val="20"/>
          <w:color w:val="auto"/>
        </w:rPr>
      </w:pPr>
      <w:r>
        <w:rPr>
          <w:rFonts w:ascii="Arial" w:cs="Arial" w:eastAsia="Arial" w:hAnsi="Arial"/>
          <w:sz w:val="18"/>
          <w:szCs w:val="18"/>
          <w:color w:val="auto"/>
        </w:rPr>
        <w:t>Committee in developing compensation recommendations for our CEO, assist our CEO in developing compensation recommendations to present to the Compensation Committee for the other executive</w:t>
      </w:r>
    </w:p>
    <w:p>
      <w:pPr>
        <w:spacing w:after="0" w:line="2" w:lineRule="exact"/>
        <w:rPr>
          <w:sz w:val="20"/>
          <w:szCs w:val="20"/>
          <w:color w:val="auto"/>
        </w:rPr>
      </w:pPr>
    </w:p>
    <w:p>
      <w:pPr>
        <w:ind w:left="920" w:right="439"/>
        <w:spacing w:after="0" w:line="250" w:lineRule="auto"/>
        <w:rPr>
          <w:sz w:val="20"/>
          <w:szCs w:val="20"/>
          <w:color w:val="auto"/>
        </w:rPr>
      </w:pPr>
      <w:r>
        <w:rPr>
          <w:rFonts w:ascii="Arial" w:cs="Arial" w:eastAsia="Arial" w:hAnsi="Arial"/>
          <w:sz w:val="18"/>
          <w:szCs w:val="18"/>
          <w:color w:val="auto"/>
        </w:rPr>
        <w:t>officers and assist in reviewing compensation related matters in our proxy statement and other relevant public filings.</w:t>
      </w:r>
    </w:p>
    <w:p>
      <w:pPr>
        <w:spacing w:after="0" w:line="77" w:lineRule="exact"/>
        <w:rPr>
          <w:sz w:val="20"/>
          <w:szCs w:val="20"/>
          <w:color w:val="auto"/>
        </w:rPr>
      </w:pPr>
    </w:p>
    <w:p>
      <w:pPr>
        <w:ind w:left="920" w:right="699"/>
        <w:spacing w:after="0" w:line="256" w:lineRule="auto"/>
        <w:rPr>
          <w:sz w:val="20"/>
          <w:szCs w:val="20"/>
          <w:color w:val="auto"/>
        </w:rPr>
      </w:pPr>
      <w:r>
        <w:rPr>
          <w:rFonts w:ascii="Arial" w:cs="Arial" w:eastAsia="Arial" w:hAnsi="Arial"/>
          <w:sz w:val="18"/>
          <w:szCs w:val="18"/>
          <w:color w:val="auto"/>
        </w:rPr>
        <w:t>The Compensation Committee may accept, reject or modify any recommendations by compensation consultants or other outside advisors.</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1240"/>
        <w:spacing w:after="0" w:line="252" w:lineRule="auto"/>
        <w:rPr>
          <w:sz w:val="20"/>
          <w:szCs w:val="20"/>
          <w:color w:val="auto"/>
        </w:rPr>
      </w:pPr>
      <w:r>
        <w:rPr>
          <w:rFonts w:ascii="Arial" w:cs="Arial" w:eastAsia="Arial" w:hAnsi="Arial"/>
          <w:sz w:val="18"/>
          <w:szCs w:val="18"/>
          <w:color w:val="auto"/>
        </w:rPr>
        <w:t>Since December 2017, FW Cook has served as the independent compensation consultant of the Compensation Committee and has advised the Compensation Committee regarding its compensation decisions. The Compensation Committee annually assesses FW Cook’s independence relative to standards prescribed by the SEC and determined that no conflicts existed.</w:t>
      </w:r>
    </w:p>
    <w:p>
      <w:pPr>
        <w:spacing w:after="0" w:line="167" w:lineRule="exact"/>
        <w:rPr>
          <w:sz w:val="20"/>
          <w:szCs w:val="20"/>
          <w:color w:val="auto"/>
        </w:rPr>
      </w:pPr>
    </w:p>
    <w:p>
      <w:pPr>
        <w:ind w:left="920" w:right="1400"/>
        <w:spacing w:after="0" w:line="286" w:lineRule="auto"/>
        <w:rPr>
          <w:sz w:val="20"/>
          <w:szCs w:val="20"/>
          <w:color w:val="auto"/>
        </w:rPr>
      </w:pPr>
      <w:r>
        <w:rPr>
          <w:rFonts w:ascii="Arial" w:cs="Arial" w:eastAsia="Arial" w:hAnsi="Arial"/>
          <w:sz w:val="20"/>
          <w:szCs w:val="20"/>
          <w:color w:val="E7417A"/>
        </w:rPr>
        <w:t>ROLES OF THE CHIEF EXECUTIVE OFFICER AND THE SENIOR VICE PRESIDENT OF HUMAN RESOURCES</w:t>
      </w:r>
    </w:p>
    <w:p>
      <w:pPr>
        <w:spacing w:after="0" w:line="49" w:lineRule="exact"/>
        <w:rPr>
          <w:sz w:val="20"/>
          <w:szCs w:val="20"/>
          <w:color w:val="auto"/>
        </w:rPr>
      </w:pPr>
    </w:p>
    <w:p>
      <w:pPr>
        <w:ind w:left="920" w:right="780"/>
        <w:spacing w:after="0" w:line="248" w:lineRule="auto"/>
        <w:rPr>
          <w:sz w:val="20"/>
          <w:szCs w:val="20"/>
          <w:color w:val="auto"/>
        </w:rPr>
      </w:pPr>
      <w:r>
        <w:rPr>
          <w:rFonts w:ascii="Arial" w:cs="Arial" w:eastAsia="Arial" w:hAnsi="Arial"/>
          <w:sz w:val="18"/>
          <w:szCs w:val="18"/>
          <w:color w:val="auto"/>
        </w:rPr>
        <w:t>The CEO, in consultation with the Senior Vice President of Human Resources, develops compensation recommendations for the Compensation Committee to consider for the Company’s other executive officers. The CEO considers various factors when making individual compensation recommendations, including the relative importance of the executive’s position within the organization, the individual tenure and experience of the executive, peer benchmark data and the competitive landscape for similar positions and the executive’s individual performance and contributions to the Company’s results.</w:t>
      </w:r>
    </w:p>
    <w:p>
      <w:pPr>
        <w:spacing w:after="0" w:line="94" w:lineRule="exact"/>
        <w:rPr>
          <w:sz w:val="20"/>
          <w:szCs w:val="20"/>
          <w:color w:val="auto"/>
        </w:rPr>
      </w:pPr>
    </w:p>
    <w:p>
      <w:pPr>
        <w:ind w:left="920" w:right="1000"/>
        <w:spacing w:after="0" w:line="271" w:lineRule="auto"/>
        <w:rPr>
          <w:sz w:val="20"/>
          <w:szCs w:val="20"/>
          <w:color w:val="auto"/>
        </w:rPr>
      </w:pPr>
      <w:r>
        <w:rPr>
          <w:rFonts w:ascii="Arial" w:cs="Arial" w:eastAsia="Arial" w:hAnsi="Arial"/>
          <w:sz w:val="18"/>
          <w:szCs w:val="18"/>
          <w:color w:val="auto"/>
        </w:rPr>
        <w:t>The Compensation Committee considers, but is not bound by, compensation recommendations made by the CEO. The Compensation Committee determines the CEO’s compensation in its sole discretion.</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Competitive Benchmarking</w:t>
      </w:r>
    </w:p>
    <w:p>
      <w:pPr>
        <w:spacing w:after="0" w:line="135" w:lineRule="exact"/>
        <w:rPr>
          <w:sz w:val="20"/>
          <w:szCs w:val="20"/>
          <w:color w:val="auto"/>
        </w:rPr>
      </w:pPr>
    </w:p>
    <w:p>
      <w:pPr>
        <w:ind w:left="920" w:right="780"/>
        <w:spacing w:after="0" w:line="251" w:lineRule="auto"/>
        <w:rPr>
          <w:sz w:val="20"/>
          <w:szCs w:val="20"/>
          <w:color w:val="auto"/>
        </w:rPr>
      </w:pPr>
      <w:r>
        <w:rPr>
          <w:rFonts w:ascii="Arial" w:cs="Arial" w:eastAsia="Arial" w:hAnsi="Arial"/>
          <w:sz w:val="18"/>
          <w:szCs w:val="18"/>
          <w:color w:val="auto"/>
        </w:rPr>
        <w:t>As part of the ongoing assessment of our executive compensation program, the Compensation Committee, with the assistance of its compensation consultant, reviews market compensation data, including the compensation practices of similarly situated peer companies. Accordingly, the Compensation Committee annually reviews and updates, as needed, the peer group to ensure its continued appropriateness in serving as a market frame of reference.</w:t>
      </w:r>
    </w:p>
    <w:p>
      <w:pPr>
        <w:spacing w:after="0" w:line="105" w:lineRule="exact"/>
        <w:rPr>
          <w:sz w:val="20"/>
          <w:szCs w:val="20"/>
          <w:color w:val="auto"/>
        </w:rPr>
      </w:pPr>
    </w:p>
    <w:tbl>
      <w:tblPr>
        <w:tblLayout w:type="fixed"/>
        <w:tblInd w:w="930" w:type="dxa"/>
        <w:tblCellMar>
          <w:top w:w="0" w:type="dxa"/>
          <w:left w:w="0" w:type="dxa"/>
          <w:bottom w:w="0" w:type="dxa"/>
          <w:right w:w="0" w:type="dxa"/>
        </w:tblCellMar>
      </w:tblPr>
      <w:tr>
        <w:trPr>
          <w:trHeight w:val="310"/>
        </w:trPr>
        <w:tc>
          <w:tcPr>
            <w:tcW w:w="8560" w:type="dxa"/>
            <w:vAlign w:val="bottom"/>
            <w:tcBorders>
              <w:top w:val="single" w:sz="8" w:color="62259D"/>
              <w:left w:val="single" w:sz="8" w:color="62259D"/>
            </w:tcBorders>
          </w:tcPr>
          <w:p>
            <w:pPr>
              <w:ind w:left="20"/>
              <w:spacing w:after="0" w:line="310"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The peer group generally consists of publicly-traded information technology companies that are in the</w:t>
            </w:r>
          </w:p>
        </w:tc>
        <w:tc>
          <w:tcPr>
            <w:tcW w:w="300" w:type="dxa"/>
            <w:vAlign w:val="bottom"/>
            <w:tcBorders>
              <w:top w:val="single" w:sz="8" w:color="62259D"/>
              <w:right w:val="single" w:sz="8" w:color="62259D"/>
            </w:tcBorders>
          </w:tcPr>
          <w:p>
            <w:pPr>
              <w:ind w:left="80"/>
              <w:spacing w:after="0"/>
              <w:rPr>
                <w:sz w:val="20"/>
                <w:szCs w:val="20"/>
                <w:color w:val="auto"/>
              </w:rPr>
            </w:pPr>
            <w:r>
              <w:rPr>
                <w:rFonts w:ascii="Arial" w:cs="Arial" w:eastAsia="Arial" w:hAnsi="Arial"/>
                <w:sz w:val="16"/>
                <w:szCs w:val="16"/>
                <w:color w:val="auto"/>
              </w:rPr>
              <w:t>​</w:t>
            </w:r>
          </w:p>
        </w:tc>
      </w:tr>
      <w:tr>
        <w:trPr>
          <w:trHeight w:val="175"/>
        </w:trPr>
        <w:tc>
          <w:tcPr>
            <w:tcW w:w="8560" w:type="dxa"/>
            <w:vAlign w:val="bottom"/>
            <w:tcBorders>
              <w:left w:val="single" w:sz="8" w:color="62259D"/>
            </w:tcBorders>
          </w:tcPr>
          <w:p>
            <w:pPr>
              <w:ind w:left="220"/>
              <w:spacing w:after="0" w:line="175" w:lineRule="exact"/>
              <w:rPr>
                <w:sz w:val="20"/>
                <w:szCs w:val="20"/>
                <w:color w:val="auto"/>
              </w:rPr>
            </w:pPr>
            <w:r>
              <w:rPr>
                <w:rFonts w:ascii="Arial" w:cs="Arial" w:eastAsia="Arial" w:hAnsi="Arial"/>
                <w:sz w:val="16"/>
                <w:szCs w:val="16"/>
                <w:color w:val="auto"/>
              </w:rPr>
              <w:t>communications equipment and related sub-industries with market capitalization and revenue in a similar range</w:t>
            </w:r>
          </w:p>
        </w:tc>
        <w:tc>
          <w:tcPr>
            <w:tcW w:w="300" w:type="dxa"/>
            <w:vAlign w:val="bottom"/>
            <w:tcBorders>
              <w:right w:val="single" w:sz="8" w:color="62259D"/>
            </w:tcBorders>
          </w:tcPr>
          <w:p>
            <w:pPr>
              <w:spacing w:after="0"/>
              <w:rPr>
                <w:sz w:val="15"/>
                <w:szCs w:val="15"/>
                <w:color w:val="auto"/>
              </w:rPr>
            </w:pPr>
          </w:p>
        </w:tc>
      </w:tr>
      <w:tr>
        <w:trPr>
          <w:trHeight w:val="215"/>
        </w:trPr>
        <w:tc>
          <w:tcPr>
            <w:tcW w:w="8560" w:type="dxa"/>
            <w:vAlign w:val="bottom"/>
            <w:tcBorders>
              <w:left w:val="single" w:sz="8" w:color="62259D"/>
            </w:tcBorders>
          </w:tcPr>
          <w:p>
            <w:pPr>
              <w:ind w:left="220"/>
              <w:spacing w:after="0"/>
              <w:rPr>
                <w:sz w:val="20"/>
                <w:szCs w:val="20"/>
                <w:color w:val="auto"/>
              </w:rPr>
            </w:pPr>
            <w:r>
              <w:rPr>
                <w:rFonts w:ascii="Arial" w:cs="Arial" w:eastAsia="Arial" w:hAnsi="Arial"/>
                <w:sz w:val="16"/>
                <w:szCs w:val="16"/>
                <w:color w:val="auto"/>
              </w:rPr>
              <w:t>to that of the Company.</w:t>
            </w:r>
          </w:p>
        </w:tc>
        <w:tc>
          <w:tcPr>
            <w:tcW w:w="300" w:type="dxa"/>
            <w:vAlign w:val="bottom"/>
            <w:tcBorders>
              <w:right w:val="single" w:sz="8" w:color="62259D"/>
            </w:tcBorders>
          </w:tcPr>
          <w:p>
            <w:pPr>
              <w:spacing w:after="0"/>
              <w:rPr>
                <w:sz w:val="18"/>
                <w:szCs w:val="18"/>
                <w:color w:val="auto"/>
              </w:rPr>
            </w:pPr>
          </w:p>
        </w:tc>
      </w:tr>
      <w:tr>
        <w:trPr>
          <w:trHeight w:val="150"/>
        </w:trPr>
        <w:tc>
          <w:tcPr>
            <w:tcW w:w="8560" w:type="dxa"/>
            <w:vAlign w:val="bottom"/>
            <w:tcBorders>
              <w:left w:val="single" w:sz="8" w:color="62259D"/>
              <w:bottom w:val="single" w:sz="8" w:color="62259D"/>
            </w:tcBorders>
          </w:tcPr>
          <w:p>
            <w:pPr>
              <w:spacing w:after="0"/>
              <w:rPr>
                <w:sz w:val="13"/>
                <w:szCs w:val="13"/>
                <w:color w:val="auto"/>
              </w:rPr>
            </w:pPr>
          </w:p>
        </w:tc>
        <w:tc>
          <w:tcPr>
            <w:tcW w:w="300" w:type="dxa"/>
            <w:vAlign w:val="bottom"/>
            <w:tcBorders>
              <w:bottom w:val="single" w:sz="8" w:color="62259D"/>
              <w:right w:val="single" w:sz="8" w:color="62259D"/>
            </w:tcBorders>
          </w:tcPr>
          <w:p>
            <w:pPr>
              <w:spacing w:after="0"/>
              <w:rPr>
                <w:sz w:val="13"/>
                <w:szCs w:val="13"/>
                <w:color w:val="auto"/>
              </w:rPr>
            </w:pPr>
          </w:p>
        </w:tc>
      </w:tr>
    </w:tbl>
    <w:p>
      <w:pPr>
        <w:spacing w:after="0" w:line="170" w:lineRule="exact"/>
        <w:rPr>
          <w:sz w:val="20"/>
          <w:szCs w:val="20"/>
          <w:color w:val="auto"/>
        </w:rPr>
      </w:pPr>
    </w:p>
    <w:p>
      <w:pPr>
        <w:ind w:left="920" w:right="1140"/>
        <w:spacing w:after="0" w:line="252" w:lineRule="auto"/>
        <w:rPr>
          <w:sz w:val="20"/>
          <w:szCs w:val="20"/>
          <w:color w:val="auto"/>
        </w:rPr>
      </w:pPr>
      <w:r>
        <w:rPr>
          <w:rFonts w:ascii="Arial" w:cs="Arial" w:eastAsia="Arial" w:hAnsi="Arial"/>
          <w:sz w:val="18"/>
          <w:szCs w:val="18"/>
          <w:color w:val="auto"/>
        </w:rPr>
        <w:t>In evaluating and selecting companies for inclusion in the peer group, the Compensation Committee targets businesses generally in the telecommunications and/or networking industries with an additional focus on executive talent and business-line competitors, global scope and complexity, research and development expenses, and market capitalization and revenue multiples.</w:t>
      </w:r>
    </w:p>
    <w:p>
      <w:pPr>
        <w:spacing w:after="0" w:line="35" w:lineRule="exact"/>
        <w:rPr>
          <w:sz w:val="20"/>
          <w:szCs w:val="20"/>
          <w:color w:val="auto"/>
        </w:rPr>
      </w:pPr>
    </w:p>
    <w:p>
      <w:pPr>
        <w:jc w:val="both"/>
        <w:ind w:left="920" w:right="820"/>
        <w:spacing w:after="0" w:line="253" w:lineRule="auto"/>
        <w:rPr>
          <w:sz w:val="20"/>
          <w:szCs w:val="20"/>
          <w:color w:val="auto"/>
        </w:rPr>
      </w:pPr>
      <w:r>
        <w:rPr>
          <w:rFonts w:ascii="Arial" w:cs="Arial" w:eastAsia="Arial" w:hAnsi="Arial"/>
          <w:sz w:val="18"/>
          <w:szCs w:val="18"/>
          <w:color w:val="auto"/>
        </w:rPr>
        <w:t>In September 2025, the Committee determined, in consultation with FW Cook, that no changes to the peer group were needed given that the Company’s business and competition were similar to the prior year. The current peer group is outlined below.</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E7417A"/>
        </w:rPr>
        <w:t>CURRENT RIBBON EXECUTIVE COMPENSATION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E7417A"/>
        </w:rPr>
        <w:t>PEER GROUP COMPANIES</w:t>
      </w:r>
    </w:p>
    <w:p>
      <w:pPr>
        <w:spacing w:after="0" w:line="14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i w:val="1"/>
                <w:iCs w:val="1"/>
                <w:color w:val="auto"/>
              </w:rPr>
              <w:t>​A10 Networks Inc. (ATEN)</w:t>
            </w:r>
          </w:p>
        </w:tc>
        <w:tc>
          <w:tcPr>
            <w:tcW w:w="180" w:type="dxa"/>
            <w:vAlign w:val="bottom"/>
            <w:tcBorders>
              <w:right w:val="single" w:sz="8" w:color="62259D"/>
            </w:tcBorders>
          </w:tcPr>
          <w:p>
            <w:pPr>
              <w:ind w:left="80"/>
              <w:spacing w:after="0"/>
              <w:rPr>
                <w:sz w:val="20"/>
                <w:szCs w:val="20"/>
                <w:color w:val="auto"/>
              </w:rPr>
            </w:pPr>
            <w:r>
              <w:rPr>
                <w:rFonts w:ascii="Arial" w:cs="Arial" w:eastAsia="Arial" w:hAnsi="Arial"/>
                <w:sz w:val="18"/>
                <w:szCs w:val="18"/>
                <w:i w:val="1"/>
                <w:iCs w:val="1"/>
                <w:color w:val="auto"/>
              </w:rPr>
              <w:t>​</w:t>
            </w:r>
          </w:p>
        </w:tc>
        <w:tc>
          <w:tcPr>
            <w:tcW w:w="3620" w:type="dxa"/>
            <w:vAlign w:val="bottom"/>
          </w:tcPr>
          <w:p>
            <w:pPr>
              <w:spacing w:after="0"/>
              <w:rPr>
                <w:sz w:val="20"/>
                <w:szCs w:val="20"/>
                <w:color w:val="auto"/>
              </w:rPr>
            </w:pPr>
            <w:r>
              <w:rPr>
                <w:rFonts w:ascii="Arial" w:cs="Arial" w:eastAsia="Arial" w:hAnsi="Arial"/>
                <w:sz w:val="18"/>
                <w:szCs w:val="18"/>
                <w:i w:val="1"/>
                <w:iCs w:val="1"/>
                <w:color w:val="auto"/>
              </w:rPr>
              <w:t>​ Calix, Inc. (CALX)</w:t>
            </w:r>
          </w:p>
        </w:tc>
        <w:tc>
          <w:tcPr>
            <w:tcW w:w="240" w:type="dxa"/>
            <w:vAlign w:val="bottom"/>
            <w:tcBorders>
              <w:right w:val="single" w:sz="8" w:color="62259D"/>
            </w:tcBorders>
          </w:tcPr>
          <w:p>
            <w:pPr>
              <w:ind w:left="140"/>
              <w:spacing w:after="0"/>
              <w:rPr>
                <w:sz w:val="20"/>
                <w:szCs w:val="20"/>
                <w:color w:val="auto"/>
              </w:rPr>
            </w:pPr>
            <w:r>
              <w:rPr>
                <w:rFonts w:ascii="Arial" w:cs="Arial" w:eastAsia="Arial" w:hAnsi="Arial"/>
                <w:sz w:val="18"/>
                <w:szCs w:val="18"/>
                <w:i w:val="1"/>
                <w:iCs w:val="1"/>
                <w:color w:val="auto"/>
              </w:rPr>
              <w:t>​</w:t>
            </w:r>
          </w:p>
        </w:tc>
        <w:tc>
          <w:tcPr>
            <w:tcW w:w="2760" w:type="dxa"/>
            <w:vAlign w:val="bottom"/>
          </w:tcPr>
          <w:p>
            <w:pPr>
              <w:spacing w:after="0"/>
              <w:rPr>
                <w:sz w:val="20"/>
                <w:szCs w:val="20"/>
                <w:color w:val="auto"/>
              </w:rPr>
            </w:pPr>
            <w:r>
              <w:rPr>
                <w:rFonts w:ascii="Arial" w:cs="Arial" w:eastAsia="Arial" w:hAnsi="Arial"/>
                <w:sz w:val="18"/>
                <w:szCs w:val="18"/>
                <w:i w:val="1"/>
                <w:iCs w:val="1"/>
                <w:color w:val="auto"/>
              </w:rPr>
              <w:t>​ NETGEAR, Inc. (NTGR)</w:t>
            </w:r>
          </w:p>
        </w:tc>
        <w:tc>
          <w:tcPr>
            <w:tcW w:w="120" w:type="dxa"/>
            <w:vAlign w:val="bottom"/>
          </w:tcPr>
          <w:p>
            <w:pPr>
              <w:ind w:left="60"/>
              <w:spacing w:after="0"/>
              <w:rPr>
                <w:sz w:val="20"/>
                <w:szCs w:val="20"/>
                <w:color w:val="auto"/>
              </w:rPr>
            </w:pPr>
            <w:r>
              <w:rPr>
                <w:rFonts w:ascii="Arial" w:cs="Arial" w:eastAsia="Arial" w:hAnsi="Arial"/>
                <w:sz w:val="18"/>
                <w:szCs w:val="18"/>
                <w:i w:val="1"/>
                <w:iCs w:val="1"/>
                <w:color w:val="auto"/>
              </w:rPr>
              <w:t>​</w:t>
            </w: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ADTRAN Holdings, Inc. (ADTN)</w:t>
            </w:r>
          </w:p>
        </w:tc>
        <w:tc>
          <w:tcPr>
            <w:tcW w:w="180" w:type="dxa"/>
            <w:vAlign w:val="bottom"/>
            <w:tcBorders>
              <w:right w:val="single" w:sz="8" w:color="62259D"/>
            </w:tcBorders>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i w:val="1"/>
                <w:iCs w:val="1"/>
                <w:color w:val="auto"/>
              </w:rPr>
              <w:t>Cambium Networks Corporation (CMBM)</w:t>
            </w:r>
          </w:p>
        </w:tc>
        <w:tc>
          <w:tcPr>
            <w:tcW w:w="240" w:type="dxa"/>
            <w:vAlign w:val="bottom"/>
            <w:tcBorders>
              <w:right w:val="single" w:sz="8" w:color="62259D"/>
            </w:tcBorders>
          </w:tcPr>
          <w:p>
            <w:pPr>
              <w:spacing w:after="0"/>
              <w:rPr>
                <w:sz w:val="18"/>
                <w:szCs w:val="18"/>
                <w:color w:val="auto"/>
              </w:rPr>
            </w:pPr>
          </w:p>
        </w:tc>
        <w:tc>
          <w:tcPr>
            <w:tcW w:w="2760" w:type="dxa"/>
            <w:vAlign w:val="bottom"/>
          </w:tcPr>
          <w:p>
            <w:pPr>
              <w:ind w:left="100"/>
              <w:spacing w:after="0"/>
              <w:rPr>
                <w:sz w:val="20"/>
                <w:szCs w:val="20"/>
                <w:color w:val="auto"/>
              </w:rPr>
            </w:pPr>
            <w:r>
              <w:rPr>
                <w:rFonts w:ascii="Arial" w:cs="Arial" w:eastAsia="Arial" w:hAnsi="Arial"/>
                <w:sz w:val="18"/>
                <w:szCs w:val="18"/>
                <w:i w:val="1"/>
                <w:iCs w:val="1"/>
                <w:color w:val="auto"/>
              </w:rPr>
              <w:t>NetScout Systems, Inc. (NTCT)</w:t>
            </w:r>
          </w:p>
        </w:tc>
        <w:tc>
          <w:tcPr>
            <w:tcW w:w="120" w:type="dxa"/>
            <w:vAlign w:val="bottom"/>
          </w:tcPr>
          <w:p>
            <w:pPr>
              <w:spacing w:after="0"/>
              <w:rPr>
                <w:sz w:val="18"/>
                <w:szCs w:val="18"/>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AudioCodes Ltd. (AUDC)</w:t>
            </w:r>
          </w:p>
        </w:tc>
        <w:tc>
          <w:tcPr>
            <w:tcW w:w="180" w:type="dxa"/>
            <w:vAlign w:val="bottom"/>
            <w:tcBorders>
              <w:right w:val="single" w:sz="8" w:color="62259D"/>
            </w:tcBorders>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i w:val="1"/>
                <w:iCs w:val="1"/>
                <w:color w:val="auto"/>
              </w:rPr>
              <w:t>CSG Systems International, Inc. (CSGS)</w:t>
            </w:r>
          </w:p>
        </w:tc>
        <w:tc>
          <w:tcPr>
            <w:tcW w:w="240" w:type="dxa"/>
            <w:vAlign w:val="bottom"/>
            <w:tcBorders>
              <w:right w:val="single" w:sz="8" w:color="62259D"/>
            </w:tcBorders>
          </w:tcPr>
          <w:p>
            <w:pPr>
              <w:spacing w:after="0"/>
              <w:rPr>
                <w:sz w:val="18"/>
                <w:szCs w:val="18"/>
                <w:color w:val="auto"/>
              </w:rPr>
            </w:pPr>
          </w:p>
        </w:tc>
        <w:tc>
          <w:tcPr>
            <w:tcW w:w="2760" w:type="dxa"/>
            <w:vAlign w:val="bottom"/>
          </w:tcPr>
          <w:p>
            <w:pPr>
              <w:ind w:left="100"/>
              <w:spacing w:after="0"/>
              <w:rPr>
                <w:sz w:val="20"/>
                <w:szCs w:val="20"/>
                <w:color w:val="auto"/>
              </w:rPr>
            </w:pPr>
            <w:r>
              <w:rPr>
                <w:rFonts w:ascii="Arial" w:cs="Arial" w:eastAsia="Arial" w:hAnsi="Arial"/>
                <w:sz w:val="18"/>
                <w:szCs w:val="18"/>
                <w:i w:val="1"/>
                <w:iCs w:val="1"/>
                <w:color w:val="auto"/>
              </w:rPr>
              <w:t>Viavi Solutions Inc. (VIAV)</w:t>
            </w:r>
          </w:p>
        </w:tc>
        <w:tc>
          <w:tcPr>
            <w:tcW w:w="120" w:type="dxa"/>
            <w:vAlign w:val="bottom"/>
          </w:tcPr>
          <w:p>
            <w:pPr>
              <w:spacing w:after="0"/>
              <w:rPr>
                <w:sz w:val="18"/>
                <w:szCs w:val="18"/>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Aviat Networks, Inc. (AVNW)</w:t>
            </w:r>
          </w:p>
        </w:tc>
        <w:tc>
          <w:tcPr>
            <w:tcW w:w="180" w:type="dxa"/>
            <w:vAlign w:val="bottom"/>
            <w:tcBorders>
              <w:right w:val="single" w:sz="8" w:color="62259D"/>
            </w:tcBorders>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i w:val="1"/>
                <w:iCs w:val="1"/>
                <w:color w:val="auto"/>
              </w:rPr>
              <w:t>Extreme Networks, Inc. (EXTR)</w:t>
            </w:r>
          </w:p>
        </w:tc>
        <w:tc>
          <w:tcPr>
            <w:tcW w:w="240" w:type="dxa"/>
            <w:vAlign w:val="bottom"/>
            <w:tcBorders>
              <w:right w:val="single" w:sz="8" w:color="62259D"/>
            </w:tcBorders>
          </w:tcPr>
          <w:p>
            <w:pPr>
              <w:spacing w:after="0"/>
              <w:rPr>
                <w:sz w:val="18"/>
                <w:szCs w:val="18"/>
                <w:color w:val="auto"/>
              </w:rPr>
            </w:pP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3"/>
        </w:trPr>
        <w:tc>
          <w:tcPr>
            <w:tcW w:w="2700" w:type="dxa"/>
            <w:vAlign w:val="bottom"/>
          </w:tcPr>
          <w:p>
            <w:pPr>
              <w:ind w:left="20"/>
              <w:spacing w:after="0"/>
              <w:rPr>
                <w:sz w:val="20"/>
                <w:szCs w:val="20"/>
                <w:color w:val="auto"/>
              </w:rPr>
            </w:pPr>
            <w:r>
              <w:rPr>
                <w:rFonts w:ascii="Arial" w:cs="Arial" w:eastAsia="Arial" w:hAnsi="Arial"/>
                <w:sz w:val="18"/>
                <w:szCs w:val="18"/>
                <w:i w:val="1"/>
                <w:iCs w:val="1"/>
                <w:color w:val="auto"/>
              </w:rPr>
              <w:t>CalAmp Corp. (CAMPQ)</w:t>
            </w:r>
          </w:p>
        </w:tc>
        <w:tc>
          <w:tcPr>
            <w:tcW w:w="180" w:type="dxa"/>
            <w:vAlign w:val="bottom"/>
            <w:tcBorders>
              <w:right w:val="single" w:sz="8" w:color="62259D"/>
            </w:tcBorders>
          </w:tcPr>
          <w:p>
            <w:pPr>
              <w:spacing w:after="0"/>
              <w:rPr>
                <w:sz w:val="20"/>
                <w:szCs w:val="20"/>
                <w:color w:val="auto"/>
              </w:rPr>
            </w:pPr>
          </w:p>
        </w:tc>
        <w:tc>
          <w:tcPr>
            <w:tcW w:w="3620" w:type="dxa"/>
            <w:vAlign w:val="bottom"/>
          </w:tcPr>
          <w:p>
            <w:pPr>
              <w:ind w:left="100"/>
              <w:spacing w:after="0"/>
              <w:rPr>
                <w:sz w:val="20"/>
                <w:szCs w:val="20"/>
                <w:color w:val="auto"/>
              </w:rPr>
            </w:pPr>
            <w:r>
              <w:rPr>
                <w:rFonts w:ascii="Arial" w:cs="Arial" w:eastAsia="Arial" w:hAnsi="Arial"/>
                <w:sz w:val="18"/>
                <w:szCs w:val="18"/>
                <w:i w:val="1"/>
                <w:iCs w:val="1"/>
                <w:color w:val="auto"/>
              </w:rPr>
              <w:t>Harmonic Inc. (HLIT)</w:t>
            </w:r>
          </w:p>
        </w:tc>
        <w:tc>
          <w:tcPr>
            <w:tcW w:w="240" w:type="dxa"/>
            <w:vAlign w:val="bottom"/>
            <w:tcBorders>
              <w:right w:val="single" w:sz="8" w:color="62259D"/>
            </w:tcBorders>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116" w:lineRule="exact"/>
        <w:rPr>
          <w:sz w:val="20"/>
          <w:szCs w:val="20"/>
          <w:color w:val="auto"/>
        </w:rPr>
      </w:pPr>
    </w:p>
    <w:p>
      <w:pPr>
        <w:ind w:left="920" w:right="900"/>
        <w:spacing w:after="0" w:line="248" w:lineRule="auto"/>
        <w:rPr>
          <w:sz w:val="20"/>
          <w:szCs w:val="20"/>
          <w:color w:val="auto"/>
        </w:rPr>
      </w:pPr>
      <w:r>
        <w:rPr>
          <w:rFonts w:ascii="Arial" w:cs="Arial" w:eastAsia="Arial" w:hAnsi="Arial"/>
          <w:sz w:val="18"/>
          <w:szCs w:val="18"/>
          <w:color w:val="auto"/>
        </w:rPr>
        <w:t>FW Cook compiled and provided the Compensation Committee with compensation information from the peer group based on the publicly-filed documents of each member of the peer group. While the Compensation Committee considers the compensation of our peer group companies’ senior executives, it does not benchmark a particular percentile for the total compensation of our NEOs or for any component thereof.</w:t>
      </w:r>
    </w:p>
    <w:p>
      <w:pPr>
        <w:sectPr>
          <w:pgSz w:w="11900" w:h="16838" w:orient="portrait"/>
          <w:cols w:equalWidth="0" w:num="1">
            <w:col w:w="10540"/>
          </w:cols>
          <w:pgMar w:left="580" w:top="97"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540"/>
          </w:cols>
          <w:pgMar w:left="580" w:top="97" w:right="77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Compensation Components</w:t>
      </w:r>
    </w:p>
    <w:p>
      <w:pPr>
        <w:spacing w:after="0" w:line="125" w:lineRule="exact"/>
        <w:rPr>
          <w:sz w:val="20"/>
          <w:szCs w:val="20"/>
          <w:color w:val="auto"/>
        </w:rPr>
      </w:pPr>
    </w:p>
    <w:p>
      <w:pPr>
        <w:ind w:left="920" w:right="339"/>
        <w:spacing w:after="0" w:line="287" w:lineRule="auto"/>
        <w:rPr>
          <w:sz w:val="20"/>
          <w:szCs w:val="20"/>
          <w:color w:val="auto"/>
        </w:rPr>
      </w:pPr>
      <w:r>
        <w:rPr>
          <w:rFonts w:ascii="Arial" w:cs="Arial" w:eastAsia="Arial" w:hAnsi="Arial"/>
          <w:sz w:val="18"/>
          <w:szCs w:val="18"/>
          <w:color w:val="auto"/>
        </w:rPr>
        <w:t>The Compensation Committee annually reviews fixed and variable compensation received by our NEOs, including:</w:t>
      </w:r>
    </w:p>
    <w:p>
      <w:pPr>
        <w:spacing w:after="0" w:line="45" w:lineRule="exact"/>
        <w:rPr>
          <w:sz w:val="20"/>
          <w:szCs w:val="20"/>
          <w:color w:val="auto"/>
        </w:rPr>
      </w:pPr>
    </w:p>
    <w:p>
      <w:pPr>
        <w:ind w:left="1280" w:hanging="356"/>
        <w:spacing w:after="0"/>
        <w:tabs>
          <w:tab w:leader="none" w:pos="1280" w:val="left"/>
        </w:tabs>
        <w:numPr>
          <w:ilvl w:val="0"/>
          <w:numId w:val="113"/>
        </w:numPr>
        <w:rPr>
          <w:rFonts w:ascii="Arial" w:cs="Arial" w:eastAsia="Arial" w:hAnsi="Arial"/>
          <w:sz w:val="18"/>
          <w:szCs w:val="18"/>
          <w:color w:val="62259D"/>
        </w:rPr>
      </w:pPr>
      <w:r>
        <w:rPr>
          <w:rFonts w:ascii="Arial" w:cs="Arial" w:eastAsia="Arial" w:hAnsi="Arial"/>
          <w:sz w:val="18"/>
          <w:szCs w:val="18"/>
          <w:color w:val="auto"/>
        </w:rPr>
        <w:t>base salary,</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13"/>
        </w:numPr>
        <w:rPr>
          <w:rFonts w:ascii="Arial" w:cs="Arial" w:eastAsia="Arial" w:hAnsi="Arial"/>
          <w:sz w:val="18"/>
          <w:szCs w:val="18"/>
          <w:color w:val="62259D"/>
        </w:rPr>
      </w:pPr>
      <w:r>
        <w:rPr>
          <w:rFonts w:ascii="Arial" w:cs="Arial" w:eastAsia="Arial" w:hAnsi="Arial"/>
          <w:sz w:val="18"/>
          <w:szCs w:val="18"/>
          <w:color w:val="auto"/>
        </w:rPr>
        <w:t>annual bonus incentives,</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13"/>
        </w:numPr>
        <w:rPr>
          <w:rFonts w:ascii="Arial" w:cs="Arial" w:eastAsia="Arial" w:hAnsi="Arial"/>
          <w:sz w:val="18"/>
          <w:szCs w:val="18"/>
          <w:color w:val="62259D"/>
        </w:rPr>
      </w:pPr>
      <w:r>
        <w:rPr>
          <w:rFonts w:ascii="Arial" w:cs="Arial" w:eastAsia="Arial" w:hAnsi="Arial"/>
          <w:sz w:val="18"/>
          <w:szCs w:val="18"/>
          <w:color w:val="auto"/>
        </w:rPr>
        <w:t>equity awards, and</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113"/>
        </w:numPr>
        <w:rPr>
          <w:rFonts w:ascii="Arial" w:cs="Arial" w:eastAsia="Arial" w:hAnsi="Arial"/>
          <w:sz w:val="18"/>
          <w:szCs w:val="18"/>
          <w:color w:val="62259D"/>
        </w:rPr>
      </w:pPr>
      <w:r>
        <w:rPr>
          <w:rFonts w:ascii="Arial" w:cs="Arial" w:eastAsia="Arial" w:hAnsi="Arial"/>
          <w:sz w:val="18"/>
          <w:szCs w:val="18"/>
          <w:color w:val="auto"/>
        </w:rPr>
        <w:t>other benefits (</w:t>
      </w:r>
      <w:r>
        <w:rPr>
          <w:rFonts w:ascii="Arial" w:cs="Arial" w:eastAsia="Arial" w:hAnsi="Arial"/>
          <w:sz w:val="18"/>
          <w:szCs w:val="18"/>
          <w:i w:val="1"/>
          <w:iCs w:val="1"/>
          <w:color w:val="auto"/>
        </w:rPr>
        <w:t>e.g.</w:t>
      </w:r>
      <w:r>
        <w:rPr>
          <w:rFonts w:ascii="Arial" w:cs="Arial" w:eastAsia="Arial" w:hAnsi="Arial"/>
          <w:sz w:val="18"/>
          <w:szCs w:val="18"/>
          <w:color w:val="auto"/>
        </w:rPr>
        <w:t xml:space="preserve"> health and retirement).</w:t>
      </w:r>
    </w:p>
    <w:p>
      <w:pPr>
        <w:spacing w:after="0" w:line="131" w:lineRule="exact"/>
        <w:rPr>
          <w:sz w:val="20"/>
          <w:szCs w:val="20"/>
          <w:color w:val="auto"/>
        </w:rPr>
      </w:pPr>
    </w:p>
    <w:p>
      <w:pPr>
        <w:ind w:left="920" w:right="359"/>
        <w:spacing w:after="0" w:line="261" w:lineRule="auto"/>
        <w:rPr>
          <w:sz w:val="20"/>
          <w:szCs w:val="20"/>
          <w:color w:val="auto"/>
        </w:rPr>
      </w:pPr>
      <w:r>
        <w:rPr>
          <w:rFonts w:ascii="Arial" w:cs="Arial" w:eastAsia="Arial" w:hAnsi="Arial"/>
          <w:sz w:val="18"/>
          <w:szCs w:val="18"/>
          <w:color w:val="auto"/>
        </w:rPr>
        <w:t>Our executive compensation program has four major components that support the Company’s compensation objectives, each of which is discussed in detail below. Such major components reflect the compensation provided to our NEOs in 2025.</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Compensation Mix</w:t>
      </w:r>
    </w:p>
    <w:p>
      <w:pPr>
        <w:spacing w:after="0" w:line="135" w:lineRule="exact"/>
        <w:rPr>
          <w:sz w:val="20"/>
          <w:szCs w:val="20"/>
          <w:color w:val="auto"/>
        </w:rPr>
      </w:pPr>
    </w:p>
    <w:p>
      <w:pPr>
        <w:ind w:left="920" w:right="139"/>
        <w:spacing w:after="0" w:line="244" w:lineRule="auto"/>
        <w:rPr>
          <w:sz w:val="20"/>
          <w:szCs w:val="20"/>
          <w:color w:val="auto"/>
        </w:rPr>
      </w:pPr>
      <w:r>
        <w:rPr>
          <w:rFonts w:ascii="Arial" w:cs="Arial" w:eastAsia="Arial" w:hAnsi="Arial"/>
          <w:sz w:val="18"/>
          <w:szCs w:val="18"/>
          <w:color w:val="auto"/>
        </w:rPr>
        <w:t>A significant portion of our executive officers’ total direct compensation (which includes base salary, cash bonus and equity-based incentives) opportunity is attributable to variable compensation — that is, the amount our executives earn is dependent upon Company performance. The 2025 equity-based component of our NEOs’ total compensation consisted primarily of (i) restricted stock units, the vesting of which is subject to established performance metrics (“</w:t>
      </w:r>
      <w:r>
        <w:rPr>
          <w:rFonts w:ascii="Arial" w:cs="Arial" w:eastAsia="Arial" w:hAnsi="Arial"/>
          <w:sz w:val="18"/>
          <w:szCs w:val="18"/>
          <w:i w:val="1"/>
          <w:iCs w:val="1"/>
          <w:color w:val="auto"/>
        </w:rPr>
        <w:t>PSUs</w:t>
      </w:r>
      <w:r>
        <w:rPr>
          <w:rFonts w:ascii="Arial" w:cs="Arial" w:eastAsia="Arial" w:hAnsi="Arial"/>
          <w:sz w:val="18"/>
          <w:szCs w:val="18"/>
          <w:color w:val="auto"/>
        </w:rPr>
        <w:t>”), and (ii) restricted stock units that are subject to time-based vesting (“</w:t>
      </w:r>
      <w:r>
        <w:rPr>
          <w:rFonts w:ascii="Arial" w:cs="Arial" w:eastAsia="Arial" w:hAnsi="Arial"/>
          <w:sz w:val="18"/>
          <w:szCs w:val="18"/>
          <w:i w:val="1"/>
          <w:iCs w:val="1"/>
          <w:color w:val="auto"/>
        </w:rPr>
        <w:t>RSUs</w:t>
      </w:r>
      <w:r>
        <w:rPr>
          <w:rFonts w:ascii="Arial" w:cs="Arial" w:eastAsia="Arial" w:hAnsi="Arial"/>
          <w:sz w:val="18"/>
          <w:szCs w:val="18"/>
          <w:color w:val="auto"/>
        </w:rPr>
        <w:t>”), and in both cases the value of which is tied to the Company’s common stock. These variable elements were intended to align the executives’ performance and interests with Company performance and long-term stockholder value.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table below generally summarizes the elements of our NEO compensation program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111760</wp:posOffset>
            </wp:positionV>
            <wp:extent cx="5623560" cy="2743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23560" cy="2743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120" w:type="dxa"/>
            <w:vAlign w:val="bottom"/>
          </w:tcPr>
          <w:p>
            <w:pPr>
              <w:spacing w:after="0"/>
              <w:rPr>
                <w:sz w:val="20"/>
                <w:szCs w:val="20"/>
                <w:color w:val="auto"/>
              </w:rPr>
            </w:pPr>
            <w:r>
              <w:rPr>
                <w:rFonts w:ascii="Arial" w:cs="Arial" w:eastAsia="Arial" w:hAnsi="Arial"/>
                <w:sz w:val="15"/>
                <w:szCs w:val="15"/>
                <w:b w:val="1"/>
                <w:bCs w:val="1"/>
                <w:color w:val="FEFEFE"/>
              </w:rPr>
              <w:t>​</w:t>
            </w:r>
          </w:p>
        </w:tc>
        <w:tc>
          <w:tcPr>
            <w:tcW w:w="280" w:type="dxa"/>
            <w:vAlign w:val="bottom"/>
          </w:tcPr>
          <w:p>
            <w:pPr>
              <w:spacing w:after="0"/>
              <w:rPr>
                <w:sz w:val="20"/>
                <w:szCs w:val="20"/>
                <w:color w:val="auto"/>
              </w:rPr>
            </w:pPr>
            <w:r>
              <w:rPr>
                <w:rFonts w:ascii="Arial" w:cs="Arial" w:eastAsia="Arial" w:hAnsi="Arial"/>
                <w:sz w:val="15"/>
                <w:szCs w:val="15"/>
                <w:b w:val="1"/>
                <w:bCs w:val="1"/>
                <w:color w:val="FEFEFE"/>
              </w:rPr>
              <w:t>​</w:t>
            </w:r>
          </w:p>
        </w:tc>
      </w:tr>
      <w:tr>
        <w:trPr>
          <w:trHeight w:val="218"/>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extDirection w:val="btLr"/>
          </w:tcPr>
          <w:p>
            <w:pPr>
              <w:ind w:left="130"/>
              <w:spacing w:after="0"/>
              <w:rPr>
                <w:sz w:val="20"/>
                <w:szCs w:val="20"/>
                <w:color w:val="auto"/>
              </w:rPr>
            </w:pPr>
            <w:r>
              <w:rPr>
                <w:rFonts w:ascii="MS PGothic" w:cs="MS PGothic" w:eastAsia="MS PGothic" w:hAnsi="MS PGothic"/>
                <w:sz w:val="15"/>
                <w:szCs w:val="15"/>
                <w:color w:val="auto"/>
                <w:highlight w:val="white"/>
              </w:rPr>
              <w:t>▶</w:t>
            </w:r>
          </w:p>
        </w:tc>
      </w:tr>
      <w:tr>
        <w:trPr>
          <w:trHeight w:val="705"/>
        </w:trPr>
        <w:tc>
          <w:tcPr>
            <w:tcW w:w="120" w:type="dxa"/>
            <w:vAlign w:val="bottom"/>
          </w:tcPr>
          <w:p>
            <w:pPr>
              <w:spacing w:after="0"/>
              <w:rPr>
                <w:sz w:val="24"/>
                <w:szCs w:val="24"/>
                <w:color w:val="auto"/>
              </w:rPr>
            </w:pPr>
          </w:p>
        </w:tc>
        <w:tc>
          <w:tcPr>
            <w:tcW w:w="280" w:type="dxa"/>
            <w:vAlign w:val="bottom"/>
            <w:textDirection w:val="btLr"/>
          </w:tcPr>
          <w:p>
            <w:pPr>
              <w:ind w:left="108"/>
              <w:spacing w:after="0"/>
              <w:rPr>
                <w:sz w:val="20"/>
                <w:szCs w:val="20"/>
                <w:color w:val="auto"/>
              </w:rPr>
            </w:pPr>
            <w:r>
              <w:rPr>
                <w:rFonts w:ascii="MS PGothic" w:cs="MS PGothic" w:eastAsia="MS PGothic" w:hAnsi="MS PGothic"/>
                <w:sz w:val="15"/>
                <w:szCs w:val="15"/>
                <w:color w:val="000000"/>
                <w:highlight w:val="white"/>
              </w:rPr>
              <w:t>◀</w:t>
            </w:r>
            <w:r>
              <w:rPr>
                <w:rFonts w:ascii="Arial" w:cs="Arial" w:eastAsia="Arial" w:hAnsi="Arial"/>
                <w:sz w:val="15"/>
                <w:szCs w:val="15"/>
                <w:b w:val="1"/>
                <w:bCs w:val="1"/>
                <w:color w:val="FEFEFE"/>
              </w:rPr>
              <w:t xml:space="preserve"> FIXED</w:t>
            </w:r>
          </w:p>
        </w:tc>
      </w:tr>
      <w:tr>
        <w:trPr>
          <w:trHeight w:val="118"/>
        </w:trPr>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215"/>
        </w:trPr>
        <w:tc>
          <w:tcPr>
            <w:tcW w:w="120" w:type="dxa"/>
            <w:vAlign w:val="bottom"/>
            <w:shd w:val="clear" w:color="auto" w:fill="E7417A"/>
          </w:tcPr>
          <w:p>
            <w:pP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r>
      <w:tr>
        <w:trPr>
          <w:trHeight w:val="1330"/>
        </w:trPr>
        <w:tc>
          <w:tcPr>
            <w:tcW w:w="120" w:type="dxa"/>
            <w:vAlign w:val="bottom"/>
            <w:shd w:val="clear" w:color="auto" w:fill="E7417A"/>
          </w:tcPr>
          <w:p>
            <w:pPr>
              <w:spacing w:after="0"/>
              <w:rPr>
                <w:sz w:val="24"/>
                <w:szCs w:val="24"/>
                <w:color w:val="auto"/>
              </w:rPr>
            </w:pPr>
          </w:p>
        </w:tc>
        <w:tc>
          <w:tcPr>
            <w:tcW w:w="280" w:type="dxa"/>
            <w:vAlign w:val="bottom"/>
            <w:textDirection w:val="btLr"/>
          </w:tcPr>
          <w:p>
            <w:pPr>
              <w:ind w:left="108"/>
              <w:spacing w:after="0"/>
              <w:rPr>
                <w:sz w:val="20"/>
                <w:szCs w:val="20"/>
                <w:color w:val="auto"/>
              </w:rPr>
            </w:pPr>
            <w:r>
              <w:rPr>
                <w:rFonts w:ascii="MS PGothic" w:cs="MS PGothic" w:eastAsia="MS PGothic" w:hAnsi="MS PGothic"/>
                <w:sz w:val="15"/>
                <w:szCs w:val="15"/>
                <w:color w:val="000000"/>
                <w:highlight w:val="white"/>
                <w:w w:val="90"/>
              </w:rPr>
              <w:t>◀        ▶</w:t>
            </w:r>
            <w:r>
              <w:rPr>
                <w:rFonts w:ascii="Arial" w:cs="Arial" w:eastAsia="Arial" w:hAnsi="Arial"/>
                <w:sz w:val="15"/>
                <w:szCs w:val="15"/>
                <w:b w:val="1"/>
                <w:bCs w:val="1"/>
                <w:color w:val="FEFEFE"/>
                <w:w w:val="90"/>
              </w:rPr>
              <w:t>VARIABLE</w:t>
            </w:r>
          </w:p>
        </w:tc>
      </w:tr>
      <w:tr>
        <w:trPr>
          <w:trHeight w:val="359"/>
        </w:trPr>
        <w:tc>
          <w:tcPr>
            <w:tcW w:w="120" w:type="dxa"/>
            <w:vAlign w:val="bottom"/>
            <w:shd w:val="clear" w:color="auto" w:fill="E7417A"/>
          </w:tcPr>
          <w:p>
            <w:pPr>
              <w:spacing w:after="0"/>
              <w:rPr>
                <w:sz w:val="24"/>
                <w:szCs w:val="24"/>
                <w:color w:val="auto"/>
              </w:rPr>
            </w:pPr>
          </w:p>
        </w:tc>
        <w:tc>
          <w:tcPr>
            <w:tcW w:w="280" w:type="dxa"/>
            <w:vAlign w:val="bottom"/>
          </w:tcPr>
          <w:p>
            <w:pPr>
              <w:spacing w:after="0"/>
              <w:rPr>
                <w:sz w:val="24"/>
                <w:szCs w:val="24"/>
                <w:color w:val="auto"/>
              </w:rPr>
            </w:pPr>
          </w:p>
        </w:tc>
      </w:tr>
      <w:tr>
        <w:trPr>
          <w:trHeight w:val="215"/>
        </w:trPr>
        <w:tc>
          <w:tcPr>
            <w:tcW w:w="12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r>
      <w:tr>
        <w:trPr>
          <w:trHeight w:val="1367"/>
        </w:trPr>
        <w:tc>
          <w:tcPr>
            <w:tcW w:w="120" w:type="dxa"/>
            <w:vAlign w:val="bottom"/>
          </w:tcPr>
          <w:p>
            <w:pPr>
              <w:spacing w:after="0"/>
              <w:rPr>
                <w:sz w:val="24"/>
                <w:szCs w:val="24"/>
                <w:color w:val="auto"/>
              </w:rPr>
            </w:pPr>
          </w:p>
        </w:tc>
        <w:tc>
          <w:tcPr>
            <w:tcW w:w="280" w:type="dxa"/>
            <w:vAlign w:val="bottom"/>
            <w:textDirection w:val="btLr"/>
          </w:tcPr>
          <w:p>
            <w:pPr>
              <w:ind w:left="108"/>
              <w:spacing w:after="0"/>
              <w:rPr>
                <w:sz w:val="20"/>
                <w:szCs w:val="20"/>
                <w:color w:val="auto"/>
              </w:rPr>
            </w:pPr>
            <w:r>
              <w:rPr>
                <w:rFonts w:ascii="MS PGothic" w:cs="MS PGothic" w:eastAsia="MS PGothic" w:hAnsi="MS PGothic"/>
                <w:sz w:val="15"/>
                <w:szCs w:val="15"/>
                <w:color w:val="000000"/>
                <w:highlight w:val="white"/>
                <w:w w:val="94"/>
              </w:rPr>
              <w:t>◀      ▶</w:t>
            </w:r>
            <w:r>
              <w:rPr>
                <w:rFonts w:ascii="Arial" w:cs="Arial" w:eastAsia="Arial" w:hAnsi="Arial"/>
                <w:sz w:val="15"/>
                <w:szCs w:val="15"/>
                <w:b w:val="1"/>
                <w:bCs w:val="1"/>
                <w:color w:val="FEFEFE"/>
                <w:w w:val="94"/>
              </w:rPr>
              <w:t>OTHER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-2864485</wp:posOffset>
            </wp:positionV>
            <wp:extent cx="428625" cy="6515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28625" cy="651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640" w:type="dxa"/>
            <w:vAlign w:val="bottom"/>
          </w:tcPr>
          <w:p>
            <w:pPr>
              <w:ind w:left="260"/>
              <w:spacing w:after="0"/>
              <w:rPr>
                <w:sz w:val="20"/>
                <w:szCs w:val="20"/>
                <w:color w:val="auto"/>
              </w:rPr>
            </w:pPr>
            <w:r>
              <w:rPr>
                <w:rFonts w:ascii="Arial" w:cs="Arial" w:eastAsia="Arial" w:hAnsi="Arial"/>
                <w:sz w:val="15"/>
                <w:szCs w:val="15"/>
                <w:b w:val="1"/>
                <w:bCs w:val="1"/>
                <w:color w:val="FEFEFE"/>
              </w:rPr>
              <w:t>Link to Company</w:t>
            </w:r>
          </w:p>
        </w:tc>
        <w:tc>
          <w:tcPr>
            <w:tcW w:w="140" w:type="dxa"/>
            <w:vAlign w:val="bottom"/>
          </w:tcPr>
          <w:p>
            <w:pPr>
              <w:spacing w:after="0"/>
              <w:rPr>
                <w:sz w:val="15"/>
                <w:szCs w:val="15"/>
                <w:color w:val="auto"/>
              </w:rPr>
            </w:pPr>
          </w:p>
        </w:tc>
      </w:tr>
      <w:tr>
        <w:trPr>
          <w:trHeight w:val="221"/>
        </w:trPr>
        <w:tc>
          <w:tcPr>
            <w:tcW w:w="1320" w:type="dxa"/>
            <w:vAlign w:val="bottom"/>
            <w:gridSpan w:val="2"/>
          </w:tcPr>
          <w:p>
            <w:pPr>
              <w:spacing w:after="0" w:line="221" w:lineRule="exact"/>
              <w:rPr>
                <w:sz w:val="20"/>
                <w:szCs w:val="20"/>
                <w:color w:val="auto"/>
              </w:rPr>
            </w:pPr>
            <w:r>
              <w:rPr>
                <w:rFonts w:ascii="Arial" w:cs="Arial" w:eastAsia="Arial" w:hAnsi="Arial"/>
                <w:sz w:val="25"/>
                <w:szCs w:val="25"/>
                <w:b w:val="1"/>
                <w:bCs w:val="1"/>
                <w:color w:val="FEFEFE"/>
                <w:vertAlign w:val="subscript"/>
              </w:rPr>
              <w:t>​ ​</w:t>
            </w:r>
            <w:r>
              <w:rPr>
                <w:rFonts w:ascii="Arial" w:cs="Arial" w:eastAsia="Arial" w:hAnsi="Arial"/>
                <w:sz w:val="13"/>
                <w:szCs w:val="13"/>
                <w:b w:val="1"/>
                <w:bCs w:val="1"/>
                <w:color w:val="FEFEFE"/>
              </w:rPr>
              <w:t xml:space="preserve"> Element</w:t>
            </w:r>
          </w:p>
        </w:tc>
        <w:tc>
          <w:tcPr>
            <w:tcW w:w="2220" w:type="dxa"/>
            <w:vAlign w:val="bottom"/>
          </w:tcPr>
          <w:p>
            <w:pPr>
              <w:ind w:left="60"/>
              <w:spacing w:after="0" w:line="221" w:lineRule="exact"/>
              <w:rPr>
                <w:sz w:val="20"/>
                <w:szCs w:val="20"/>
                <w:color w:val="auto"/>
              </w:rPr>
            </w:pPr>
            <w:r>
              <w:rPr>
                <w:rFonts w:ascii="Arial" w:cs="Arial" w:eastAsia="Arial" w:hAnsi="Arial"/>
                <w:sz w:val="25"/>
                <w:szCs w:val="25"/>
                <w:b w:val="1"/>
                <w:bCs w:val="1"/>
                <w:color w:val="FEFEFE"/>
                <w:vertAlign w:val="subscript"/>
              </w:rPr>
              <w:t>​ ​</w:t>
            </w:r>
            <w:r>
              <w:rPr>
                <w:rFonts w:ascii="Arial" w:cs="Arial" w:eastAsia="Arial" w:hAnsi="Arial"/>
                <w:sz w:val="13"/>
                <w:szCs w:val="13"/>
                <w:b w:val="1"/>
                <w:bCs w:val="1"/>
                <w:color w:val="FEFEFE"/>
              </w:rPr>
              <w:t xml:space="preserve"> Form of Compensation</w:t>
            </w:r>
          </w:p>
        </w:tc>
        <w:tc>
          <w:tcPr>
            <w:tcW w:w="2960" w:type="dxa"/>
            <w:vAlign w:val="bottom"/>
          </w:tcPr>
          <w:p>
            <w:pPr>
              <w:ind w:left="100"/>
              <w:spacing w:after="0" w:line="221" w:lineRule="exact"/>
              <w:rPr>
                <w:sz w:val="20"/>
                <w:szCs w:val="20"/>
                <w:color w:val="auto"/>
              </w:rPr>
            </w:pPr>
            <w:r>
              <w:rPr>
                <w:rFonts w:ascii="Arial" w:cs="Arial" w:eastAsia="Arial" w:hAnsi="Arial"/>
                <w:sz w:val="25"/>
                <w:szCs w:val="25"/>
                <w:b w:val="1"/>
                <w:bCs w:val="1"/>
                <w:color w:val="FEFEFE"/>
                <w:vertAlign w:val="subscript"/>
              </w:rPr>
              <w:t>​ ​</w:t>
            </w:r>
            <w:r>
              <w:rPr>
                <w:rFonts w:ascii="Arial" w:cs="Arial" w:eastAsia="Arial" w:hAnsi="Arial"/>
                <w:sz w:val="13"/>
                <w:szCs w:val="13"/>
                <w:b w:val="1"/>
                <w:bCs w:val="1"/>
                <w:color w:val="FEFEFE"/>
              </w:rPr>
              <w:t xml:space="preserve"> Purpose</w:t>
            </w:r>
          </w:p>
        </w:tc>
        <w:tc>
          <w:tcPr>
            <w:tcW w:w="1640" w:type="dxa"/>
            <w:vAlign w:val="bottom"/>
          </w:tcPr>
          <w:p>
            <w:pPr>
              <w:ind w:left="40"/>
              <w:spacing w:after="0" w:line="221" w:lineRule="exact"/>
              <w:rPr>
                <w:sz w:val="20"/>
                <w:szCs w:val="20"/>
                <w:color w:val="auto"/>
              </w:rPr>
            </w:pPr>
            <w:r>
              <w:rPr>
                <w:rFonts w:ascii="Arial" w:cs="Arial" w:eastAsia="Arial" w:hAnsi="Arial"/>
                <w:sz w:val="25"/>
                <w:szCs w:val="25"/>
                <w:b w:val="1"/>
                <w:bCs w:val="1"/>
                <w:color w:val="FEFEFE"/>
                <w:vertAlign w:val="subscript"/>
              </w:rPr>
              <w:t>​ ​</w:t>
            </w:r>
            <w:r>
              <w:rPr>
                <w:rFonts w:ascii="Arial" w:cs="Arial" w:eastAsia="Arial" w:hAnsi="Arial"/>
                <w:sz w:val="13"/>
                <w:szCs w:val="13"/>
                <w:b w:val="1"/>
                <w:bCs w:val="1"/>
                <w:color w:val="FEFEFE"/>
              </w:rPr>
              <w:t xml:space="preserve"> Performance</w:t>
            </w:r>
          </w:p>
        </w:tc>
        <w:tc>
          <w:tcPr>
            <w:tcW w:w="140" w:type="dxa"/>
            <w:vAlign w:val="bottom"/>
          </w:tcPr>
          <w:p>
            <w:pPr>
              <w:ind w:left="40"/>
              <w:spacing w:after="0"/>
              <w:rPr>
                <w:sz w:val="20"/>
                <w:szCs w:val="20"/>
                <w:color w:val="auto"/>
              </w:rPr>
            </w:pPr>
            <w:r>
              <w:rPr>
                <w:rFonts w:ascii="Arial" w:cs="Arial" w:eastAsia="Arial" w:hAnsi="Arial"/>
                <w:sz w:val="15"/>
                <w:szCs w:val="15"/>
                <w:b w:val="1"/>
                <w:bCs w:val="1"/>
                <w:color w:val="FEFEFE"/>
              </w:rPr>
              <w:t>​</w:t>
            </w:r>
          </w:p>
        </w:tc>
      </w:tr>
      <w:tr>
        <w:trPr>
          <w:trHeight w:val="256"/>
        </w:trPr>
        <w:tc>
          <w:tcPr>
            <w:tcW w:w="1320" w:type="dxa"/>
            <w:vAlign w:val="bottom"/>
            <w:gridSpan w:val="2"/>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4"/>
                <w:szCs w:val="14"/>
                <w:b w:val="1"/>
                <w:bCs w:val="1"/>
                <w:color w:val="auto"/>
              </w:rPr>
              <w:t xml:space="preserve"> BASE</w:t>
            </w:r>
          </w:p>
        </w:tc>
        <w:tc>
          <w:tcPr>
            <w:tcW w:w="2220" w:type="dxa"/>
            <w:vAlign w:val="bottom"/>
          </w:tcPr>
          <w:p>
            <w:pPr>
              <w:ind w:left="60"/>
              <w:spacing w:after="0" w:line="256" w:lineRule="exact"/>
              <w:rPr>
                <w:sz w:val="20"/>
                <w:szCs w:val="20"/>
                <w:color w:val="auto"/>
              </w:rPr>
            </w:pPr>
            <w:r>
              <w:rPr>
                <w:rFonts w:ascii="Arial" w:cs="Arial" w:eastAsia="Arial" w:hAnsi="Arial"/>
                <w:sz w:val="29"/>
                <w:szCs w:val="29"/>
                <w:color w:val="000000"/>
                <w:vertAlign w:val="superscript"/>
              </w:rPr>
              <w:t>​ ​</w:t>
            </w:r>
            <w:r>
              <w:rPr>
                <w:rFonts w:ascii="Arial" w:cs="Arial" w:eastAsia="Arial" w:hAnsi="Arial"/>
                <w:sz w:val="15"/>
                <w:szCs w:val="15"/>
                <w:color w:val="62259D"/>
              </w:rPr>
              <w:t xml:space="preserve"> ■ </w:t>
            </w:r>
            <w:r>
              <w:rPr>
                <w:rFonts w:ascii="Arial" w:cs="Arial" w:eastAsia="Arial" w:hAnsi="Arial"/>
                <w:sz w:val="15"/>
                <w:szCs w:val="15"/>
                <w:color w:val="000000"/>
              </w:rPr>
              <w:t>Cash</w:t>
            </w:r>
          </w:p>
        </w:tc>
        <w:tc>
          <w:tcPr>
            <w:tcW w:w="2960" w:type="dxa"/>
            <w:vAlign w:val="bottom"/>
          </w:tcPr>
          <w:p>
            <w:pPr>
              <w:ind w:left="100"/>
              <w:spacing w:after="0" w:line="256" w:lineRule="exact"/>
              <w:rPr>
                <w:sz w:val="20"/>
                <w:szCs w:val="20"/>
                <w:color w:val="auto"/>
              </w:rPr>
            </w:pPr>
            <w:r>
              <w:rPr>
                <w:rFonts w:ascii="Arial" w:cs="Arial" w:eastAsia="Arial" w:hAnsi="Arial"/>
                <w:sz w:val="29"/>
                <w:szCs w:val="29"/>
                <w:color w:val="000000"/>
                <w:vertAlign w:val="superscript"/>
              </w:rPr>
              <w:t>​ ​</w:t>
            </w:r>
            <w:r>
              <w:rPr>
                <w:rFonts w:ascii="Arial" w:cs="Arial" w:eastAsia="Arial" w:hAnsi="Arial"/>
                <w:sz w:val="15"/>
                <w:szCs w:val="15"/>
                <w:color w:val="62259D"/>
              </w:rPr>
              <w:t xml:space="preserve"> ■ </w:t>
            </w:r>
            <w:r>
              <w:rPr>
                <w:rFonts w:ascii="Arial" w:cs="Arial" w:eastAsia="Arial" w:hAnsi="Arial"/>
                <w:sz w:val="15"/>
                <w:szCs w:val="15"/>
                <w:color w:val="000000"/>
              </w:rPr>
              <w:t>Provide competitive, fixed</w:t>
            </w:r>
          </w:p>
        </w:tc>
        <w:tc>
          <w:tcPr>
            <w:tcW w:w="1640" w:type="dxa"/>
            <w:vAlign w:val="bottom"/>
          </w:tcPr>
          <w:p>
            <w:pPr>
              <w:ind w:left="40"/>
              <w:spacing w:after="0" w:line="256" w:lineRule="exact"/>
              <w:rPr>
                <w:sz w:val="20"/>
                <w:szCs w:val="20"/>
                <w:color w:val="auto"/>
              </w:rPr>
            </w:pPr>
            <w:r>
              <w:rPr>
                <w:rFonts w:ascii="Arial" w:cs="Arial" w:eastAsia="Arial" w:hAnsi="Arial"/>
                <w:sz w:val="29"/>
                <w:szCs w:val="29"/>
                <w:color w:val="000000"/>
                <w:vertAlign w:val="superscript"/>
              </w:rPr>
              <w:t>​ ​</w:t>
            </w:r>
            <w:r>
              <w:rPr>
                <w:rFonts w:ascii="Arial" w:cs="Arial" w:eastAsia="Arial" w:hAnsi="Arial"/>
                <w:sz w:val="15"/>
                <w:szCs w:val="15"/>
                <w:color w:val="62259D"/>
              </w:rPr>
              <w:t xml:space="preserve"> ■ </w:t>
            </w:r>
            <w:r>
              <w:rPr>
                <w:rFonts w:ascii="Arial" w:cs="Arial" w:eastAsia="Arial" w:hAnsi="Arial"/>
                <w:sz w:val="15"/>
                <w:szCs w:val="15"/>
                <w:color w:val="000000"/>
              </w:rPr>
              <w:t>Low</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189"/>
        </w:trPr>
        <w:tc>
          <w:tcPr>
            <w:tcW w:w="10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Arial" w:cs="Arial" w:eastAsia="Arial" w:hAnsi="Arial"/>
                <w:sz w:val="15"/>
                <w:szCs w:val="15"/>
                <w:b w:val="1"/>
                <w:bCs w:val="1"/>
                <w:color w:val="auto"/>
              </w:rPr>
              <w:t>SALARIES</w:t>
            </w:r>
          </w:p>
        </w:tc>
        <w:tc>
          <w:tcPr>
            <w:tcW w:w="2220" w:type="dxa"/>
            <w:vAlign w:val="bottom"/>
          </w:tcPr>
          <w:p>
            <w:pPr>
              <w:spacing w:after="0"/>
              <w:rPr>
                <w:sz w:val="16"/>
                <w:szCs w:val="16"/>
                <w:color w:val="auto"/>
              </w:rPr>
            </w:pPr>
          </w:p>
        </w:tc>
        <w:tc>
          <w:tcPr>
            <w:tcW w:w="2960" w:type="dxa"/>
            <w:vAlign w:val="bottom"/>
          </w:tcPr>
          <w:p>
            <w:pPr>
              <w:ind w:left="480"/>
              <w:spacing w:after="0"/>
              <w:rPr>
                <w:sz w:val="20"/>
                <w:szCs w:val="20"/>
                <w:color w:val="auto"/>
              </w:rPr>
            </w:pPr>
            <w:r>
              <w:rPr>
                <w:rFonts w:ascii="Arial" w:cs="Arial" w:eastAsia="Arial" w:hAnsi="Arial"/>
                <w:sz w:val="16"/>
                <w:szCs w:val="16"/>
                <w:color w:val="auto"/>
              </w:rPr>
              <w:t>compensation to attract and</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960" w:type="dxa"/>
            <w:vAlign w:val="bottom"/>
          </w:tcPr>
          <w:p>
            <w:pPr>
              <w:ind w:left="480"/>
              <w:spacing w:after="0"/>
              <w:rPr>
                <w:sz w:val="20"/>
                <w:szCs w:val="20"/>
                <w:color w:val="auto"/>
              </w:rPr>
            </w:pPr>
            <w:r>
              <w:rPr>
                <w:rFonts w:ascii="Arial" w:cs="Arial" w:eastAsia="Arial" w:hAnsi="Arial"/>
                <w:sz w:val="16"/>
                <w:szCs w:val="16"/>
                <w:color w:val="auto"/>
              </w:rPr>
              <w:t>retain exceptional executive</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5"/>
        </w:trPr>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60" w:type="dxa"/>
            <w:vAlign w:val="bottom"/>
          </w:tcPr>
          <w:p>
            <w:pPr>
              <w:ind w:left="480"/>
              <w:spacing w:after="0"/>
              <w:rPr>
                <w:sz w:val="20"/>
                <w:szCs w:val="20"/>
                <w:color w:val="auto"/>
              </w:rPr>
            </w:pPr>
            <w:r>
              <w:rPr>
                <w:rFonts w:ascii="Arial" w:cs="Arial" w:eastAsia="Arial" w:hAnsi="Arial"/>
                <w:sz w:val="16"/>
                <w:szCs w:val="16"/>
                <w:color w:val="auto"/>
              </w:rPr>
              <w:t>talent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1320" w:type="dxa"/>
            <w:vAlign w:val="bottom"/>
            <w:gridSpan w:val="2"/>
          </w:tcPr>
          <w:p>
            <w:pPr>
              <w:spacing w:after="0"/>
              <w:rPr>
                <w:sz w:val="20"/>
                <w:szCs w:val="20"/>
                <w:color w:val="auto"/>
              </w:rPr>
            </w:pPr>
            <w:r>
              <w:rPr>
                <w:rFonts w:ascii="Arial" w:cs="Arial" w:eastAsia="Arial" w:hAnsi="Arial"/>
                <w:sz w:val="32"/>
                <w:szCs w:val="32"/>
                <w:color w:val="auto"/>
                <w:vertAlign w:val="superscript"/>
              </w:rPr>
              <w:t>​ ​</w:t>
            </w:r>
            <w:r>
              <w:rPr>
                <w:rFonts w:ascii="Arial" w:cs="Arial" w:eastAsia="Arial" w:hAnsi="Arial"/>
                <w:sz w:val="15"/>
                <w:szCs w:val="15"/>
                <w:b w:val="1"/>
                <w:bCs w:val="1"/>
                <w:color w:val="auto"/>
              </w:rPr>
              <w:t xml:space="preserve"> ANNUAL</w:t>
            </w:r>
          </w:p>
        </w:tc>
        <w:tc>
          <w:tcPr>
            <w:tcW w:w="2220" w:type="dxa"/>
            <w:vAlign w:val="bottom"/>
          </w:tcPr>
          <w:p>
            <w:pPr>
              <w:ind w:left="60"/>
              <w:spacing w:after="0"/>
              <w:rPr>
                <w:sz w:val="20"/>
                <w:szCs w:val="20"/>
                <w:color w:val="auto"/>
              </w:rPr>
            </w:pPr>
            <w:r>
              <w:rPr>
                <w:rFonts w:ascii="Arial" w:cs="Arial" w:eastAsia="Arial" w:hAnsi="Arial"/>
                <w:sz w:val="32"/>
                <w:szCs w:val="32"/>
                <w:color w:val="000000"/>
                <w:vertAlign w:val="superscript"/>
              </w:rPr>
              <w:t>​ ​</w:t>
            </w:r>
            <w:r>
              <w:rPr>
                <w:rFonts w:ascii="Arial" w:cs="Arial" w:eastAsia="Arial" w:hAnsi="Arial"/>
                <w:sz w:val="16"/>
                <w:szCs w:val="16"/>
                <w:color w:val="62259D"/>
              </w:rPr>
              <w:t xml:space="preserve"> ■ </w:t>
            </w:r>
            <w:r>
              <w:rPr>
                <w:rFonts w:ascii="Arial" w:cs="Arial" w:eastAsia="Arial" w:hAnsi="Arial"/>
                <w:sz w:val="16"/>
                <w:szCs w:val="16"/>
                <w:color w:val="000000"/>
              </w:rPr>
              <w:t>Cash</w:t>
            </w:r>
          </w:p>
        </w:tc>
        <w:tc>
          <w:tcPr>
            <w:tcW w:w="2960" w:type="dxa"/>
            <w:vAlign w:val="bottom"/>
          </w:tcPr>
          <w:p>
            <w:pPr>
              <w:ind w:left="100"/>
              <w:spacing w:after="0"/>
              <w:rPr>
                <w:sz w:val="20"/>
                <w:szCs w:val="20"/>
                <w:color w:val="auto"/>
              </w:rPr>
            </w:pPr>
            <w:r>
              <w:rPr>
                <w:rFonts w:ascii="Arial" w:cs="Arial" w:eastAsia="Arial" w:hAnsi="Arial"/>
                <w:sz w:val="32"/>
                <w:szCs w:val="32"/>
                <w:color w:val="000000"/>
                <w:vertAlign w:val="superscript"/>
              </w:rPr>
              <w:t>​ ​</w:t>
            </w:r>
            <w:r>
              <w:rPr>
                <w:rFonts w:ascii="Arial" w:cs="Arial" w:eastAsia="Arial" w:hAnsi="Arial"/>
                <w:sz w:val="16"/>
                <w:szCs w:val="16"/>
                <w:color w:val="62259D"/>
              </w:rPr>
              <w:t xml:space="preserve"> ■ </w:t>
            </w:r>
            <w:r>
              <w:rPr>
                <w:rFonts w:ascii="Arial" w:cs="Arial" w:eastAsia="Arial" w:hAnsi="Arial"/>
                <w:sz w:val="16"/>
                <w:szCs w:val="16"/>
                <w:color w:val="000000"/>
              </w:rPr>
              <w:t>Provide a direct incentive to</w:t>
            </w:r>
          </w:p>
        </w:tc>
        <w:tc>
          <w:tcPr>
            <w:tcW w:w="1640" w:type="dxa"/>
            <w:vAlign w:val="bottom"/>
          </w:tcPr>
          <w:p>
            <w:pPr>
              <w:ind w:left="40"/>
              <w:spacing w:after="0"/>
              <w:rPr>
                <w:sz w:val="20"/>
                <w:szCs w:val="20"/>
                <w:color w:val="auto"/>
              </w:rPr>
            </w:pPr>
            <w:r>
              <w:rPr>
                <w:rFonts w:ascii="Arial" w:cs="Arial" w:eastAsia="Arial" w:hAnsi="Arial"/>
                <w:sz w:val="32"/>
                <w:szCs w:val="32"/>
                <w:color w:val="000000"/>
                <w:vertAlign w:val="superscript"/>
              </w:rPr>
              <w:t>​ ​</w:t>
            </w:r>
            <w:r>
              <w:rPr>
                <w:rFonts w:ascii="Arial" w:cs="Arial" w:eastAsia="Arial" w:hAnsi="Arial"/>
                <w:sz w:val="16"/>
                <w:szCs w:val="16"/>
                <w:color w:val="62259D"/>
              </w:rPr>
              <w:t xml:space="preserve"> ■ </w:t>
            </w:r>
            <w:r>
              <w:rPr>
                <w:rFonts w:ascii="Arial" w:cs="Arial" w:eastAsia="Arial" w:hAnsi="Arial"/>
                <w:sz w:val="16"/>
                <w:szCs w:val="16"/>
                <w:color w:val="000000"/>
              </w:rPr>
              <w:t>High</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189"/>
        </w:trPr>
        <w:tc>
          <w:tcPr>
            <w:tcW w:w="10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Arial" w:cs="Arial" w:eastAsia="Arial" w:hAnsi="Arial"/>
                <w:sz w:val="15"/>
                <w:szCs w:val="15"/>
                <w:b w:val="1"/>
                <w:bCs w:val="1"/>
                <w:color w:val="auto"/>
              </w:rPr>
              <w:t>BONUS</w:t>
            </w:r>
          </w:p>
        </w:tc>
        <w:tc>
          <w:tcPr>
            <w:tcW w:w="2220" w:type="dxa"/>
            <w:vAlign w:val="bottom"/>
          </w:tcPr>
          <w:p>
            <w:pPr>
              <w:spacing w:after="0"/>
              <w:rPr>
                <w:sz w:val="16"/>
                <w:szCs w:val="16"/>
                <w:color w:val="auto"/>
              </w:rPr>
            </w:pPr>
          </w:p>
        </w:tc>
        <w:tc>
          <w:tcPr>
            <w:tcW w:w="2960" w:type="dxa"/>
            <w:vAlign w:val="bottom"/>
          </w:tcPr>
          <w:p>
            <w:pPr>
              <w:ind w:left="480"/>
              <w:spacing w:after="0"/>
              <w:rPr>
                <w:sz w:val="20"/>
                <w:szCs w:val="20"/>
                <w:color w:val="auto"/>
              </w:rPr>
            </w:pPr>
            <w:r>
              <w:rPr>
                <w:rFonts w:ascii="Arial" w:cs="Arial" w:eastAsia="Arial" w:hAnsi="Arial"/>
                <w:sz w:val="16"/>
                <w:szCs w:val="16"/>
                <w:color w:val="auto"/>
              </w:rPr>
              <w:t>achieve strong annual operating</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4"/>
        </w:trPr>
        <w:tc>
          <w:tcPr>
            <w:tcW w:w="100" w:type="dxa"/>
            <w:vAlign w:val="bottom"/>
          </w:tcPr>
          <w:p>
            <w:pPr>
              <w:spacing w:after="0"/>
              <w:rPr>
                <w:sz w:val="19"/>
                <w:szCs w:val="19"/>
                <w:color w:val="auto"/>
              </w:rPr>
            </w:pPr>
          </w:p>
        </w:tc>
        <w:tc>
          <w:tcPr>
            <w:tcW w:w="1220" w:type="dxa"/>
            <w:vAlign w:val="bottom"/>
            <w:tcBorders>
              <w:bottom w:val="single" w:sz="8" w:color="E7417A"/>
            </w:tcBorders>
          </w:tcPr>
          <w:p>
            <w:pPr>
              <w:ind w:left="100"/>
              <w:spacing w:after="0"/>
              <w:rPr>
                <w:sz w:val="20"/>
                <w:szCs w:val="20"/>
                <w:color w:val="auto"/>
              </w:rPr>
            </w:pPr>
            <w:r>
              <w:rPr>
                <w:rFonts w:ascii="Arial" w:cs="Arial" w:eastAsia="Arial" w:hAnsi="Arial"/>
                <w:sz w:val="15"/>
                <w:szCs w:val="15"/>
                <w:b w:val="1"/>
                <w:bCs w:val="1"/>
                <w:color w:val="auto"/>
              </w:rPr>
              <w:t>INCENTIVES</w:t>
            </w:r>
          </w:p>
        </w:tc>
        <w:tc>
          <w:tcPr>
            <w:tcW w:w="2220" w:type="dxa"/>
            <w:vAlign w:val="bottom"/>
            <w:tcBorders>
              <w:bottom w:val="single" w:sz="8" w:color="E7417A"/>
            </w:tcBorders>
          </w:tcPr>
          <w:p>
            <w:pPr>
              <w:spacing w:after="0"/>
              <w:rPr>
                <w:sz w:val="19"/>
                <w:szCs w:val="19"/>
                <w:color w:val="auto"/>
              </w:rPr>
            </w:pPr>
          </w:p>
        </w:tc>
        <w:tc>
          <w:tcPr>
            <w:tcW w:w="296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results</w:t>
            </w:r>
          </w:p>
        </w:tc>
        <w:tc>
          <w:tcPr>
            <w:tcW w:w="1640" w:type="dxa"/>
            <w:vAlign w:val="bottom"/>
            <w:tcBorders>
              <w:bottom w:val="single" w:sz="8" w:color="E7417A"/>
            </w:tcBorders>
          </w:tcPr>
          <w:p>
            <w:pPr>
              <w:spacing w:after="0"/>
              <w:rPr>
                <w:sz w:val="19"/>
                <w:szCs w:val="19"/>
                <w:color w:val="auto"/>
              </w:rPr>
            </w:pPr>
          </w:p>
        </w:tc>
        <w:tc>
          <w:tcPr>
            <w:tcW w:w="140" w:type="dxa"/>
            <w:vAlign w:val="bottom"/>
            <w:tcBorders>
              <w:bottom w:val="single" w:sz="8" w:color="E7417A"/>
            </w:tcBorders>
          </w:tcPr>
          <w:p>
            <w:pPr>
              <w:spacing w:after="0"/>
              <w:rPr>
                <w:sz w:val="19"/>
                <w:szCs w:val="19"/>
                <w:color w:val="auto"/>
              </w:rPr>
            </w:pPr>
          </w:p>
        </w:tc>
      </w:tr>
      <w:tr>
        <w:trPr>
          <w:trHeight w:val="228"/>
        </w:trPr>
        <w:tc>
          <w:tcPr>
            <w:tcW w:w="100" w:type="dxa"/>
            <w:vAlign w:val="bottom"/>
          </w:tcPr>
          <w:p>
            <w:pPr>
              <w:spacing w:after="0"/>
              <w:rPr>
                <w:sz w:val="19"/>
                <w:szCs w:val="19"/>
                <w:color w:val="auto"/>
              </w:rPr>
            </w:pPr>
          </w:p>
        </w:tc>
        <w:tc>
          <w:tcPr>
            <w:tcW w:w="1220" w:type="dxa"/>
            <w:vAlign w:val="bottom"/>
          </w:tcPr>
          <w:p>
            <w:pPr>
              <w:spacing w:after="0" w:line="228"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b w:val="1"/>
                <w:bCs w:val="1"/>
                <w:color w:val="auto"/>
              </w:rPr>
              <w:t xml:space="preserve"> LONG-TERM</w:t>
            </w:r>
          </w:p>
        </w:tc>
        <w:tc>
          <w:tcPr>
            <w:tcW w:w="2220" w:type="dxa"/>
            <w:vAlign w:val="bottom"/>
          </w:tcPr>
          <w:p>
            <w:pPr>
              <w:ind w:left="60"/>
              <w:spacing w:after="0" w:line="228"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color w:val="62259D"/>
              </w:rPr>
              <w:t xml:space="preserve"> ■ </w:t>
            </w:r>
            <w:r>
              <w:rPr>
                <w:rFonts w:ascii="Arial" w:cs="Arial" w:eastAsia="Arial" w:hAnsi="Arial"/>
                <w:sz w:val="14"/>
                <w:szCs w:val="14"/>
                <w:color w:val="000000"/>
              </w:rPr>
              <w:t>PSUs</w:t>
            </w:r>
          </w:p>
        </w:tc>
        <w:tc>
          <w:tcPr>
            <w:tcW w:w="2960" w:type="dxa"/>
            <w:vAlign w:val="bottom"/>
          </w:tcPr>
          <w:p>
            <w:pPr>
              <w:ind w:left="100"/>
              <w:spacing w:after="0" w:line="228"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color w:val="62259D"/>
              </w:rPr>
              <w:t xml:space="preserve"> ■ </w:t>
            </w:r>
            <w:r>
              <w:rPr>
                <w:rFonts w:ascii="Arial" w:cs="Arial" w:eastAsia="Arial" w:hAnsi="Arial"/>
                <w:sz w:val="14"/>
                <w:szCs w:val="14"/>
                <w:color w:val="000000"/>
              </w:rPr>
              <w:t>Encourage executive officers to</w:t>
            </w:r>
          </w:p>
        </w:tc>
        <w:tc>
          <w:tcPr>
            <w:tcW w:w="1640" w:type="dxa"/>
            <w:vAlign w:val="bottom"/>
          </w:tcPr>
          <w:p>
            <w:pPr>
              <w:ind w:left="40"/>
              <w:spacing w:after="0" w:line="228"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color w:val="62259D"/>
              </w:rPr>
              <w:t xml:space="preserve"> ■ </w:t>
            </w:r>
            <w:r>
              <w:rPr>
                <w:rFonts w:ascii="Arial" w:cs="Arial" w:eastAsia="Arial" w:hAnsi="Arial"/>
                <w:sz w:val="14"/>
                <w:szCs w:val="14"/>
                <w:color w:val="000000"/>
              </w:rPr>
              <w:t>High</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05"/>
        </w:trPr>
        <w:tc>
          <w:tcPr>
            <w:tcW w:w="100" w:type="dxa"/>
            <w:vAlign w:val="bottom"/>
          </w:tcPr>
          <w:p>
            <w:pPr>
              <w:spacing w:after="0"/>
              <w:rPr>
                <w:sz w:val="17"/>
                <w:szCs w:val="17"/>
                <w:color w:val="auto"/>
              </w:rPr>
            </w:pPr>
          </w:p>
        </w:tc>
        <w:tc>
          <w:tcPr>
            <w:tcW w:w="1220" w:type="dxa"/>
            <w:vAlign w:val="bottom"/>
          </w:tcPr>
          <w:p>
            <w:pPr>
              <w:ind w:left="100"/>
              <w:spacing w:after="0"/>
              <w:rPr>
                <w:sz w:val="20"/>
                <w:szCs w:val="20"/>
                <w:color w:val="auto"/>
              </w:rPr>
            </w:pPr>
            <w:r>
              <w:rPr>
                <w:rFonts w:ascii="Arial" w:cs="Arial" w:eastAsia="Arial" w:hAnsi="Arial"/>
                <w:sz w:val="15"/>
                <w:szCs w:val="15"/>
                <w:b w:val="1"/>
                <w:bCs w:val="1"/>
                <w:color w:val="auto"/>
              </w:rPr>
              <w:t>EQUITY</w:t>
            </w:r>
          </w:p>
        </w:tc>
        <w:tc>
          <w:tcPr>
            <w:tcW w:w="2220" w:type="dxa"/>
            <w:vAlign w:val="bottom"/>
          </w:tcPr>
          <w:p>
            <w:pPr>
              <w:ind w:left="28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RSUs</w:t>
            </w:r>
          </w:p>
        </w:tc>
        <w:tc>
          <w:tcPr>
            <w:tcW w:w="2960" w:type="dxa"/>
            <w:vAlign w:val="bottom"/>
          </w:tcPr>
          <w:p>
            <w:pPr>
              <w:ind w:left="480"/>
              <w:spacing w:after="0"/>
              <w:rPr>
                <w:sz w:val="20"/>
                <w:szCs w:val="20"/>
                <w:color w:val="auto"/>
              </w:rPr>
            </w:pPr>
            <w:r>
              <w:rPr>
                <w:rFonts w:ascii="Arial" w:cs="Arial" w:eastAsia="Arial" w:hAnsi="Arial"/>
                <w:sz w:val="16"/>
                <w:szCs w:val="16"/>
                <w:color w:val="auto"/>
              </w:rPr>
              <w:t>build and maintain a long-term</w:t>
            </w:r>
          </w:p>
        </w:tc>
        <w:tc>
          <w:tcPr>
            <w:tcW w:w="1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73"/>
        </w:trPr>
        <w:tc>
          <w:tcPr>
            <w:tcW w:w="10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Arial" w:cs="Arial" w:eastAsia="Arial" w:hAnsi="Arial"/>
                <w:sz w:val="15"/>
                <w:szCs w:val="15"/>
                <w:b w:val="1"/>
                <w:bCs w:val="1"/>
                <w:color w:val="auto"/>
              </w:rPr>
              <w:t>INCENTIVES</w:t>
            </w:r>
          </w:p>
        </w:tc>
        <w:tc>
          <w:tcPr>
            <w:tcW w:w="2220" w:type="dxa"/>
            <w:vAlign w:val="bottom"/>
          </w:tcPr>
          <w:p>
            <w:pPr>
              <w:spacing w:after="0"/>
              <w:rPr>
                <w:sz w:val="15"/>
                <w:szCs w:val="15"/>
                <w:color w:val="auto"/>
              </w:rPr>
            </w:pPr>
          </w:p>
        </w:tc>
        <w:tc>
          <w:tcPr>
            <w:tcW w:w="2960" w:type="dxa"/>
            <w:vAlign w:val="bottom"/>
          </w:tcPr>
          <w:p>
            <w:pPr>
              <w:ind w:left="480"/>
              <w:spacing w:after="0" w:line="173" w:lineRule="exact"/>
              <w:rPr>
                <w:sz w:val="20"/>
                <w:szCs w:val="20"/>
                <w:color w:val="auto"/>
              </w:rPr>
            </w:pPr>
            <w:r>
              <w:rPr>
                <w:rFonts w:ascii="Arial" w:cs="Arial" w:eastAsia="Arial" w:hAnsi="Arial"/>
                <w:sz w:val="16"/>
                <w:szCs w:val="16"/>
                <w:color w:val="auto"/>
              </w:rPr>
              <w:t>equity ownership position in</w:t>
            </w: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960" w:type="dxa"/>
            <w:vAlign w:val="bottom"/>
          </w:tcPr>
          <w:p>
            <w:pPr>
              <w:ind w:left="480"/>
              <w:spacing w:after="0"/>
              <w:rPr>
                <w:sz w:val="20"/>
                <w:szCs w:val="20"/>
                <w:color w:val="auto"/>
              </w:rPr>
            </w:pPr>
            <w:r>
              <w:rPr>
                <w:rFonts w:ascii="Arial" w:cs="Arial" w:eastAsia="Arial" w:hAnsi="Arial"/>
                <w:sz w:val="16"/>
                <w:szCs w:val="16"/>
                <w:color w:val="auto"/>
              </w:rPr>
              <w:t>Ribbon so that their interests are</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960" w:type="dxa"/>
            <w:vAlign w:val="bottom"/>
          </w:tcPr>
          <w:p>
            <w:pPr>
              <w:ind w:left="480"/>
              <w:spacing w:after="0"/>
              <w:rPr>
                <w:sz w:val="20"/>
                <w:szCs w:val="20"/>
                <w:color w:val="auto"/>
              </w:rPr>
            </w:pPr>
            <w:r>
              <w:rPr>
                <w:rFonts w:ascii="Arial" w:cs="Arial" w:eastAsia="Arial" w:hAnsi="Arial"/>
                <w:sz w:val="16"/>
                <w:szCs w:val="16"/>
                <w:color w:val="auto"/>
              </w:rPr>
              <w:t>aligned with those of our</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5"/>
        </w:trPr>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960" w:type="dxa"/>
            <w:vAlign w:val="bottom"/>
          </w:tcPr>
          <w:p>
            <w:pPr>
              <w:ind w:left="480"/>
              <w:spacing w:after="0"/>
              <w:rPr>
                <w:sz w:val="20"/>
                <w:szCs w:val="20"/>
                <w:color w:val="auto"/>
              </w:rPr>
            </w:pPr>
            <w:r>
              <w:rPr>
                <w:rFonts w:ascii="Arial" w:cs="Arial" w:eastAsia="Arial" w:hAnsi="Arial"/>
                <w:sz w:val="16"/>
                <w:szCs w:val="16"/>
                <w:color w:val="auto"/>
              </w:rPr>
              <w:t>stockholders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8"/>
        </w:trPr>
        <w:tc>
          <w:tcPr>
            <w:tcW w:w="1320" w:type="dxa"/>
            <w:vAlign w:val="bottom"/>
            <w:gridSpan w:val="2"/>
          </w:tcPr>
          <w:p>
            <w:pPr>
              <w:spacing w:after="0" w:line="258"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4"/>
                <w:szCs w:val="14"/>
                <w:b w:val="1"/>
                <w:bCs w:val="1"/>
                <w:color w:val="auto"/>
              </w:rPr>
              <w:t xml:space="preserve"> HEALTH,</w:t>
            </w:r>
          </w:p>
        </w:tc>
        <w:tc>
          <w:tcPr>
            <w:tcW w:w="6820" w:type="dxa"/>
            <w:vAlign w:val="bottom"/>
            <w:gridSpan w:val="3"/>
          </w:tcPr>
          <w:p>
            <w:pPr>
              <w:ind w:left="60"/>
              <w:spacing w:after="0" w:line="258" w:lineRule="exact"/>
              <w:rPr>
                <w:sz w:val="20"/>
                <w:szCs w:val="20"/>
                <w:color w:val="auto"/>
              </w:rPr>
            </w:pPr>
            <w:r>
              <w:rPr>
                <w:rFonts w:ascii="Arial" w:cs="Arial" w:eastAsia="Arial" w:hAnsi="Arial"/>
                <w:sz w:val="29"/>
                <w:szCs w:val="29"/>
                <w:color w:val="000000"/>
                <w:vertAlign w:val="superscript"/>
              </w:rPr>
              <w:t>​ ​</w:t>
            </w:r>
            <w:r>
              <w:rPr>
                <w:rFonts w:ascii="Arial" w:cs="Arial" w:eastAsia="Arial" w:hAnsi="Arial"/>
                <w:sz w:val="15"/>
                <w:szCs w:val="15"/>
                <w:color w:val="62259D"/>
              </w:rPr>
              <w:t xml:space="preserve"> ■ </w:t>
            </w:r>
            <w:r>
              <w:rPr>
                <w:rFonts w:ascii="Arial" w:cs="Arial" w:eastAsia="Arial" w:hAnsi="Arial"/>
                <w:sz w:val="15"/>
                <w:szCs w:val="15"/>
                <w:color w:val="000000"/>
              </w:rPr>
              <w:t>Eligibility to participate in</w:t>
            </w:r>
            <w:r>
              <w:rPr>
                <w:rFonts w:ascii="Arial" w:cs="Arial" w:eastAsia="Arial" w:hAnsi="Arial"/>
                <w:sz w:val="15"/>
                <w:szCs w:val="15"/>
                <w:color w:val="62259D"/>
              </w:rPr>
              <w:t xml:space="preserve"> </w:t>
            </w:r>
            <w:r>
              <w:rPr>
                <w:rFonts w:ascii="Arial" w:cs="Arial" w:eastAsia="Arial" w:hAnsi="Arial"/>
                <w:sz w:val="29"/>
                <w:szCs w:val="29"/>
                <w:color w:val="000000"/>
                <w:vertAlign w:val="superscript"/>
              </w:rPr>
              <w:t>​ ​</w:t>
            </w:r>
            <w:r>
              <w:rPr>
                <w:rFonts w:ascii="Arial" w:cs="Arial" w:eastAsia="Arial" w:hAnsi="Arial"/>
                <w:sz w:val="15"/>
                <w:szCs w:val="15"/>
                <w:color w:val="62259D"/>
              </w:rPr>
              <w:t xml:space="preserve"> ■ </w:t>
            </w:r>
            <w:r>
              <w:rPr>
                <w:rFonts w:ascii="Arial" w:cs="Arial" w:eastAsia="Arial" w:hAnsi="Arial"/>
                <w:sz w:val="15"/>
                <w:szCs w:val="15"/>
                <w:color w:val="000000"/>
              </w:rPr>
              <w:t>Benefit plans are part of a broad-</w:t>
            </w:r>
            <w:r>
              <w:rPr>
                <w:rFonts w:ascii="Arial" w:cs="Arial" w:eastAsia="Arial" w:hAnsi="Arial"/>
                <w:sz w:val="15"/>
                <w:szCs w:val="15"/>
                <w:color w:val="62259D"/>
              </w:rPr>
              <w:t xml:space="preserve"> </w:t>
            </w:r>
            <w:r>
              <w:rPr>
                <w:rFonts w:ascii="Arial" w:cs="Arial" w:eastAsia="Arial" w:hAnsi="Arial"/>
                <w:sz w:val="29"/>
                <w:szCs w:val="29"/>
                <w:color w:val="000000"/>
                <w:vertAlign w:val="superscript"/>
              </w:rPr>
              <w:t>​ ​</w:t>
            </w:r>
            <w:r>
              <w:rPr>
                <w:rFonts w:ascii="Arial" w:cs="Arial" w:eastAsia="Arial" w:hAnsi="Arial"/>
                <w:sz w:val="15"/>
                <w:szCs w:val="15"/>
                <w:color w:val="62259D"/>
              </w:rPr>
              <w:t xml:space="preserve"> ■ </w:t>
            </w:r>
            <w:r>
              <w:rPr>
                <w:rFonts w:ascii="Arial" w:cs="Arial" w:eastAsia="Arial" w:hAnsi="Arial"/>
                <w:sz w:val="15"/>
                <w:szCs w:val="15"/>
                <w:color w:val="000000"/>
              </w:rPr>
              <w:t>Low</w:t>
            </w: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189"/>
        </w:trPr>
        <w:tc>
          <w:tcPr>
            <w:tcW w:w="10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Arial" w:cs="Arial" w:eastAsia="Arial" w:hAnsi="Arial"/>
                <w:sz w:val="15"/>
                <w:szCs w:val="15"/>
                <w:b w:val="1"/>
                <w:bCs w:val="1"/>
                <w:color w:val="auto"/>
              </w:rPr>
              <w:t>RETIREMENT</w:t>
            </w:r>
          </w:p>
        </w:tc>
        <w:tc>
          <w:tcPr>
            <w:tcW w:w="2220" w:type="dxa"/>
            <w:vAlign w:val="bottom"/>
          </w:tcPr>
          <w:p>
            <w:pPr>
              <w:ind w:left="440"/>
              <w:spacing w:after="0"/>
              <w:rPr>
                <w:sz w:val="20"/>
                <w:szCs w:val="20"/>
                <w:color w:val="auto"/>
              </w:rPr>
            </w:pPr>
            <w:r>
              <w:rPr>
                <w:rFonts w:ascii="Arial" w:cs="Arial" w:eastAsia="Arial" w:hAnsi="Arial"/>
                <w:sz w:val="16"/>
                <w:szCs w:val="16"/>
                <w:color w:val="auto"/>
              </w:rPr>
              <w:t>benefit plans generally</w:t>
            </w:r>
          </w:p>
        </w:tc>
        <w:tc>
          <w:tcPr>
            <w:tcW w:w="2960" w:type="dxa"/>
            <w:vAlign w:val="bottom"/>
          </w:tcPr>
          <w:p>
            <w:pPr>
              <w:ind w:left="480"/>
              <w:spacing w:after="0"/>
              <w:rPr>
                <w:sz w:val="20"/>
                <w:szCs w:val="20"/>
                <w:color w:val="auto"/>
              </w:rPr>
            </w:pPr>
            <w:r>
              <w:rPr>
                <w:rFonts w:ascii="Arial" w:cs="Arial" w:eastAsia="Arial" w:hAnsi="Arial"/>
                <w:sz w:val="16"/>
                <w:szCs w:val="16"/>
                <w:color w:val="auto"/>
              </w:rPr>
              <w:t>based employee benefits</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1220" w:type="dxa"/>
            <w:vAlign w:val="bottom"/>
          </w:tcPr>
          <w:p>
            <w:pPr>
              <w:ind w:left="100"/>
              <w:spacing w:after="0"/>
              <w:rPr>
                <w:sz w:val="20"/>
                <w:szCs w:val="20"/>
                <w:color w:val="auto"/>
              </w:rPr>
            </w:pPr>
            <w:r>
              <w:rPr>
                <w:rFonts w:ascii="Arial" w:cs="Arial" w:eastAsia="Arial" w:hAnsi="Arial"/>
                <w:sz w:val="15"/>
                <w:szCs w:val="15"/>
                <w:b w:val="1"/>
                <w:bCs w:val="1"/>
                <w:color w:val="auto"/>
              </w:rPr>
              <w:t>AND OTHER</w:t>
            </w:r>
          </w:p>
        </w:tc>
        <w:tc>
          <w:tcPr>
            <w:tcW w:w="2220" w:type="dxa"/>
            <w:vAlign w:val="bottom"/>
          </w:tcPr>
          <w:p>
            <w:pPr>
              <w:ind w:left="440"/>
              <w:spacing w:after="0"/>
              <w:rPr>
                <w:sz w:val="20"/>
                <w:szCs w:val="20"/>
                <w:color w:val="auto"/>
              </w:rPr>
            </w:pPr>
            <w:r>
              <w:rPr>
                <w:rFonts w:ascii="Arial" w:cs="Arial" w:eastAsia="Arial" w:hAnsi="Arial"/>
                <w:sz w:val="16"/>
                <w:szCs w:val="16"/>
                <w:color w:val="auto"/>
              </w:rPr>
              <w:t>available to our</w:t>
            </w:r>
          </w:p>
        </w:tc>
        <w:tc>
          <w:tcPr>
            <w:tcW w:w="2960" w:type="dxa"/>
            <w:vAlign w:val="bottom"/>
          </w:tcPr>
          <w:p>
            <w:pPr>
              <w:ind w:left="480"/>
              <w:spacing w:after="0"/>
              <w:rPr>
                <w:sz w:val="20"/>
                <w:szCs w:val="20"/>
                <w:color w:val="auto"/>
              </w:rPr>
            </w:pPr>
            <w:r>
              <w:rPr>
                <w:rFonts w:ascii="Arial" w:cs="Arial" w:eastAsia="Arial" w:hAnsi="Arial"/>
                <w:sz w:val="16"/>
                <w:szCs w:val="16"/>
                <w:color w:val="auto"/>
              </w:rPr>
              <w:t>program</w:t>
            </w:r>
          </w:p>
        </w:tc>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10"/>
        </w:trPr>
        <w:tc>
          <w:tcPr>
            <w:tcW w:w="100" w:type="dxa"/>
            <w:vAlign w:val="bottom"/>
          </w:tcPr>
          <w:p>
            <w:pPr>
              <w:spacing w:after="0"/>
              <w:rPr>
                <w:sz w:val="9"/>
                <w:szCs w:val="9"/>
                <w:color w:val="auto"/>
              </w:rPr>
            </w:pPr>
          </w:p>
        </w:tc>
        <w:tc>
          <w:tcPr>
            <w:tcW w:w="1220" w:type="dxa"/>
            <w:vAlign w:val="bottom"/>
          </w:tcPr>
          <w:p>
            <w:pPr>
              <w:ind w:left="100"/>
              <w:spacing w:after="0" w:line="111" w:lineRule="exact"/>
              <w:rPr>
                <w:sz w:val="20"/>
                <w:szCs w:val="20"/>
                <w:color w:val="auto"/>
              </w:rPr>
            </w:pPr>
            <w:r>
              <w:rPr>
                <w:rFonts w:ascii="Arial" w:cs="Arial" w:eastAsia="Arial" w:hAnsi="Arial"/>
                <w:sz w:val="12"/>
                <w:szCs w:val="12"/>
                <w:b w:val="1"/>
                <w:bCs w:val="1"/>
                <w:color w:val="auto"/>
              </w:rPr>
              <w:t>BENEFITS</w:t>
            </w:r>
          </w:p>
        </w:tc>
        <w:tc>
          <w:tcPr>
            <w:tcW w:w="2220" w:type="dxa"/>
            <w:vAlign w:val="bottom"/>
          </w:tcPr>
          <w:p>
            <w:pPr>
              <w:ind w:left="440"/>
              <w:spacing w:after="0" w:line="111" w:lineRule="exact"/>
              <w:rPr>
                <w:sz w:val="20"/>
                <w:szCs w:val="20"/>
                <w:color w:val="auto"/>
              </w:rPr>
            </w:pPr>
            <w:r>
              <w:rPr>
                <w:rFonts w:ascii="Arial" w:cs="Arial" w:eastAsia="Arial" w:hAnsi="Arial"/>
                <w:sz w:val="12"/>
                <w:szCs w:val="12"/>
                <w:color w:val="auto"/>
              </w:rPr>
              <w:t>employees, including</w:t>
            </w:r>
          </w:p>
        </w:tc>
        <w:tc>
          <w:tcPr>
            <w:tcW w:w="29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-1663700</wp:posOffset>
            </wp:positionV>
            <wp:extent cx="5623560" cy="26403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23560" cy="264033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73"/>
        </w:trPr>
        <w:tc>
          <w:tcPr>
            <w:tcW w:w="1880" w:type="dxa"/>
            <w:vAlign w:val="bottom"/>
            <w:vMerge w:val="restart"/>
          </w:tcPr>
          <w:p>
            <w:pPr>
              <w:spacing w:after="0"/>
              <w:rPr>
                <w:sz w:val="20"/>
                <w:szCs w:val="20"/>
                <w:color w:val="auto"/>
              </w:rPr>
            </w:pPr>
            <w:r>
              <w:rPr>
                <w:rFonts w:ascii="Arial" w:cs="Arial" w:eastAsia="Arial" w:hAnsi="Arial"/>
                <w:sz w:val="16"/>
                <w:szCs w:val="16"/>
                <w:color w:val="auto"/>
              </w:rPr>
              <w:t>401(k) plan, premiums</w:t>
            </w:r>
          </w:p>
        </w:tc>
        <w:tc>
          <w:tcPr>
            <w:tcW w:w="2740" w:type="dxa"/>
            <w:vAlign w:val="bottom"/>
          </w:tcPr>
          <w:p>
            <w:pPr>
              <w:ind w:left="220"/>
              <w:spacing w:after="0" w:line="173" w:lineRule="exact"/>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Except in limited circumstances</w:t>
            </w:r>
          </w:p>
        </w:tc>
        <w:tc>
          <w:tcPr>
            <w:tcW w:w="0" w:type="dxa"/>
            <w:vAlign w:val="bottom"/>
          </w:tcPr>
          <w:p>
            <w:pPr>
              <w:spacing w:after="0"/>
              <w:rPr>
                <w:sz w:val="1"/>
                <w:szCs w:val="1"/>
                <w:color w:val="auto"/>
              </w:rPr>
            </w:pPr>
          </w:p>
        </w:tc>
      </w:tr>
      <w:tr>
        <w:trPr>
          <w:trHeight w:val="95"/>
        </w:trPr>
        <w:tc>
          <w:tcPr>
            <w:tcW w:w="1880" w:type="dxa"/>
            <w:vAlign w:val="bottom"/>
            <w:vMerge w:val="continue"/>
          </w:tcPr>
          <w:p>
            <w:pPr>
              <w:spacing w:after="0"/>
              <w:rPr>
                <w:sz w:val="8"/>
                <w:szCs w:val="8"/>
                <w:color w:val="auto"/>
              </w:rPr>
            </w:pPr>
          </w:p>
        </w:tc>
        <w:tc>
          <w:tcPr>
            <w:tcW w:w="2740" w:type="dxa"/>
            <w:vAlign w:val="bottom"/>
            <w:vMerge w:val="restart"/>
          </w:tcPr>
          <w:p>
            <w:pPr>
              <w:ind w:left="380"/>
              <w:spacing w:after="0"/>
              <w:rPr>
                <w:sz w:val="20"/>
                <w:szCs w:val="20"/>
                <w:color w:val="auto"/>
              </w:rPr>
            </w:pPr>
            <w:r>
              <w:rPr>
                <w:rFonts w:ascii="Arial" w:cs="Arial" w:eastAsia="Arial" w:hAnsi="Arial"/>
                <w:sz w:val="16"/>
                <w:szCs w:val="16"/>
                <w:color w:val="auto"/>
              </w:rPr>
              <w:t>as discussed in the footnotes of</w:t>
            </w:r>
          </w:p>
        </w:tc>
        <w:tc>
          <w:tcPr>
            <w:tcW w:w="0" w:type="dxa"/>
            <w:vAlign w:val="bottom"/>
          </w:tcPr>
          <w:p>
            <w:pPr>
              <w:spacing w:after="0"/>
              <w:rPr>
                <w:sz w:val="1"/>
                <w:szCs w:val="1"/>
                <w:color w:val="auto"/>
              </w:rPr>
            </w:pPr>
          </w:p>
        </w:tc>
      </w:tr>
      <w:tr>
        <w:trPr>
          <w:trHeight w:val="95"/>
        </w:trPr>
        <w:tc>
          <w:tcPr>
            <w:tcW w:w="1880" w:type="dxa"/>
            <w:vAlign w:val="bottom"/>
            <w:vMerge w:val="restart"/>
          </w:tcPr>
          <w:p>
            <w:pPr>
              <w:spacing w:after="0"/>
              <w:rPr>
                <w:sz w:val="20"/>
                <w:szCs w:val="20"/>
                <w:color w:val="auto"/>
              </w:rPr>
            </w:pPr>
            <w:r>
              <w:rPr>
                <w:rFonts w:ascii="Arial" w:cs="Arial" w:eastAsia="Arial" w:hAnsi="Arial"/>
                <w:sz w:val="16"/>
                <w:szCs w:val="16"/>
                <w:color w:val="auto"/>
              </w:rPr>
              <w:t>paid on long-term</w:t>
            </w:r>
          </w:p>
        </w:tc>
        <w:tc>
          <w:tcPr>
            <w:tcW w:w="2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80" w:type="dxa"/>
            <w:vAlign w:val="bottom"/>
            <w:vMerge w:val="continue"/>
          </w:tcPr>
          <w:p>
            <w:pPr>
              <w:spacing w:after="0"/>
              <w:rPr>
                <w:sz w:val="8"/>
                <w:szCs w:val="8"/>
                <w:color w:val="auto"/>
              </w:rPr>
            </w:pPr>
          </w:p>
        </w:tc>
        <w:tc>
          <w:tcPr>
            <w:tcW w:w="2740" w:type="dxa"/>
            <w:vAlign w:val="bottom"/>
            <w:vMerge w:val="restart"/>
          </w:tcPr>
          <w:p>
            <w:pPr>
              <w:ind w:left="380"/>
              <w:spacing w:after="0"/>
              <w:rPr>
                <w:sz w:val="20"/>
                <w:szCs w:val="20"/>
                <w:color w:val="auto"/>
              </w:rPr>
            </w:pPr>
            <w:r>
              <w:rPr>
                <w:rFonts w:ascii="Arial" w:cs="Arial" w:eastAsia="Arial" w:hAnsi="Arial"/>
                <w:sz w:val="16"/>
                <w:szCs w:val="16"/>
                <w:color w:val="auto"/>
              </w:rPr>
              <w:t>our Summary Compensation</w:t>
            </w:r>
          </w:p>
        </w:tc>
        <w:tc>
          <w:tcPr>
            <w:tcW w:w="0" w:type="dxa"/>
            <w:vAlign w:val="bottom"/>
          </w:tcPr>
          <w:p>
            <w:pPr>
              <w:spacing w:after="0"/>
              <w:rPr>
                <w:sz w:val="1"/>
                <w:szCs w:val="1"/>
                <w:color w:val="auto"/>
              </w:rPr>
            </w:pPr>
          </w:p>
        </w:tc>
      </w:tr>
      <w:tr>
        <w:trPr>
          <w:trHeight w:val="94"/>
        </w:trPr>
        <w:tc>
          <w:tcPr>
            <w:tcW w:w="1880" w:type="dxa"/>
            <w:vAlign w:val="bottom"/>
            <w:vMerge w:val="restart"/>
          </w:tcPr>
          <w:p>
            <w:pPr>
              <w:spacing w:after="0"/>
              <w:rPr>
                <w:sz w:val="20"/>
                <w:szCs w:val="20"/>
                <w:color w:val="auto"/>
              </w:rPr>
            </w:pPr>
            <w:r>
              <w:rPr>
                <w:rFonts w:ascii="Arial" w:cs="Arial" w:eastAsia="Arial" w:hAnsi="Arial"/>
                <w:sz w:val="16"/>
                <w:szCs w:val="16"/>
                <w:color w:val="auto"/>
              </w:rPr>
              <w:t>disability and life</w:t>
            </w:r>
          </w:p>
        </w:tc>
        <w:tc>
          <w:tcPr>
            <w:tcW w:w="2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80" w:type="dxa"/>
            <w:vAlign w:val="bottom"/>
            <w:vMerge w:val="continue"/>
          </w:tcPr>
          <w:p>
            <w:pPr>
              <w:spacing w:after="0"/>
              <w:rPr>
                <w:sz w:val="8"/>
                <w:szCs w:val="8"/>
                <w:color w:val="auto"/>
              </w:rPr>
            </w:pPr>
          </w:p>
        </w:tc>
        <w:tc>
          <w:tcPr>
            <w:tcW w:w="2740" w:type="dxa"/>
            <w:vAlign w:val="bottom"/>
            <w:vMerge w:val="restart"/>
          </w:tcPr>
          <w:p>
            <w:pPr>
              <w:ind w:left="380"/>
              <w:spacing w:after="0"/>
              <w:rPr>
                <w:sz w:val="20"/>
                <w:szCs w:val="20"/>
                <w:color w:val="auto"/>
              </w:rPr>
            </w:pPr>
            <w:r>
              <w:rPr>
                <w:rFonts w:ascii="Arial" w:cs="Arial" w:eastAsia="Arial" w:hAnsi="Arial"/>
                <w:sz w:val="16"/>
                <w:szCs w:val="16"/>
                <w:color w:val="auto"/>
              </w:rPr>
              <w:t>Table, our executives do not</w:t>
            </w:r>
          </w:p>
        </w:tc>
        <w:tc>
          <w:tcPr>
            <w:tcW w:w="0" w:type="dxa"/>
            <w:vAlign w:val="bottom"/>
          </w:tcPr>
          <w:p>
            <w:pPr>
              <w:spacing w:after="0"/>
              <w:rPr>
                <w:sz w:val="1"/>
                <w:szCs w:val="1"/>
                <w:color w:val="auto"/>
              </w:rPr>
            </w:pPr>
          </w:p>
        </w:tc>
      </w:tr>
      <w:tr>
        <w:trPr>
          <w:trHeight w:val="94"/>
        </w:trPr>
        <w:tc>
          <w:tcPr>
            <w:tcW w:w="1880" w:type="dxa"/>
            <w:vAlign w:val="bottom"/>
            <w:vMerge w:val="restart"/>
          </w:tcPr>
          <w:p>
            <w:pPr>
              <w:spacing w:after="0"/>
              <w:rPr>
                <w:sz w:val="20"/>
                <w:szCs w:val="20"/>
                <w:color w:val="auto"/>
              </w:rPr>
            </w:pPr>
            <w:r>
              <w:rPr>
                <w:rFonts w:ascii="Arial" w:cs="Arial" w:eastAsia="Arial" w:hAnsi="Arial"/>
                <w:sz w:val="16"/>
                <w:szCs w:val="16"/>
                <w:color w:val="auto"/>
              </w:rPr>
              <w:t>insurance</w:t>
            </w:r>
          </w:p>
        </w:tc>
        <w:tc>
          <w:tcPr>
            <w:tcW w:w="2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880" w:type="dxa"/>
            <w:vAlign w:val="bottom"/>
            <w:vMerge w:val="continue"/>
          </w:tcPr>
          <w:p>
            <w:pPr>
              <w:spacing w:after="0"/>
              <w:rPr>
                <w:sz w:val="10"/>
                <w:szCs w:val="10"/>
                <w:color w:val="auto"/>
              </w:rPr>
            </w:pPr>
          </w:p>
        </w:tc>
        <w:tc>
          <w:tcPr>
            <w:tcW w:w="2740" w:type="dxa"/>
            <w:vAlign w:val="bottom"/>
            <w:vMerge w:val="restart"/>
          </w:tcPr>
          <w:p>
            <w:pPr>
              <w:ind w:left="380"/>
              <w:spacing w:after="0"/>
              <w:rPr>
                <w:sz w:val="20"/>
                <w:szCs w:val="20"/>
                <w:color w:val="auto"/>
              </w:rPr>
            </w:pPr>
            <w:r>
              <w:rPr>
                <w:rFonts w:ascii="Arial" w:cs="Arial" w:eastAsia="Arial" w:hAnsi="Arial"/>
                <w:sz w:val="16"/>
                <w:szCs w:val="16"/>
                <w:color w:val="auto"/>
              </w:rPr>
              <w:t>generally receive any material</w:t>
            </w:r>
          </w:p>
        </w:tc>
        <w:tc>
          <w:tcPr>
            <w:tcW w:w="0" w:type="dxa"/>
            <w:vAlign w:val="bottom"/>
          </w:tcPr>
          <w:p>
            <w:pPr>
              <w:spacing w:after="0"/>
              <w:rPr>
                <w:sz w:val="1"/>
                <w:szCs w:val="1"/>
                <w:color w:val="auto"/>
              </w:rPr>
            </w:pPr>
          </w:p>
        </w:tc>
      </w:tr>
      <w:tr>
        <w:trPr>
          <w:trHeight w:val="69"/>
        </w:trPr>
        <w:tc>
          <w:tcPr>
            <w:tcW w:w="1880" w:type="dxa"/>
            <w:vAlign w:val="bottom"/>
          </w:tcPr>
          <w:p>
            <w:pPr>
              <w:spacing w:after="0"/>
              <w:rPr>
                <w:sz w:val="5"/>
                <w:szCs w:val="5"/>
                <w:color w:val="auto"/>
              </w:rPr>
            </w:pPr>
          </w:p>
        </w:tc>
        <w:tc>
          <w:tcPr>
            <w:tcW w:w="2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2740" w:type="dxa"/>
            <w:vAlign w:val="bottom"/>
          </w:tcPr>
          <w:p>
            <w:pPr>
              <w:ind w:left="380"/>
              <w:spacing w:after="0"/>
              <w:rPr>
                <w:sz w:val="20"/>
                <w:szCs w:val="20"/>
                <w:color w:val="auto"/>
              </w:rPr>
            </w:pPr>
            <w:r>
              <w:rPr>
                <w:rFonts w:ascii="Arial" w:cs="Arial" w:eastAsia="Arial" w:hAnsi="Arial"/>
                <w:sz w:val="16"/>
                <w:szCs w:val="16"/>
                <w:color w:val="auto"/>
              </w:rPr>
              <w:t>nonqualified deferred</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2740" w:type="dxa"/>
            <w:vAlign w:val="bottom"/>
          </w:tcPr>
          <w:p>
            <w:pPr>
              <w:ind w:left="380"/>
              <w:spacing w:after="0"/>
              <w:rPr>
                <w:sz w:val="20"/>
                <w:szCs w:val="20"/>
                <w:color w:val="auto"/>
              </w:rPr>
            </w:pPr>
            <w:r>
              <w:rPr>
                <w:rFonts w:ascii="Arial" w:cs="Arial" w:eastAsia="Arial" w:hAnsi="Arial"/>
                <w:sz w:val="16"/>
                <w:szCs w:val="16"/>
                <w:color w:val="auto"/>
              </w:rPr>
              <w:t>compensation plans or</w:t>
            </w:r>
          </w:p>
        </w:tc>
        <w:tc>
          <w:tcPr>
            <w:tcW w:w="0" w:type="dxa"/>
            <w:vAlign w:val="bottom"/>
          </w:tcPr>
          <w:p>
            <w:pPr>
              <w:spacing w:after="0"/>
              <w:rPr>
                <w:sz w:val="1"/>
                <w:szCs w:val="1"/>
                <w:color w:val="auto"/>
              </w:rPr>
            </w:pPr>
          </w:p>
        </w:tc>
      </w:tr>
      <w:tr>
        <w:trPr>
          <w:trHeight w:val="215"/>
        </w:trPr>
        <w:tc>
          <w:tcPr>
            <w:tcW w:w="1880" w:type="dxa"/>
            <w:vAlign w:val="bottom"/>
          </w:tcPr>
          <w:p>
            <w:pPr>
              <w:spacing w:after="0"/>
              <w:rPr>
                <w:sz w:val="18"/>
                <w:szCs w:val="18"/>
                <w:color w:val="auto"/>
              </w:rPr>
            </w:pPr>
          </w:p>
        </w:tc>
        <w:tc>
          <w:tcPr>
            <w:tcW w:w="2740" w:type="dxa"/>
            <w:vAlign w:val="bottom"/>
          </w:tcPr>
          <w:p>
            <w:pPr>
              <w:ind w:left="380"/>
              <w:spacing w:after="0"/>
              <w:rPr>
                <w:sz w:val="20"/>
                <w:szCs w:val="20"/>
                <w:color w:val="auto"/>
              </w:rPr>
            </w:pPr>
            <w:r>
              <w:rPr>
                <w:rFonts w:ascii="Arial" w:cs="Arial" w:eastAsia="Arial" w:hAnsi="Arial"/>
                <w:sz w:val="16"/>
                <w:szCs w:val="16"/>
                <w:color w:val="auto"/>
              </w:rPr>
              <w:t>perquisites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9525</wp:posOffset>
            </wp:positionV>
            <wp:extent cx="56235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20" w:space="180"/>
            <w:col w:w="8379"/>
          </w:cols>
          <w:pgMar w:left="580" w:top="97" w:right="1440" w:bottom="1440" w:gutter="0" w:footer="0" w:header="0"/>
          <w:type w:val="continuous"/>
        </w:sectPr>
      </w:pPr>
    </w:p>
    <w:p>
      <w:pPr>
        <w:spacing w:after="0" w:line="13"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158115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How Target Levels of Compensation Are Determined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determining the amount of compensation to pay our NEOs, the Compensation Committee considers</w:t>
      </w:r>
    </w:p>
    <w:p>
      <w:pPr>
        <w:spacing w:after="0" w:line="14" w:lineRule="exact"/>
        <w:rPr>
          <w:sz w:val="20"/>
          <w:szCs w:val="20"/>
          <w:color w:val="auto"/>
        </w:rPr>
      </w:pPr>
    </w:p>
    <w:p>
      <w:pPr>
        <w:ind w:left="920" w:right="459"/>
        <w:spacing w:after="0" w:line="226" w:lineRule="auto"/>
        <w:rPr>
          <w:sz w:val="20"/>
          <w:szCs w:val="20"/>
          <w:color w:val="auto"/>
        </w:rPr>
      </w:pPr>
      <w:r>
        <w:rPr>
          <w:rFonts w:ascii="Arial" w:cs="Arial" w:eastAsia="Arial" w:hAnsi="Arial"/>
          <w:sz w:val="18"/>
          <w:szCs w:val="18"/>
          <w:color w:val="auto"/>
        </w:rPr>
        <w:t>factors such as the executive officer’s role within the Company and the level of responsibility, skills and experiences required by the position, the executive officer’s qualifications, our ability to replace such</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individual and the overall competitive environment for executive talent.</w:t>
      </w:r>
    </w:p>
    <w:p>
      <w:pPr>
        <w:spacing w:after="0" w:line="99" w:lineRule="exact"/>
        <w:rPr>
          <w:sz w:val="20"/>
          <w:szCs w:val="20"/>
          <w:color w:val="auto"/>
        </w:rPr>
      </w:pPr>
    </w:p>
    <w:p>
      <w:pPr>
        <w:ind w:left="920" w:right="259"/>
        <w:spacing w:after="0" w:line="237" w:lineRule="auto"/>
        <w:rPr>
          <w:sz w:val="20"/>
          <w:szCs w:val="20"/>
          <w:color w:val="auto"/>
        </w:rPr>
      </w:pPr>
      <w:r>
        <w:rPr>
          <w:rFonts w:ascii="Arial" w:cs="Arial" w:eastAsia="Arial" w:hAnsi="Arial"/>
          <w:sz w:val="18"/>
          <w:szCs w:val="18"/>
          <w:color w:val="auto"/>
        </w:rPr>
        <w:t>The Compensation Committee also considers the Company’s performance, the executive’s performance, the Compensation Committee’s view of internal equity and consistency and other considerations it deems</w:t>
      </w:r>
    </w:p>
    <w:p>
      <w:pPr>
        <w:ind w:left="920"/>
        <w:spacing w:after="0" w:line="235" w:lineRule="auto"/>
        <w:rPr>
          <w:sz w:val="20"/>
          <w:szCs w:val="20"/>
          <w:color w:val="auto"/>
        </w:rPr>
      </w:pPr>
      <w:r>
        <w:rPr>
          <w:rFonts w:ascii="Arial" w:cs="Arial" w:eastAsia="Arial" w:hAnsi="Arial"/>
          <w:sz w:val="18"/>
          <w:szCs w:val="18"/>
          <w:color w:val="auto"/>
        </w:rPr>
        <w:t>relevant. In analyzing these factors, the Compensation Committee reviews competitive compensation data</w:t>
      </w:r>
    </w:p>
    <w:p>
      <w:pPr>
        <w:spacing w:after="0" w:line="1" w:lineRule="exact"/>
        <w:rPr>
          <w:sz w:val="20"/>
          <w:szCs w:val="20"/>
          <w:color w:val="auto"/>
        </w:rPr>
      </w:pPr>
    </w:p>
    <w:p>
      <w:pPr>
        <w:ind w:left="920" w:right="99"/>
        <w:spacing w:after="0" w:line="226" w:lineRule="auto"/>
        <w:rPr>
          <w:sz w:val="20"/>
          <w:szCs w:val="20"/>
          <w:color w:val="auto"/>
        </w:rPr>
      </w:pPr>
      <w:r>
        <w:rPr>
          <w:rFonts w:ascii="Arial" w:cs="Arial" w:eastAsia="Arial" w:hAnsi="Arial"/>
          <w:sz w:val="18"/>
          <w:szCs w:val="18"/>
          <w:color w:val="auto"/>
        </w:rPr>
        <w:t>gathered in comparative surveys and SEC filings. The Compensation Committee does not have a policy for allocating target compensation among the various elements in any particular ratio, but generally attempts</w:t>
      </w:r>
    </w:p>
    <w:p>
      <w:pPr>
        <w:ind w:left="920"/>
        <w:spacing w:after="0" w:line="236" w:lineRule="auto"/>
        <w:rPr>
          <w:sz w:val="20"/>
          <w:szCs w:val="20"/>
          <w:color w:val="auto"/>
        </w:rPr>
      </w:pPr>
      <w:r>
        <w:rPr>
          <w:rFonts w:ascii="Arial" w:cs="Arial" w:eastAsia="Arial" w:hAnsi="Arial"/>
          <w:sz w:val="18"/>
          <w:szCs w:val="18"/>
          <w:color w:val="auto"/>
        </w:rPr>
        <w:t>to provide an allocation similar to that used by other companies with whom the Company competes for</w:t>
      </w:r>
    </w:p>
    <w:p>
      <w:pPr>
        <w:spacing w:after="0" w:line="1" w:lineRule="exact"/>
        <w:rPr>
          <w:sz w:val="20"/>
          <w:szCs w:val="20"/>
          <w:color w:val="auto"/>
        </w:rPr>
      </w:pPr>
    </w:p>
    <w:p>
      <w:pPr>
        <w:ind w:left="920" w:right="99"/>
        <w:spacing w:after="0" w:line="226" w:lineRule="auto"/>
        <w:rPr>
          <w:sz w:val="20"/>
          <w:szCs w:val="20"/>
          <w:color w:val="auto"/>
        </w:rPr>
      </w:pPr>
      <w:r>
        <w:rPr>
          <w:rFonts w:ascii="Arial" w:cs="Arial" w:eastAsia="Arial" w:hAnsi="Arial"/>
          <w:sz w:val="18"/>
          <w:szCs w:val="18"/>
          <w:color w:val="auto"/>
        </w:rPr>
        <w:t>executive talent using the peer data provided by our compensation consultant. Of the elements of total direct compensation, only base salary is fixed compensation, while cash bonuses and equity-based awards</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are both variable compensation and contingent on the Company’s financial or stock performance.</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2026 Compensation</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established targets for individual components and overall executive compensation are designed to be</w:t>
      </w:r>
    </w:p>
    <w:p>
      <w:pPr>
        <w:spacing w:after="0" w:line="14" w:lineRule="exact"/>
        <w:rPr>
          <w:sz w:val="20"/>
          <w:szCs w:val="20"/>
          <w:color w:val="auto"/>
        </w:rPr>
      </w:pPr>
    </w:p>
    <w:p>
      <w:pPr>
        <w:ind w:left="920" w:right="199"/>
        <w:spacing w:after="0" w:line="226" w:lineRule="auto"/>
        <w:rPr>
          <w:sz w:val="20"/>
          <w:szCs w:val="20"/>
          <w:color w:val="auto"/>
        </w:rPr>
      </w:pPr>
      <w:r>
        <w:rPr>
          <w:rFonts w:ascii="Arial" w:cs="Arial" w:eastAsia="Arial" w:hAnsi="Arial"/>
          <w:sz w:val="18"/>
          <w:szCs w:val="18"/>
          <w:color w:val="auto"/>
        </w:rPr>
        <w:t>market competitive in order to attract, motivate and retain the executives necessary to drive and achieve the Company’s objectives. In some cases, individual components may be positioned higher or lower in the</w:t>
      </w:r>
    </w:p>
    <w:p>
      <w:pPr>
        <w:spacing w:after="0" w:line="2" w:lineRule="exact"/>
        <w:rPr>
          <w:sz w:val="20"/>
          <w:szCs w:val="20"/>
          <w:color w:val="auto"/>
        </w:rPr>
      </w:pPr>
    </w:p>
    <w:p>
      <w:pPr>
        <w:ind w:left="920" w:right="439"/>
        <w:spacing w:after="0" w:line="226" w:lineRule="auto"/>
        <w:rPr>
          <w:sz w:val="20"/>
          <w:szCs w:val="20"/>
          <w:color w:val="auto"/>
        </w:rPr>
      </w:pPr>
      <w:r>
        <w:rPr>
          <w:rFonts w:ascii="Arial" w:cs="Arial" w:eastAsia="Arial" w:hAnsi="Arial"/>
          <w:sz w:val="18"/>
          <w:szCs w:val="18"/>
          <w:color w:val="auto"/>
        </w:rPr>
        <w:t>market range in order to emphasize a particular element or if individual circumstances dictate. The Compensation Committee believes that the overall compensation program serves to balance the mix of</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cash and equity compensation with the mix of short- and long- term compensation for our NEOs.</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Base Salary</w:t>
      </w:r>
    </w:p>
    <w:p>
      <w:pPr>
        <w:spacing w:after="0" w:line="121" w:lineRule="exact"/>
        <w:rPr>
          <w:sz w:val="20"/>
          <w:szCs w:val="20"/>
          <w:color w:val="auto"/>
        </w:rPr>
      </w:pPr>
    </w:p>
    <w:p>
      <w:pPr>
        <w:ind w:left="920" w:right="339"/>
        <w:spacing w:after="0" w:line="237" w:lineRule="auto"/>
        <w:rPr>
          <w:sz w:val="20"/>
          <w:szCs w:val="20"/>
          <w:color w:val="auto"/>
        </w:rPr>
      </w:pPr>
      <w:r>
        <w:rPr>
          <w:rFonts w:ascii="Arial" w:cs="Arial" w:eastAsia="Arial" w:hAnsi="Arial"/>
          <w:sz w:val="18"/>
          <w:szCs w:val="18"/>
          <w:color w:val="auto"/>
        </w:rPr>
        <w:t>Base salaries are designed to reflect the scope of responsibilities, performance and competencies of the individual executives, and the relation of that position to other positions in the Company and the external</w:t>
      </w:r>
    </w:p>
    <w:p>
      <w:pPr>
        <w:spacing w:after="0" w:line="1" w:lineRule="exact"/>
        <w:rPr>
          <w:sz w:val="20"/>
          <w:szCs w:val="20"/>
          <w:color w:val="auto"/>
        </w:rPr>
      </w:pPr>
    </w:p>
    <w:p>
      <w:pPr>
        <w:ind w:left="920" w:right="119"/>
        <w:spacing w:after="0" w:line="250" w:lineRule="auto"/>
        <w:rPr>
          <w:sz w:val="20"/>
          <w:szCs w:val="20"/>
          <w:color w:val="auto"/>
        </w:rPr>
      </w:pPr>
      <w:r>
        <w:rPr>
          <w:rFonts w:ascii="Arial" w:cs="Arial" w:eastAsia="Arial" w:hAnsi="Arial"/>
          <w:sz w:val="18"/>
          <w:szCs w:val="18"/>
          <w:color w:val="auto"/>
        </w:rPr>
        <w:t>benchmark data for similar positions at peer companies. Each NEO’s salary and performance are reviewed annually as well as at the time of a promotion or other change in responsibilities.</w:t>
      </w:r>
    </w:p>
    <w:p>
      <w:pPr>
        <w:spacing w:after="0" w:line="137" w:lineRule="exact"/>
        <w:rPr>
          <w:sz w:val="20"/>
          <w:szCs w:val="20"/>
          <w:color w:val="auto"/>
        </w:rPr>
      </w:pPr>
    </w:p>
    <w:tbl>
      <w:tblPr>
        <w:tblLayout w:type="fixed"/>
        <w:tblInd w:w="2000" w:type="dxa"/>
        <w:tblCellMar>
          <w:top w:w="0" w:type="dxa"/>
          <w:left w:w="0" w:type="dxa"/>
          <w:bottom w:w="0" w:type="dxa"/>
          <w:right w:w="0" w:type="dxa"/>
        </w:tblCellMar>
      </w:tblPr>
      <w:tr>
        <w:trPr>
          <w:trHeight w:val="215"/>
        </w:trPr>
        <w:tc>
          <w:tcPr>
            <w:tcW w:w="60" w:type="dxa"/>
            <w:vAlign w:val="bottom"/>
            <w:shd w:val="clear" w:color="auto" w:fill="62259D"/>
          </w:tcPr>
          <w:p>
            <w:pPr>
              <w:spacing w:after="0"/>
              <w:rPr>
                <w:sz w:val="18"/>
                <w:szCs w:val="18"/>
                <w:color w:val="auto"/>
              </w:rPr>
            </w:pPr>
          </w:p>
        </w:tc>
        <w:tc>
          <w:tcPr>
            <w:tcW w:w="40" w:type="dxa"/>
            <w:vAlign w:val="bottom"/>
            <w:shd w:val="clear" w:color="auto" w:fill="62259D"/>
          </w:tcPr>
          <w:p>
            <w:pPr>
              <w:spacing w:after="0"/>
              <w:rPr>
                <w:sz w:val="18"/>
                <w:szCs w:val="18"/>
                <w:color w:val="auto"/>
              </w:rPr>
            </w:pPr>
          </w:p>
        </w:tc>
        <w:tc>
          <w:tcPr>
            <w:tcW w:w="4240" w:type="dxa"/>
            <w:vAlign w:val="bottom"/>
            <w:shd w:val="clear" w:color="auto" w:fill="62259D"/>
          </w:tcPr>
          <w:p>
            <w:pPr>
              <w:spacing w:after="0"/>
              <w:rPr>
                <w:sz w:val="18"/>
                <w:szCs w:val="18"/>
                <w:color w:val="auto"/>
              </w:rPr>
            </w:pPr>
          </w:p>
        </w:tc>
        <w:tc>
          <w:tcPr>
            <w:tcW w:w="220" w:type="dxa"/>
            <w:vAlign w:val="bottom"/>
            <w:shd w:val="clear" w:color="auto" w:fill="62259D"/>
          </w:tcPr>
          <w:p>
            <w:pPr>
              <w:spacing w:after="0"/>
              <w:rPr>
                <w:sz w:val="18"/>
                <w:szCs w:val="18"/>
                <w:color w:val="auto"/>
              </w:rPr>
            </w:pPr>
          </w:p>
        </w:tc>
        <w:tc>
          <w:tcPr>
            <w:tcW w:w="1720" w:type="dxa"/>
            <w:vAlign w:val="bottom"/>
            <w:gridSpan w:val="6"/>
            <w:shd w:val="clear" w:color="auto" w:fill="62259D"/>
          </w:tcPr>
          <w:p>
            <w:pPr>
              <w:spacing w:after="0"/>
              <w:rPr>
                <w:sz w:val="20"/>
                <w:szCs w:val="20"/>
                <w:color w:val="auto"/>
              </w:rPr>
            </w:pPr>
            <w:r>
              <w:rPr>
                <w:rFonts w:ascii="Arial" w:cs="Arial" w:eastAsia="Arial" w:hAnsi="Arial"/>
                <w:sz w:val="16"/>
                <w:szCs w:val="16"/>
                <w:b w:val="1"/>
                <w:bCs w:val="1"/>
                <w:color w:val="FEFEFE"/>
              </w:rPr>
              <w:t>Annual Base Salary</w:t>
            </w:r>
          </w:p>
        </w:tc>
        <w:tc>
          <w:tcPr>
            <w:tcW w:w="160" w:type="dxa"/>
            <w:vAlign w:val="bottom"/>
            <w:shd w:val="clear" w:color="auto" w:fill="62259D"/>
          </w:tcPr>
          <w:p>
            <w:pPr>
              <w:spacing w:after="0"/>
              <w:rPr>
                <w:sz w:val="18"/>
                <w:szCs w:val="18"/>
                <w:color w:val="auto"/>
              </w:rPr>
            </w:pPr>
          </w:p>
        </w:tc>
        <w:tc>
          <w:tcPr>
            <w:tcW w:w="260" w:type="dxa"/>
            <w:vAlign w:val="bottom"/>
            <w:shd w:val="clear" w:color="auto" w:fill="62259D"/>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 w:type="dxa"/>
            <w:vAlign w:val="bottom"/>
            <w:gridSpan w:val="2"/>
            <w:shd w:val="clear" w:color="auto" w:fill="62259D"/>
          </w:tcPr>
          <w:p>
            <w:pPr>
              <w:spacing w:after="0"/>
              <w:rPr>
                <w:sz w:val="20"/>
                <w:szCs w:val="20"/>
                <w:color w:val="auto"/>
              </w:rPr>
            </w:pPr>
            <w:r>
              <w:rPr>
                <w:rFonts w:ascii="Arial" w:cs="Arial" w:eastAsia="Arial" w:hAnsi="Arial"/>
                <w:sz w:val="16"/>
                <w:szCs w:val="16"/>
                <w:b w:val="1"/>
                <w:bCs w:val="1"/>
                <w:color w:val="FEFEFE"/>
              </w:rPr>
              <w:t>​</w:t>
            </w:r>
          </w:p>
        </w:tc>
        <w:tc>
          <w:tcPr>
            <w:tcW w:w="424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w:t>
            </w:r>
          </w:p>
        </w:tc>
        <w:tc>
          <w:tcPr>
            <w:tcW w:w="220" w:type="dxa"/>
            <w:vAlign w:val="bottom"/>
            <w:shd w:val="clear" w:color="auto" w:fill="62259D"/>
          </w:tcPr>
          <w:p>
            <w:pPr>
              <w:ind w:left="20"/>
              <w:spacing w:after="0"/>
              <w:rPr>
                <w:sz w:val="20"/>
                <w:szCs w:val="20"/>
                <w:color w:val="auto"/>
              </w:rPr>
            </w:pPr>
            <w:r>
              <w:rPr>
                <w:rFonts w:ascii="Arial" w:cs="Arial" w:eastAsia="Arial" w:hAnsi="Arial"/>
                <w:sz w:val="16"/>
                <w:szCs w:val="16"/>
                <w:b w:val="1"/>
                <w:bCs w:val="1"/>
                <w:color w:val="FEFEFE"/>
              </w:rPr>
              <w:t>​ ​</w:t>
            </w:r>
          </w:p>
        </w:tc>
        <w:tc>
          <w:tcPr>
            <w:tcW w:w="100" w:type="dxa"/>
            <w:vAlign w:val="bottom"/>
            <w:shd w:val="clear" w:color="auto" w:fill="62259D"/>
          </w:tcPr>
          <w:p>
            <w:pPr>
              <w:spacing w:after="0"/>
              <w:rPr>
                <w:sz w:val="20"/>
                <w:szCs w:val="20"/>
                <w:color w:val="auto"/>
              </w:rPr>
            </w:pPr>
          </w:p>
        </w:tc>
        <w:tc>
          <w:tcPr>
            <w:tcW w:w="640" w:type="dxa"/>
            <w:vAlign w:val="bottom"/>
            <w:shd w:val="clear" w:color="auto" w:fill="62259D"/>
          </w:tcPr>
          <w:p>
            <w:pPr>
              <w:spacing w:after="0"/>
              <w:rPr>
                <w:sz w:val="20"/>
                <w:szCs w:val="20"/>
                <w:color w:val="auto"/>
              </w:rPr>
            </w:pPr>
          </w:p>
        </w:tc>
        <w:tc>
          <w:tcPr>
            <w:tcW w:w="28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w:t>
            </w:r>
          </w:p>
        </w:tc>
        <w:tc>
          <w:tcPr>
            <w:tcW w:w="100" w:type="dxa"/>
            <w:vAlign w:val="bottom"/>
            <w:shd w:val="clear" w:color="auto" w:fill="62259D"/>
          </w:tcPr>
          <w:p>
            <w:pPr>
              <w:spacing w:after="0"/>
              <w:rPr>
                <w:sz w:val="20"/>
                <w:szCs w:val="20"/>
                <w:color w:val="auto"/>
              </w:rPr>
            </w:pPr>
          </w:p>
        </w:tc>
        <w:tc>
          <w:tcPr>
            <w:tcW w:w="600" w:type="dxa"/>
            <w:vAlign w:val="bottom"/>
            <w:shd w:val="clear" w:color="auto" w:fill="62259D"/>
          </w:tcPr>
          <w:p>
            <w:pPr>
              <w:spacing w:after="0"/>
              <w:rPr>
                <w:sz w:val="20"/>
                <w:szCs w:val="20"/>
                <w:color w:val="auto"/>
              </w:rPr>
            </w:pPr>
          </w:p>
        </w:tc>
        <w:tc>
          <w:tcPr>
            <w:tcW w:w="160" w:type="dxa"/>
            <w:vAlign w:val="bottom"/>
            <w:shd w:val="clear" w:color="auto" w:fill="62259D"/>
          </w:tcPr>
          <w:p>
            <w:pPr>
              <w:jc w:val="right"/>
              <w:ind w:right="63"/>
              <w:spacing w:after="0"/>
              <w:rPr>
                <w:sz w:val="20"/>
                <w:szCs w:val="20"/>
                <w:color w:val="auto"/>
              </w:rPr>
            </w:pPr>
            <w:r>
              <w:rPr>
                <w:rFonts w:ascii="Arial" w:cs="Arial" w:eastAsia="Arial" w:hAnsi="Arial"/>
                <w:sz w:val="16"/>
                <w:szCs w:val="16"/>
                <w:b w:val="1"/>
                <w:bCs w:val="1"/>
                <w:color w:val="FEFEFE"/>
              </w:rPr>
              <w:t>​</w:t>
            </w:r>
          </w:p>
        </w:tc>
        <w:tc>
          <w:tcPr>
            <w:tcW w:w="260" w:type="dxa"/>
            <w:vAlign w:val="bottom"/>
            <w:shd w:val="clear" w:color="auto" w:fill="62259D"/>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60" w:type="dxa"/>
            <w:vAlign w:val="bottom"/>
            <w:shd w:val="clear" w:color="auto" w:fill="62259D"/>
          </w:tcPr>
          <w:p>
            <w:pPr>
              <w:spacing w:after="0"/>
              <w:rPr>
                <w:sz w:val="22"/>
                <w:szCs w:val="22"/>
                <w:color w:val="auto"/>
              </w:rPr>
            </w:pPr>
          </w:p>
        </w:tc>
        <w:tc>
          <w:tcPr>
            <w:tcW w:w="4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w:t>
            </w:r>
          </w:p>
        </w:tc>
        <w:tc>
          <w:tcPr>
            <w:tcW w:w="424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Named Executive Officer</w:t>
            </w:r>
          </w:p>
        </w:tc>
        <w:tc>
          <w:tcPr>
            <w:tcW w:w="22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 ​</w:t>
            </w:r>
          </w:p>
        </w:tc>
        <w:tc>
          <w:tcPr>
            <w:tcW w:w="100" w:type="dxa"/>
            <w:vAlign w:val="bottom"/>
            <w:shd w:val="clear" w:color="auto" w:fill="62259D"/>
          </w:tcPr>
          <w:p>
            <w:pPr>
              <w:spacing w:after="0"/>
              <w:rPr>
                <w:sz w:val="22"/>
                <w:szCs w:val="22"/>
                <w:color w:val="auto"/>
              </w:rPr>
            </w:pPr>
          </w:p>
        </w:tc>
        <w:tc>
          <w:tcPr>
            <w:tcW w:w="640" w:type="dxa"/>
            <w:vAlign w:val="bottom"/>
            <w:shd w:val="clear" w:color="auto" w:fill="62259D"/>
          </w:tcPr>
          <w:p>
            <w:pPr>
              <w:jc w:val="right"/>
              <w:ind w:right="154"/>
              <w:spacing w:after="0"/>
              <w:rPr>
                <w:sz w:val="20"/>
                <w:szCs w:val="20"/>
                <w:color w:val="auto"/>
              </w:rPr>
            </w:pPr>
            <w:r>
              <w:rPr>
                <w:rFonts w:ascii="Arial" w:cs="Arial" w:eastAsia="Arial" w:hAnsi="Arial"/>
                <w:sz w:val="16"/>
                <w:szCs w:val="16"/>
                <w:b w:val="1"/>
                <w:bCs w:val="1"/>
                <w:color w:val="FEFEFE"/>
              </w:rPr>
              <w:t>2025</w:t>
            </w:r>
          </w:p>
        </w:tc>
        <w:tc>
          <w:tcPr>
            <w:tcW w:w="280" w:type="dxa"/>
            <w:vAlign w:val="bottom"/>
            <w:gridSpan w:val="2"/>
            <w:shd w:val="clear" w:color="auto" w:fill="62259D"/>
          </w:tcPr>
          <w:p>
            <w:pPr>
              <w:jc w:val="center"/>
              <w:spacing w:after="0"/>
              <w:rPr>
                <w:sz w:val="20"/>
                <w:szCs w:val="20"/>
                <w:color w:val="auto"/>
              </w:rPr>
            </w:pPr>
            <w:r>
              <w:rPr>
                <w:rFonts w:ascii="Arial" w:cs="Arial" w:eastAsia="Arial" w:hAnsi="Arial"/>
                <w:sz w:val="16"/>
                <w:szCs w:val="16"/>
                <w:b w:val="1"/>
                <w:bCs w:val="1"/>
                <w:color w:val="FEFEFE"/>
              </w:rPr>
              <w:t>​  ​</w:t>
            </w:r>
          </w:p>
        </w:tc>
        <w:tc>
          <w:tcPr>
            <w:tcW w:w="100" w:type="dxa"/>
            <w:vAlign w:val="bottom"/>
            <w:shd w:val="clear" w:color="auto" w:fill="62259D"/>
          </w:tcPr>
          <w:p>
            <w:pPr>
              <w:spacing w:after="0"/>
              <w:rPr>
                <w:sz w:val="22"/>
                <w:szCs w:val="22"/>
                <w:color w:val="auto"/>
              </w:rPr>
            </w:pPr>
          </w:p>
        </w:tc>
        <w:tc>
          <w:tcPr>
            <w:tcW w:w="600" w:type="dxa"/>
            <w:vAlign w:val="bottom"/>
            <w:shd w:val="clear" w:color="auto" w:fill="62259D"/>
          </w:tcPr>
          <w:p>
            <w:pPr>
              <w:jc w:val="right"/>
              <w:ind w:right="82"/>
              <w:spacing w:after="0"/>
              <w:rPr>
                <w:sz w:val="20"/>
                <w:szCs w:val="20"/>
                <w:color w:val="auto"/>
              </w:rPr>
            </w:pPr>
            <w:r>
              <w:rPr>
                <w:rFonts w:ascii="Arial" w:cs="Arial" w:eastAsia="Arial" w:hAnsi="Arial"/>
                <w:sz w:val="16"/>
                <w:szCs w:val="16"/>
                <w:b w:val="1"/>
                <w:bCs w:val="1"/>
                <w:color w:val="FEFEFE"/>
              </w:rPr>
              <w:t>2024</w:t>
            </w:r>
          </w:p>
        </w:tc>
        <w:tc>
          <w:tcPr>
            <w:tcW w:w="160" w:type="dxa"/>
            <w:vAlign w:val="bottom"/>
            <w:shd w:val="clear" w:color="auto" w:fill="62259D"/>
          </w:tcPr>
          <w:p>
            <w:pPr>
              <w:spacing w:after="0"/>
              <w:rPr>
                <w:sz w:val="22"/>
                <w:szCs w:val="22"/>
                <w:color w:val="auto"/>
              </w:rPr>
            </w:pPr>
          </w:p>
        </w:tc>
        <w:tc>
          <w:tcPr>
            <w:tcW w:w="26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57"/>
        </w:trPr>
        <w:tc>
          <w:tcPr>
            <w:tcW w:w="4340" w:type="dxa"/>
            <w:vAlign w:val="bottom"/>
            <w:tcBorders>
              <w:bottom w:val="single" w:sz="8" w:color="E7417A"/>
            </w:tcBorders>
            <w:gridSpan w:val="3"/>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Bruce McClelland</w:t>
            </w:r>
          </w:p>
        </w:tc>
        <w:tc>
          <w:tcPr>
            <w:tcW w:w="960" w:type="dxa"/>
            <w:vAlign w:val="bottom"/>
            <w:tcBorders>
              <w:bottom w:val="single" w:sz="8" w:color="E7417A"/>
            </w:tcBorders>
            <w:gridSpan w:val="3"/>
          </w:tcPr>
          <w:p>
            <w:pPr>
              <w:ind w:left="20"/>
              <w:spacing w:after="0" w:line="256" w:lineRule="exact"/>
              <w:rPr>
                <w:sz w:val="20"/>
                <w:szCs w:val="20"/>
                <w:color w:val="auto"/>
              </w:rPr>
            </w:pPr>
            <w:r>
              <w:rPr>
                <w:rFonts w:ascii="Arial" w:cs="Arial" w:eastAsia="Arial" w:hAnsi="Arial"/>
                <w:sz w:val="29"/>
                <w:szCs w:val="29"/>
                <w:color w:val="auto"/>
                <w:vertAlign w:val="subscript"/>
              </w:rPr>
              <w:t>​ ​ ​</w:t>
            </w:r>
            <w:r>
              <w:rPr>
                <w:rFonts w:ascii="Arial" w:cs="Arial" w:eastAsia="Arial" w:hAnsi="Arial"/>
                <w:sz w:val="15"/>
                <w:szCs w:val="15"/>
                <w:color w:val="auto"/>
              </w:rPr>
              <w:t>​ 750,000</w:t>
            </w:r>
            <w:r>
              <w:rPr>
                <w:rFonts w:ascii="Arial" w:cs="Arial" w:eastAsia="Arial" w:hAnsi="Arial"/>
                <w:sz w:val="29"/>
                <w:szCs w:val="29"/>
                <w:color w:val="auto"/>
                <w:vertAlign w:val="subscript"/>
              </w:rPr>
              <w:t>​</w:t>
            </w:r>
          </w:p>
        </w:tc>
        <w:tc>
          <w:tcPr>
            <w:tcW w:w="100" w:type="dxa"/>
            <w:vAlign w:val="bottom"/>
            <w:tcBorders>
              <w:bottom w:val="single" w:sz="8" w:color="E7417A"/>
            </w:tcBorders>
          </w:tcPr>
          <w:p>
            <w:pPr>
              <w:spacing w:after="0"/>
              <w:rPr>
                <w:sz w:val="22"/>
                <w:szCs w:val="22"/>
                <w:color w:val="auto"/>
              </w:rPr>
            </w:pPr>
          </w:p>
        </w:tc>
        <w:tc>
          <w:tcPr>
            <w:tcW w:w="180" w:type="dxa"/>
            <w:vAlign w:val="bottom"/>
            <w:tcBorders>
              <w:bottom w:val="single" w:sz="8" w:color="E7417A"/>
            </w:tcBorders>
          </w:tcPr>
          <w:p>
            <w:pPr>
              <w:jc w:val="center"/>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w:t>
            </w:r>
          </w:p>
        </w:tc>
        <w:tc>
          <w:tcPr>
            <w:tcW w:w="760" w:type="dxa"/>
            <w:vAlign w:val="bottom"/>
            <w:tcBorders>
              <w:bottom w:val="single" w:sz="8" w:color="E7417A"/>
            </w:tcBorders>
            <w:gridSpan w:val="2"/>
          </w:tcPr>
          <w:p>
            <w:pPr>
              <w:jc w:val="right"/>
              <w:ind w:right="63"/>
              <w:spacing w:after="0" w:line="256" w:lineRule="exact"/>
              <w:rPr>
                <w:sz w:val="20"/>
                <w:szCs w:val="20"/>
                <w:color w:val="auto"/>
              </w:rPr>
            </w:pPr>
            <w:r>
              <w:rPr>
                <w:rFonts w:ascii="Arial" w:cs="Arial" w:eastAsia="Arial" w:hAnsi="Arial"/>
                <w:sz w:val="15"/>
                <w:szCs w:val="15"/>
                <w:color w:val="auto"/>
              </w:rPr>
              <w:t>750,000</w:t>
            </w:r>
            <w:r>
              <w:rPr>
                <w:rFonts w:ascii="Arial" w:cs="Arial" w:eastAsia="Arial" w:hAnsi="Arial"/>
                <w:sz w:val="29"/>
                <w:szCs w:val="29"/>
                <w:color w:val="auto"/>
                <w:vertAlign w:val="subscript"/>
              </w:rPr>
              <w:t>​</w:t>
            </w:r>
          </w:p>
        </w:tc>
        <w:tc>
          <w:tcPr>
            <w:tcW w:w="260" w:type="dxa"/>
            <w:vAlign w:val="bottom"/>
            <w:tcBorders>
              <w:bottom w:val="single" w:sz="8" w:color="E7417A"/>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E7417A"/>
            </w:tcBorders>
            <w:gridSpan w:val="3"/>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John Townsend</w:t>
            </w:r>
          </w:p>
        </w:tc>
        <w:tc>
          <w:tcPr>
            <w:tcW w:w="960" w:type="dxa"/>
            <w:vAlign w:val="bottom"/>
            <w:tcBorders>
              <w:bottom w:val="single" w:sz="8" w:color="E7417A"/>
            </w:tcBorders>
            <w:gridSpan w:val="3"/>
          </w:tcPr>
          <w:p>
            <w:pPr>
              <w:ind w:left="20"/>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 500,000</w:t>
            </w:r>
            <w:r>
              <w:rPr>
                <w:rFonts w:ascii="Arial" w:cs="Arial" w:eastAsia="Arial" w:hAnsi="Arial"/>
                <w:sz w:val="28"/>
                <w:szCs w:val="28"/>
                <w:color w:val="auto"/>
                <w:vertAlign w:val="subscript"/>
              </w:rPr>
              <w:t>​</w:t>
            </w:r>
          </w:p>
        </w:tc>
        <w:tc>
          <w:tcPr>
            <w:tcW w:w="100" w:type="dxa"/>
            <w:vAlign w:val="bottom"/>
            <w:tcBorders>
              <w:bottom w:val="single" w:sz="8" w:color="E7417A"/>
            </w:tcBorders>
          </w:tcPr>
          <w:p>
            <w:pPr>
              <w:spacing w:after="0"/>
              <w:rPr>
                <w:sz w:val="21"/>
                <w:szCs w:val="21"/>
                <w:color w:val="auto"/>
              </w:rPr>
            </w:pPr>
          </w:p>
        </w:tc>
        <w:tc>
          <w:tcPr>
            <w:tcW w:w="180" w:type="dxa"/>
            <w:vAlign w:val="bottom"/>
            <w:tcBorders>
              <w:bottom w:val="single" w:sz="8" w:color="E7417A"/>
            </w:tcBorders>
          </w:tcPr>
          <w:p>
            <w:pPr>
              <w:jc w:val="center"/>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760" w:type="dxa"/>
            <w:vAlign w:val="bottom"/>
            <w:tcBorders>
              <w:bottom w:val="single" w:sz="8" w:color="E7417A"/>
            </w:tcBorders>
            <w:gridSpan w:val="2"/>
          </w:tcPr>
          <w:p>
            <w:pPr>
              <w:jc w:val="right"/>
              <w:ind w:right="63"/>
              <w:spacing w:after="0" w:line="250" w:lineRule="exact"/>
              <w:rPr>
                <w:sz w:val="20"/>
                <w:szCs w:val="20"/>
                <w:color w:val="auto"/>
              </w:rPr>
            </w:pPr>
            <w:r>
              <w:rPr>
                <w:rFonts w:ascii="Arial" w:cs="Arial" w:eastAsia="Arial" w:hAnsi="Arial"/>
                <w:sz w:val="15"/>
                <w:szCs w:val="15"/>
                <w:color w:val="auto"/>
              </w:rPr>
              <w:t>500,000</w:t>
            </w:r>
            <w:r>
              <w:rPr>
                <w:rFonts w:ascii="Arial" w:cs="Arial" w:eastAsia="Arial" w:hAnsi="Arial"/>
                <w:sz w:val="28"/>
                <w:szCs w:val="28"/>
                <w:color w:val="auto"/>
                <w:vertAlign w:val="subscript"/>
              </w:rPr>
              <w:t>​</w:t>
            </w:r>
          </w:p>
        </w:tc>
        <w:tc>
          <w:tcPr>
            <w:tcW w:w="260" w:type="dxa"/>
            <w:vAlign w:val="bottom"/>
            <w:tcBorders>
              <w:bottom w:val="single" w:sz="8" w:color="E7417A"/>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240" w:type="dxa"/>
            <w:vAlign w:val="bottom"/>
          </w:tcPr>
          <w:p>
            <w:pPr>
              <w:spacing w:after="0" w:line="183" w:lineRule="exact"/>
              <w:rPr>
                <w:sz w:val="20"/>
                <w:szCs w:val="20"/>
                <w:color w:val="auto"/>
              </w:rPr>
            </w:pPr>
            <w:r>
              <w:rPr>
                <w:rFonts w:ascii="Arial" w:cs="Arial" w:eastAsia="Arial" w:hAnsi="Arial"/>
                <w:sz w:val="16"/>
                <w:szCs w:val="16"/>
                <w:color w:val="auto"/>
              </w:rPr>
              <w:t>Sam Bucci</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84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 493,117</w:t>
            </w:r>
            <w:r>
              <w:rPr>
                <w:rFonts w:ascii="Arial" w:cs="Arial" w:eastAsia="Arial" w:hAnsi="Arial"/>
                <w:sz w:val="19"/>
                <w:szCs w:val="19"/>
                <w:color w:val="auto"/>
                <w:vertAlign w:val="superscript"/>
              </w:rPr>
              <w:t>(1)</w:t>
            </w:r>
          </w:p>
        </w:tc>
        <w:tc>
          <w:tcPr>
            <w:tcW w:w="18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line="183" w:lineRule="exact"/>
              <w:rPr>
                <w:sz w:val="20"/>
                <w:szCs w:val="20"/>
                <w:color w:val="auto"/>
              </w:rPr>
            </w:pPr>
            <w:r>
              <w:rPr>
                <w:rFonts w:ascii="Arial" w:cs="Arial" w:eastAsia="Arial" w:hAnsi="Arial"/>
                <w:sz w:val="16"/>
                <w:szCs w:val="16"/>
                <w:color w:val="auto"/>
                <w:w w:val="95"/>
              </w:rPr>
              <w:t>458,850</w:t>
            </w:r>
            <w:r>
              <w:rPr>
                <w:rFonts w:ascii="Arial" w:cs="Arial" w:eastAsia="Arial" w:hAnsi="Arial"/>
                <w:sz w:val="19"/>
                <w:szCs w:val="19"/>
                <w:color w:val="auto"/>
                <w:w w:val="95"/>
                <w:vertAlign w:val="superscript"/>
              </w:rPr>
              <w:t>(1)</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E7417A"/>
            </w:tcBorders>
            <w:vMerge w:val="continue"/>
          </w:tcPr>
          <w:p>
            <w:pPr>
              <w:spacing w:after="0"/>
              <w:rPr>
                <w:sz w:val="5"/>
                <w:szCs w:val="5"/>
                <w:color w:val="auto"/>
              </w:rPr>
            </w:pPr>
          </w:p>
        </w:tc>
        <w:tc>
          <w:tcPr>
            <w:tcW w:w="40" w:type="dxa"/>
            <w:vAlign w:val="bottom"/>
            <w:tcBorders>
              <w:bottom w:val="single" w:sz="8" w:color="E7417A"/>
            </w:tcBorders>
          </w:tcPr>
          <w:p>
            <w:pPr>
              <w:spacing w:after="0"/>
              <w:rPr>
                <w:sz w:val="5"/>
                <w:szCs w:val="5"/>
                <w:color w:val="auto"/>
              </w:rPr>
            </w:pPr>
          </w:p>
        </w:tc>
        <w:tc>
          <w:tcPr>
            <w:tcW w:w="4240" w:type="dxa"/>
            <w:vAlign w:val="bottom"/>
            <w:tcBorders>
              <w:bottom w:val="single" w:sz="8" w:color="E7417A"/>
            </w:tcBorders>
          </w:tcPr>
          <w:p>
            <w:pPr>
              <w:spacing w:after="0"/>
              <w:rPr>
                <w:sz w:val="5"/>
                <w:szCs w:val="5"/>
                <w:color w:val="auto"/>
              </w:rPr>
            </w:pPr>
          </w:p>
        </w:tc>
        <w:tc>
          <w:tcPr>
            <w:tcW w:w="220" w:type="dxa"/>
            <w:vAlign w:val="bottom"/>
            <w:tcBorders>
              <w:bottom w:val="single" w:sz="8" w:color="E7417A"/>
            </w:tcBorders>
            <w:vMerge w:val="continue"/>
          </w:tcPr>
          <w:p>
            <w:pPr>
              <w:spacing w:after="0"/>
              <w:rPr>
                <w:sz w:val="5"/>
                <w:szCs w:val="5"/>
                <w:color w:val="auto"/>
              </w:rPr>
            </w:pPr>
          </w:p>
        </w:tc>
        <w:tc>
          <w:tcPr>
            <w:tcW w:w="100" w:type="dxa"/>
            <w:vAlign w:val="bottom"/>
            <w:tcBorders>
              <w:bottom w:val="single" w:sz="8" w:color="E7417A"/>
            </w:tcBorders>
          </w:tcPr>
          <w:p>
            <w:pPr>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E7417A"/>
            </w:tcBorders>
          </w:tcPr>
          <w:p>
            <w:pPr>
              <w:ind w:left="58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E7417A"/>
            </w:tcBorders>
          </w:tcPr>
          <w:p>
            <w:pPr>
              <w:spacing w:after="0"/>
              <w:rPr>
                <w:sz w:val="5"/>
                <w:szCs w:val="5"/>
                <w:color w:val="auto"/>
              </w:rPr>
            </w:pPr>
          </w:p>
        </w:tc>
        <w:tc>
          <w:tcPr>
            <w:tcW w:w="180" w:type="dxa"/>
            <w:vAlign w:val="bottom"/>
            <w:tcBorders>
              <w:bottom w:val="single" w:sz="8" w:color="E7417A"/>
            </w:tcBorders>
            <w:vMerge w:val="continue"/>
          </w:tcPr>
          <w:p>
            <w:pPr>
              <w:spacing w:after="0"/>
              <w:rPr>
                <w:sz w:val="5"/>
                <w:szCs w:val="5"/>
                <w:color w:val="auto"/>
              </w:rPr>
            </w:pPr>
          </w:p>
        </w:tc>
        <w:tc>
          <w:tcPr>
            <w:tcW w:w="100" w:type="dxa"/>
            <w:vAlign w:val="bottom"/>
            <w:tcBorders>
              <w:bottom w:val="single" w:sz="8" w:color="E7417A"/>
            </w:tcBorders>
          </w:tcPr>
          <w:p>
            <w:pPr>
              <w:jc w:val="right"/>
              <w:spacing w:after="0" w:line="68" w:lineRule="exact"/>
              <w:rPr>
                <w:sz w:val="20"/>
                <w:szCs w:val="20"/>
                <w:color w:val="auto"/>
              </w:rPr>
            </w:pPr>
            <w:r>
              <w:rPr>
                <w:rFonts w:ascii="Arial" w:cs="Arial" w:eastAsia="Arial" w:hAnsi="Arial"/>
                <w:sz w:val="7"/>
                <w:szCs w:val="7"/>
                <w:color w:val="auto"/>
              </w:rPr>
              <w:t>​</w:t>
            </w:r>
          </w:p>
        </w:tc>
        <w:tc>
          <w:tcPr>
            <w:tcW w:w="600" w:type="dxa"/>
            <w:vAlign w:val="bottom"/>
            <w:tcBorders>
              <w:bottom w:val="single" w:sz="8" w:color="E7417A"/>
            </w:tcBorders>
          </w:tcPr>
          <w:p>
            <w:pPr>
              <w:spacing w:after="0"/>
              <w:rPr>
                <w:sz w:val="5"/>
                <w:szCs w:val="5"/>
                <w:color w:val="auto"/>
              </w:rPr>
            </w:pPr>
          </w:p>
        </w:tc>
        <w:tc>
          <w:tcPr>
            <w:tcW w:w="160" w:type="dxa"/>
            <w:vAlign w:val="bottom"/>
            <w:tcBorders>
              <w:bottom w:val="single" w:sz="8" w:color="E7417A"/>
            </w:tcBorders>
          </w:tcPr>
          <w:p>
            <w:pPr>
              <w:jc w:val="right"/>
              <w:ind w:right="63"/>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E7417A"/>
            </w:tcBorders>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E7417A"/>
            </w:tcBorders>
            <w:gridSpan w:val="3"/>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Patrick Macken</w:t>
            </w:r>
          </w:p>
        </w:tc>
        <w:tc>
          <w:tcPr>
            <w:tcW w:w="960" w:type="dxa"/>
            <w:vAlign w:val="bottom"/>
            <w:tcBorders>
              <w:bottom w:val="single" w:sz="8" w:color="E7417A"/>
            </w:tcBorders>
            <w:gridSpan w:val="3"/>
          </w:tcPr>
          <w:p>
            <w:pPr>
              <w:ind w:left="20"/>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 478,500</w:t>
            </w:r>
            <w:r>
              <w:rPr>
                <w:rFonts w:ascii="Arial" w:cs="Arial" w:eastAsia="Arial" w:hAnsi="Arial"/>
                <w:sz w:val="28"/>
                <w:szCs w:val="28"/>
                <w:color w:val="auto"/>
                <w:vertAlign w:val="subscript"/>
              </w:rPr>
              <w:t>​</w:t>
            </w:r>
          </w:p>
        </w:tc>
        <w:tc>
          <w:tcPr>
            <w:tcW w:w="100" w:type="dxa"/>
            <w:vAlign w:val="bottom"/>
            <w:tcBorders>
              <w:bottom w:val="single" w:sz="8" w:color="E7417A"/>
            </w:tcBorders>
          </w:tcPr>
          <w:p>
            <w:pPr>
              <w:spacing w:after="0"/>
              <w:rPr>
                <w:sz w:val="21"/>
                <w:szCs w:val="21"/>
                <w:color w:val="auto"/>
              </w:rPr>
            </w:pPr>
          </w:p>
        </w:tc>
        <w:tc>
          <w:tcPr>
            <w:tcW w:w="180" w:type="dxa"/>
            <w:vAlign w:val="bottom"/>
            <w:tcBorders>
              <w:bottom w:val="single" w:sz="8" w:color="E7417A"/>
            </w:tcBorders>
          </w:tcPr>
          <w:p>
            <w:pPr>
              <w:jc w:val="center"/>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7417A"/>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760" w:type="dxa"/>
            <w:vAlign w:val="bottom"/>
            <w:tcBorders>
              <w:bottom w:val="single" w:sz="8" w:color="E7417A"/>
            </w:tcBorders>
            <w:gridSpan w:val="2"/>
          </w:tcPr>
          <w:p>
            <w:pPr>
              <w:jc w:val="right"/>
              <w:ind w:right="63"/>
              <w:spacing w:after="0" w:line="250" w:lineRule="exact"/>
              <w:rPr>
                <w:sz w:val="20"/>
                <w:szCs w:val="20"/>
                <w:color w:val="auto"/>
              </w:rPr>
            </w:pPr>
            <w:r>
              <w:rPr>
                <w:rFonts w:ascii="Arial" w:cs="Arial" w:eastAsia="Arial" w:hAnsi="Arial"/>
                <w:sz w:val="15"/>
                <w:szCs w:val="15"/>
                <w:color w:val="auto"/>
              </w:rPr>
              <w:t>478,500</w:t>
            </w:r>
            <w:r>
              <w:rPr>
                <w:rFonts w:ascii="Arial" w:cs="Arial" w:eastAsia="Arial" w:hAnsi="Arial"/>
                <w:sz w:val="28"/>
                <w:szCs w:val="28"/>
                <w:color w:val="auto"/>
                <w:vertAlign w:val="subscript"/>
              </w:rPr>
              <w:t>​</w:t>
            </w:r>
          </w:p>
        </w:tc>
        <w:tc>
          <w:tcPr>
            <w:tcW w:w="260" w:type="dxa"/>
            <w:vAlign w:val="bottom"/>
            <w:tcBorders>
              <w:bottom w:val="single" w:sz="8" w:color="E7417A"/>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240" w:type="dxa"/>
            <w:vAlign w:val="bottom"/>
          </w:tcPr>
          <w:p>
            <w:pPr>
              <w:spacing w:after="0" w:line="183" w:lineRule="exact"/>
              <w:rPr>
                <w:sz w:val="20"/>
                <w:szCs w:val="20"/>
                <w:color w:val="auto"/>
              </w:rPr>
            </w:pPr>
            <w:r>
              <w:rPr>
                <w:rFonts w:ascii="Arial" w:cs="Arial" w:eastAsia="Arial" w:hAnsi="Arial"/>
                <w:sz w:val="16"/>
                <w:szCs w:val="16"/>
                <w:color w:val="auto"/>
              </w:rPr>
              <w:t>Steve McCaffery</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84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 105,876</w:t>
            </w:r>
            <w:r>
              <w:rPr>
                <w:rFonts w:ascii="Arial" w:cs="Arial" w:eastAsia="Arial" w:hAnsi="Arial"/>
                <w:sz w:val="19"/>
                <w:szCs w:val="19"/>
                <w:color w:val="auto"/>
                <w:vertAlign w:val="superscript"/>
              </w:rPr>
              <w:t>(2)</w:t>
            </w:r>
          </w:p>
        </w:tc>
        <w:tc>
          <w:tcPr>
            <w:tcW w:w="18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60" w:type="dxa"/>
            <w:vAlign w:val="bottom"/>
            <w:vMerge w:val="restart"/>
          </w:tcPr>
          <w:p>
            <w:pPr>
              <w:jc w:val="right"/>
              <w:ind w:right="63"/>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E7417A"/>
            </w:tcBorders>
            <w:vMerge w:val="continue"/>
          </w:tcPr>
          <w:p>
            <w:pPr>
              <w:spacing w:after="0"/>
              <w:rPr>
                <w:sz w:val="5"/>
                <w:szCs w:val="5"/>
                <w:color w:val="auto"/>
              </w:rPr>
            </w:pPr>
          </w:p>
        </w:tc>
        <w:tc>
          <w:tcPr>
            <w:tcW w:w="40" w:type="dxa"/>
            <w:vAlign w:val="bottom"/>
            <w:tcBorders>
              <w:bottom w:val="single" w:sz="8" w:color="E7417A"/>
            </w:tcBorders>
          </w:tcPr>
          <w:p>
            <w:pPr>
              <w:spacing w:after="0"/>
              <w:rPr>
                <w:sz w:val="5"/>
                <w:szCs w:val="5"/>
                <w:color w:val="auto"/>
              </w:rPr>
            </w:pPr>
          </w:p>
        </w:tc>
        <w:tc>
          <w:tcPr>
            <w:tcW w:w="4240" w:type="dxa"/>
            <w:vAlign w:val="bottom"/>
            <w:tcBorders>
              <w:bottom w:val="single" w:sz="8" w:color="E7417A"/>
            </w:tcBorders>
          </w:tcPr>
          <w:p>
            <w:pPr>
              <w:spacing w:after="0"/>
              <w:rPr>
                <w:sz w:val="5"/>
                <w:szCs w:val="5"/>
                <w:color w:val="auto"/>
              </w:rPr>
            </w:pPr>
          </w:p>
        </w:tc>
        <w:tc>
          <w:tcPr>
            <w:tcW w:w="220" w:type="dxa"/>
            <w:vAlign w:val="bottom"/>
            <w:tcBorders>
              <w:bottom w:val="single" w:sz="8" w:color="E7417A"/>
            </w:tcBorders>
            <w:vMerge w:val="continue"/>
          </w:tcPr>
          <w:p>
            <w:pPr>
              <w:spacing w:after="0"/>
              <w:rPr>
                <w:sz w:val="5"/>
                <w:szCs w:val="5"/>
                <w:color w:val="auto"/>
              </w:rPr>
            </w:pPr>
          </w:p>
        </w:tc>
        <w:tc>
          <w:tcPr>
            <w:tcW w:w="100" w:type="dxa"/>
            <w:vAlign w:val="bottom"/>
            <w:tcBorders>
              <w:bottom w:val="single" w:sz="8" w:color="E7417A"/>
            </w:tcBorders>
          </w:tcPr>
          <w:p>
            <w:pPr>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E7417A"/>
            </w:tcBorders>
          </w:tcPr>
          <w:p>
            <w:pPr>
              <w:ind w:left="580"/>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E7417A"/>
            </w:tcBorders>
          </w:tcPr>
          <w:p>
            <w:pPr>
              <w:spacing w:after="0"/>
              <w:rPr>
                <w:sz w:val="5"/>
                <w:szCs w:val="5"/>
                <w:color w:val="auto"/>
              </w:rPr>
            </w:pPr>
          </w:p>
        </w:tc>
        <w:tc>
          <w:tcPr>
            <w:tcW w:w="180" w:type="dxa"/>
            <w:vAlign w:val="bottom"/>
            <w:tcBorders>
              <w:bottom w:val="single" w:sz="8" w:color="E7417A"/>
            </w:tcBorders>
            <w:vMerge w:val="continue"/>
          </w:tcPr>
          <w:p>
            <w:pPr>
              <w:spacing w:after="0"/>
              <w:rPr>
                <w:sz w:val="5"/>
                <w:szCs w:val="5"/>
                <w:color w:val="auto"/>
              </w:rPr>
            </w:pPr>
          </w:p>
        </w:tc>
        <w:tc>
          <w:tcPr>
            <w:tcW w:w="100" w:type="dxa"/>
            <w:vAlign w:val="bottom"/>
            <w:tcBorders>
              <w:bottom w:val="single" w:sz="8" w:color="E7417A"/>
            </w:tcBorders>
          </w:tcPr>
          <w:p>
            <w:pPr>
              <w:jc w:val="right"/>
              <w:spacing w:after="0" w:line="68" w:lineRule="exact"/>
              <w:rPr>
                <w:sz w:val="20"/>
                <w:szCs w:val="20"/>
                <w:color w:val="auto"/>
              </w:rPr>
            </w:pPr>
            <w:r>
              <w:rPr>
                <w:rFonts w:ascii="Arial" w:cs="Arial" w:eastAsia="Arial" w:hAnsi="Arial"/>
                <w:sz w:val="7"/>
                <w:szCs w:val="7"/>
                <w:color w:val="auto"/>
              </w:rPr>
              <w:t>​</w:t>
            </w:r>
          </w:p>
        </w:tc>
        <w:tc>
          <w:tcPr>
            <w:tcW w:w="600" w:type="dxa"/>
            <w:vAlign w:val="bottom"/>
            <w:tcBorders>
              <w:bottom w:val="single" w:sz="8" w:color="E7417A"/>
            </w:tcBorders>
          </w:tcPr>
          <w:p>
            <w:pPr>
              <w:spacing w:after="0"/>
              <w:rPr>
                <w:sz w:val="5"/>
                <w:szCs w:val="5"/>
                <w:color w:val="auto"/>
              </w:rPr>
            </w:pPr>
          </w:p>
        </w:tc>
        <w:tc>
          <w:tcPr>
            <w:tcW w:w="160" w:type="dxa"/>
            <w:vAlign w:val="bottom"/>
            <w:tcBorders>
              <w:bottom w:val="single" w:sz="8" w:color="E7417A"/>
            </w:tcBorders>
            <w:vMerge w:val="continue"/>
          </w:tcPr>
          <w:p>
            <w:pPr>
              <w:spacing w:after="0"/>
              <w:rPr>
                <w:sz w:val="5"/>
                <w:szCs w:val="5"/>
                <w:color w:val="auto"/>
              </w:rPr>
            </w:pPr>
          </w:p>
        </w:tc>
        <w:tc>
          <w:tcPr>
            <w:tcW w:w="260" w:type="dxa"/>
            <w:vAlign w:val="bottom"/>
            <w:tcBorders>
              <w:bottom w:val="single" w:sz="8" w:color="E7417A"/>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240" w:type="dxa"/>
            <w:vAlign w:val="bottom"/>
          </w:tcPr>
          <w:p>
            <w:pPr>
              <w:spacing w:after="0" w:line="183" w:lineRule="exact"/>
              <w:rPr>
                <w:sz w:val="20"/>
                <w:szCs w:val="20"/>
                <w:color w:val="auto"/>
              </w:rPr>
            </w:pPr>
            <w:r>
              <w:rPr>
                <w:rFonts w:ascii="Arial" w:cs="Arial" w:eastAsia="Arial" w:hAnsi="Arial"/>
                <w:sz w:val="16"/>
                <w:szCs w:val="16"/>
                <w:color w:val="auto"/>
              </w:rPr>
              <w:t>Dan Redington</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84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 342,346</w:t>
            </w:r>
            <w:r>
              <w:rPr>
                <w:rFonts w:ascii="Arial" w:cs="Arial" w:eastAsia="Arial" w:hAnsi="Arial"/>
                <w:sz w:val="19"/>
                <w:szCs w:val="19"/>
                <w:color w:val="auto"/>
                <w:vertAlign w:val="superscript"/>
              </w:rPr>
              <w:t>(3)</w:t>
            </w:r>
          </w:p>
        </w:tc>
        <w:tc>
          <w:tcPr>
            <w:tcW w:w="180" w:type="dxa"/>
            <w:vAlign w:val="bottom"/>
            <w:vMerge w:val="restart"/>
          </w:tcPr>
          <w:p>
            <w:pPr>
              <w:jc w:val="center"/>
              <w:ind w:right="19"/>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gridSpan w:val="2"/>
          </w:tcPr>
          <w:p>
            <w:pPr>
              <w:jc w:val="right"/>
              <w:spacing w:after="0" w:line="183" w:lineRule="exact"/>
              <w:rPr>
                <w:sz w:val="20"/>
                <w:szCs w:val="20"/>
                <w:color w:val="auto"/>
              </w:rPr>
            </w:pPr>
            <w:r>
              <w:rPr>
                <w:rFonts w:ascii="Arial" w:cs="Arial" w:eastAsia="Arial" w:hAnsi="Arial"/>
                <w:sz w:val="16"/>
                <w:szCs w:val="16"/>
                <w:color w:val="auto"/>
                <w:w w:val="95"/>
              </w:rPr>
              <w:t>525,000</w:t>
            </w:r>
            <w:r>
              <w:rPr>
                <w:rFonts w:ascii="Arial" w:cs="Arial" w:eastAsia="Arial" w:hAnsi="Arial"/>
                <w:sz w:val="19"/>
                <w:szCs w:val="19"/>
                <w:color w:val="auto"/>
                <w:w w:val="95"/>
                <w:vertAlign w:val="superscript"/>
              </w:rPr>
              <w:t>(3)</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60" w:type="dxa"/>
            <w:vAlign w:val="bottom"/>
            <w:tcBorders>
              <w:bottom w:val="single" w:sz="8" w:color="62259D"/>
            </w:tcBorders>
            <w:vMerge w:val="continue"/>
          </w:tcPr>
          <w:p>
            <w:pPr>
              <w:spacing w:after="0"/>
              <w:rPr>
                <w:sz w:val="4"/>
                <w:szCs w:val="4"/>
                <w:color w:val="auto"/>
              </w:rPr>
            </w:pPr>
          </w:p>
        </w:tc>
        <w:tc>
          <w:tcPr>
            <w:tcW w:w="40" w:type="dxa"/>
            <w:vAlign w:val="bottom"/>
            <w:tcBorders>
              <w:bottom w:val="single" w:sz="8" w:color="62259D"/>
            </w:tcBorders>
          </w:tcPr>
          <w:p>
            <w:pPr>
              <w:spacing w:after="0"/>
              <w:rPr>
                <w:sz w:val="4"/>
                <w:szCs w:val="4"/>
                <w:color w:val="auto"/>
              </w:rPr>
            </w:pPr>
          </w:p>
        </w:tc>
        <w:tc>
          <w:tcPr>
            <w:tcW w:w="4240" w:type="dxa"/>
            <w:vAlign w:val="bottom"/>
            <w:tcBorders>
              <w:bottom w:val="single" w:sz="8" w:color="62259D"/>
            </w:tcBorders>
          </w:tcPr>
          <w:p>
            <w:pPr>
              <w:spacing w:after="0"/>
              <w:rPr>
                <w:sz w:val="4"/>
                <w:szCs w:val="4"/>
                <w:color w:val="auto"/>
              </w:rPr>
            </w:pPr>
          </w:p>
        </w:tc>
        <w:tc>
          <w:tcPr>
            <w:tcW w:w="220" w:type="dxa"/>
            <w:vAlign w:val="bottom"/>
            <w:tcBorders>
              <w:bottom w:val="single" w:sz="8" w:color="62259D"/>
            </w:tcBorders>
            <w:vMerge w:val="continue"/>
          </w:tcPr>
          <w:p>
            <w:pPr>
              <w:spacing w:after="0"/>
              <w:rPr>
                <w:sz w:val="4"/>
                <w:szCs w:val="4"/>
                <w:color w:val="auto"/>
              </w:rPr>
            </w:pPr>
          </w:p>
        </w:tc>
        <w:tc>
          <w:tcPr>
            <w:tcW w:w="100" w:type="dxa"/>
            <w:vAlign w:val="bottom"/>
            <w:tcBorders>
              <w:bottom w:val="single" w:sz="8" w:color="62259D"/>
            </w:tcBorders>
          </w:tcPr>
          <w:p>
            <w:pPr>
              <w:spacing w:after="0" w:line="54" w:lineRule="exact"/>
              <w:rPr>
                <w:sz w:val="20"/>
                <w:szCs w:val="20"/>
                <w:color w:val="auto"/>
              </w:rPr>
            </w:pPr>
            <w:r>
              <w:rPr>
                <w:rFonts w:ascii="Arial" w:cs="Arial" w:eastAsia="Arial" w:hAnsi="Arial"/>
                <w:sz w:val="6"/>
                <w:szCs w:val="6"/>
                <w:color w:val="auto"/>
              </w:rPr>
              <w:t>​</w:t>
            </w:r>
          </w:p>
        </w:tc>
        <w:tc>
          <w:tcPr>
            <w:tcW w:w="640" w:type="dxa"/>
            <w:vAlign w:val="bottom"/>
            <w:tcBorders>
              <w:bottom w:val="single" w:sz="8" w:color="62259D"/>
            </w:tcBorders>
          </w:tcPr>
          <w:p>
            <w:pPr>
              <w:ind w:left="58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bottom w:val="single" w:sz="8" w:color="62259D"/>
            </w:tcBorders>
          </w:tcPr>
          <w:p>
            <w:pPr>
              <w:spacing w:after="0"/>
              <w:rPr>
                <w:sz w:val="4"/>
                <w:szCs w:val="4"/>
                <w:color w:val="auto"/>
              </w:rPr>
            </w:pPr>
          </w:p>
        </w:tc>
        <w:tc>
          <w:tcPr>
            <w:tcW w:w="180" w:type="dxa"/>
            <w:vAlign w:val="bottom"/>
            <w:tcBorders>
              <w:bottom w:val="single" w:sz="8" w:color="62259D"/>
            </w:tcBorders>
            <w:vMerge w:val="continue"/>
          </w:tcPr>
          <w:p>
            <w:pPr>
              <w:spacing w:after="0"/>
              <w:rPr>
                <w:sz w:val="4"/>
                <w:szCs w:val="4"/>
                <w:color w:val="auto"/>
              </w:rPr>
            </w:pPr>
          </w:p>
        </w:tc>
        <w:tc>
          <w:tcPr>
            <w:tcW w:w="100" w:type="dxa"/>
            <w:vAlign w:val="bottom"/>
            <w:tcBorders>
              <w:bottom w:val="single" w:sz="8" w:color="62259D"/>
            </w:tcBorders>
          </w:tcPr>
          <w:p>
            <w:pPr>
              <w:jc w:val="right"/>
              <w:spacing w:after="0" w:line="54" w:lineRule="exact"/>
              <w:rPr>
                <w:sz w:val="20"/>
                <w:szCs w:val="20"/>
                <w:color w:val="auto"/>
              </w:rPr>
            </w:pPr>
            <w:r>
              <w:rPr>
                <w:rFonts w:ascii="Arial" w:cs="Arial" w:eastAsia="Arial" w:hAnsi="Arial"/>
                <w:sz w:val="6"/>
                <w:szCs w:val="6"/>
                <w:color w:val="auto"/>
              </w:rPr>
              <w:t>​</w:t>
            </w:r>
          </w:p>
        </w:tc>
        <w:tc>
          <w:tcPr>
            <w:tcW w:w="600" w:type="dxa"/>
            <w:vAlign w:val="bottom"/>
            <w:tcBorders>
              <w:bottom w:val="single" w:sz="8" w:color="62259D"/>
            </w:tcBorders>
          </w:tcPr>
          <w:p>
            <w:pPr>
              <w:spacing w:after="0"/>
              <w:rPr>
                <w:sz w:val="4"/>
                <w:szCs w:val="4"/>
                <w:color w:val="auto"/>
              </w:rPr>
            </w:pPr>
          </w:p>
        </w:tc>
        <w:tc>
          <w:tcPr>
            <w:tcW w:w="160" w:type="dxa"/>
            <w:vAlign w:val="bottom"/>
            <w:tcBorders>
              <w:bottom w:val="single" w:sz="8" w:color="62259D"/>
            </w:tcBorders>
          </w:tcPr>
          <w:p>
            <w:pPr>
              <w:jc w:val="right"/>
              <w:ind w:right="63"/>
              <w:spacing w:after="0" w:line="54" w:lineRule="exact"/>
              <w:rPr>
                <w:sz w:val="20"/>
                <w:szCs w:val="20"/>
                <w:color w:val="auto"/>
              </w:rPr>
            </w:pPr>
            <w:r>
              <w:rPr>
                <w:rFonts w:ascii="Arial" w:cs="Arial" w:eastAsia="Arial" w:hAnsi="Arial"/>
                <w:sz w:val="6"/>
                <w:szCs w:val="6"/>
                <w:color w:val="auto"/>
              </w:rPr>
              <w:t>​</w:t>
            </w:r>
          </w:p>
        </w:tc>
        <w:tc>
          <w:tcPr>
            <w:tcW w:w="260" w:type="dxa"/>
            <w:vAlign w:val="bottom"/>
            <w:tcBorders>
              <w:bottom w:val="single" w:sz="8" w:color="62259D"/>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2480" w:right="439" w:hanging="368"/>
        <w:spacing w:after="0" w:line="272" w:lineRule="auto"/>
        <w:tabs>
          <w:tab w:leader="none" w:pos="24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Mr. Bucci’s compensation is paid in Canadian dollars and all amounts have been converted to U.S. dollars using the exchange rate at December 31 of the applicable year.</w:t>
      </w:r>
    </w:p>
    <w:p>
      <w:pPr>
        <w:spacing w:after="0" w:line="1" w:lineRule="exact"/>
        <w:rPr>
          <w:rFonts w:ascii="Arial" w:cs="Arial" w:eastAsia="Arial" w:hAnsi="Arial"/>
          <w:sz w:val="16"/>
          <w:szCs w:val="16"/>
          <w:color w:val="auto"/>
        </w:rPr>
      </w:pPr>
    </w:p>
    <w:p>
      <w:pPr>
        <w:ind w:left="2480" w:right="259" w:hanging="368"/>
        <w:spacing w:after="0" w:line="266" w:lineRule="auto"/>
        <w:tabs>
          <w:tab w:leader="none" w:pos="24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Mr. McCaffery’s salary is paid in British pounds and all amounts have been converted to U.S. dollars using the exchange rate as of December 31, 2025. Mr. McCaffery joined Ribbon in October 2025; the amount above reflects the pro-rated amount of his annual salary of $516,146.</w:t>
      </w:r>
    </w:p>
    <w:p>
      <w:pPr>
        <w:spacing w:after="0" w:line="9" w:lineRule="exact"/>
        <w:rPr>
          <w:rFonts w:ascii="Arial" w:cs="Arial" w:eastAsia="Arial" w:hAnsi="Arial"/>
          <w:sz w:val="16"/>
          <w:szCs w:val="16"/>
          <w:color w:val="auto"/>
        </w:rPr>
      </w:pPr>
    </w:p>
    <w:p>
      <w:pPr>
        <w:ind w:left="2480" w:right="359" w:hanging="368"/>
        <w:spacing w:after="0" w:line="286" w:lineRule="auto"/>
        <w:tabs>
          <w:tab w:leader="none" w:pos="24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Mr. Redington left the Company effective as of September 30, 2025 and amount above reflects the pro-rated amount of his annual salary through such date.</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Annual Bonuses</w:t>
      </w:r>
    </w:p>
    <w:p>
      <w:pPr>
        <w:spacing w:after="0" w:line="121" w:lineRule="exact"/>
        <w:rPr>
          <w:sz w:val="20"/>
          <w:szCs w:val="20"/>
          <w:color w:val="auto"/>
        </w:rPr>
      </w:pPr>
    </w:p>
    <w:p>
      <w:pPr>
        <w:ind w:left="920" w:right="179"/>
        <w:spacing w:after="0" w:line="271" w:lineRule="auto"/>
        <w:rPr>
          <w:sz w:val="20"/>
          <w:szCs w:val="20"/>
          <w:color w:val="auto"/>
        </w:rPr>
      </w:pPr>
      <w:r>
        <w:rPr>
          <w:rFonts w:ascii="Arial" w:cs="Arial" w:eastAsia="Arial" w:hAnsi="Arial"/>
          <w:sz w:val="18"/>
          <w:szCs w:val="18"/>
          <w:color w:val="auto"/>
        </w:rPr>
        <w:t>Annual incentives provide NEOs with the opportunity to earn additional compensation beyond base salary. The eligibility for an annual bonus creates an incentive to achieve desired near-term</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159"/>
        <w:spacing w:after="0" w:line="252" w:lineRule="auto"/>
        <w:rPr>
          <w:sz w:val="20"/>
          <w:szCs w:val="20"/>
          <w:color w:val="auto"/>
        </w:rPr>
      </w:pPr>
      <w:r>
        <w:rPr>
          <w:rFonts w:ascii="Arial" w:cs="Arial" w:eastAsia="Arial" w:hAnsi="Arial"/>
          <w:sz w:val="18"/>
          <w:szCs w:val="18"/>
          <w:color w:val="auto"/>
        </w:rPr>
        <w:t>corporate goals that are in furtherance of the Company’s long- term objectives. The compensation program establishes target bonuses for each NEO that are expected to represent a substantial part of total compensation for our NEOs, if earned. The 2025 target bonus for each NEO is set forth below and was unchanged from 2024.</w:t>
      </w:r>
    </w:p>
    <w:p>
      <w:pPr>
        <w:spacing w:after="0" w:line="135" w:lineRule="exact"/>
        <w:rPr>
          <w:sz w:val="20"/>
          <w:szCs w:val="20"/>
          <w:color w:val="auto"/>
        </w:rPr>
      </w:pPr>
    </w:p>
    <w:tbl>
      <w:tblPr>
        <w:tblLayout w:type="fixed"/>
        <w:tblInd w:w="2000" w:type="dxa"/>
        <w:tblCellMar>
          <w:top w:w="0" w:type="dxa"/>
          <w:left w:w="0" w:type="dxa"/>
          <w:bottom w:w="0" w:type="dxa"/>
          <w:right w:w="0" w:type="dxa"/>
        </w:tblCellMar>
      </w:tblPr>
      <w:tr>
        <w:trPr>
          <w:trHeight w:val="215"/>
        </w:trPr>
        <w:tc>
          <w:tcPr>
            <w:tcW w:w="3220" w:type="dxa"/>
            <w:vAlign w:val="bottom"/>
            <w:shd w:val="clear" w:color="auto" w:fill="62259D"/>
          </w:tcPr>
          <w:p>
            <w:pPr>
              <w:spacing w:after="0"/>
              <w:rPr>
                <w:sz w:val="18"/>
                <w:szCs w:val="18"/>
                <w:color w:val="auto"/>
              </w:rPr>
            </w:pPr>
          </w:p>
        </w:tc>
        <w:tc>
          <w:tcPr>
            <w:tcW w:w="1260" w:type="dxa"/>
            <w:vAlign w:val="bottom"/>
            <w:shd w:val="clear" w:color="auto" w:fill="62259D"/>
          </w:tcPr>
          <w:p>
            <w:pPr>
              <w:spacing w:after="0"/>
              <w:rPr>
                <w:sz w:val="18"/>
                <w:szCs w:val="18"/>
                <w:color w:val="auto"/>
              </w:rPr>
            </w:pPr>
          </w:p>
        </w:tc>
        <w:tc>
          <w:tcPr>
            <w:tcW w:w="1700" w:type="dxa"/>
            <w:vAlign w:val="bottom"/>
            <w:shd w:val="clear" w:color="auto" w:fill="62259D"/>
          </w:tcPr>
          <w:p>
            <w:pPr>
              <w:ind w:left="80"/>
              <w:spacing w:after="0"/>
              <w:rPr>
                <w:sz w:val="20"/>
                <w:szCs w:val="20"/>
                <w:color w:val="auto"/>
              </w:rPr>
            </w:pPr>
            <w:r>
              <w:rPr>
                <w:rFonts w:ascii="Arial" w:cs="Arial" w:eastAsia="Arial" w:hAnsi="Arial"/>
                <w:sz w:val="16"/>
                <w:szCs w:val="16"/>
                <w:b w:val="1"/>
                <w:bCs w:val="1"/>
                <w:color w:val="FEFEFE"/>
              </w:rPr>
              <w:t>2025 Target Bonus</w:t>
            </w:r>
          </w:p>
        </w:tc>
        <w:tc>
          <w:tcPr>
            <w:tcW w:w="520" w:type="dxa"/>
            <w:vAlign w:val="bottom"/>
            <w:shd w:val="clear" w:color="auto" w:fill="62259D"/>
          </w:tcPr>
          <w:p>
            <w:pPr>
              <w:spacing w:after="0"/>
              <w:rPr>
                <w:sz w:val="18"/>
                <w:szCs w:val="18"/>
                <w:color w:val="auto"/>
              </w:rPr>
            </w:pPr>
          </w:p>
        </w:tc>
      </w:tr>
      <w:tr>
        <w:trPr>
          <w:trHeight w:val="230"/>
        </w:trPr>
        <w:tc>
          <w:tcPr>
            <w:tcW w:w="322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 Named Executive Officer</w:t>
            </w:r>
          </w:p>
        </w:tc>
        <w:tc>
          <w:tcPr>
            <w:tcW w:w="3480" w:type="dxa"/>
            <w:vAlign w:val="bottom"/>
            <w:gridSpan w:val="3"/>
            <w:shd w:val="clear" w:color="auto" w:fill="62259D"/>
          </w:tcPr>
          <w:p>
            <w:pPr>
              <w:ind w:left="1040"/>
              <w:spacing w:after="0"/>
              <w:rPr>
                <w:sz w:val="20"/>
                <w:szCs w:val="20"/>
                <w:color w:val="auto"/>
              </w:rPr>
            </w:pPr>
            <w:r>
              <w:rPr>
                <w:rFonts w:ascii="Arial" w:cs="Arial" w:eastAsia="Arial" w:hAnsi="Arial"/>
                <w:sz w:val="16"/>
                <w:szCs w:val="16"/>
                <w:b w:val="1"/>
                <w:bCs w:val="1"/>
                <w:color w:val="FEFEFE"/>
              </w:rPr>
              <w:t>​ ​ (as % of Base Salary)​</w:t>
            </w:r>
          </w:p>
        </w:tc>
      </w:tr>
      <w:tr>
        <w:trPr>
          <w:trHeight w:val="257"/>
        </w:trPr>
        <w:tc>
          <w:tcPr>
            <w:tcW w:w="3220" w:type="dxa"/>
            <w:vAlign w:val="bottom"/>
            <w:tcBorders>
              <w:bottom w:val="single" w:sz="8" w:color="E7417A"/>
            </w:tcBorders>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Bruce McClelland</w:t>
            </w:r>
          </w:p>
        </w:tc>
        <w:tc>
          <w:tcPr>
            <w:tcW w:w="1260" w:type="dxa"/>
            <w:vAlign w:val="bottom"/>
            <w:tcBorders>
              <w:bottom w:val="single" w:sz="8" w:color="E7417A"/>
            </w:tcBorders>
          </w:tcPr>
          <w:p>
            <w:pPr>
              <w:ind w:left="104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E7417A"/>
            </w:tcBorders>
          </w:tcPr>
          <w:p>
            <w:pPr>
              <w:ind w:left="7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​100%</w:t>
            </w:r>
          </w:p>
        </w:tc>
        <w:tc>
          <w:tcPr>
            <w:tcW w:w="52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John Townsend</w:t>
            </w:r>
          </w:p>
        </w:tc>
        <w:tc>
          <w:tcPr>
            <w:tcW w:w="1260" w:type="dxa"/>
            <w:vAlign w:val="bottom"/>
            <w:tcBorders>
              <w:bottom w:val="single" w:sz="8" w:color="E7417A"/>
            </w:tcBorders>
          </w:tcPr>
          <w:p>
            <w:pPr>
              <w:ind w:left="104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E7417A"/>
            </w:tcBorders>
          </w:tcPr>
          <w:p>
            <w:pPr>
              <w:ind w:left="7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75%</w:t>
            </w:r>
          </w:p>
        </w:tc>
        <w:tc>
          <w:tcPr>
            <w:tcW w:w="52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Sam Bucci</w:t>
            </w:r>
          </w:p>
        </w:tc>
        <w:tc>
          <w:tcPr>
            <w:tcW w:w="1260" w:type="dxa"/>
            <w:vAlign w:val="bottom"/>
            <w:tcBorders>
              <w:bottom w:val="single" w:sz="8" w:color="E7417A"/>
            </w:tcBorders>
          </w:tcPr>
          <w:p>
            <w:pPr>
              <w:ind w:left="104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E7417A"/>
            </w:tcBorders>
          </w:tcPr>
          <w:p>
            <w:pPr>
              <w:ind w:left="7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75%</w:t>
            </w:r>
          </w:p>
        </w:tc>
        <w:tc>
          <w:tcPr>
            <w:tcW w:w="52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Patrick Macken</w:t>
            </w:r>
          </w:p>
        </w:tc>
        <w:tc>
          <w:tcPr>
            <w:tcW w:w="1260" w:type="dxa"/>
            <w:vAlign w:val="bottom"/>
            <w:tcBorders>
              <w:bottom w:val="single" w:sz="8" w:color="E7417A"/>
            </w:tcBorders>
          </w:tcPr>
          <w:p>
            <w:pPr>
              <w:ind w:left="104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E7417A"/>
            </w:tcBorders>
          </w:tcPr>
          <w:p>
            <w:pPr>
              <w:ind w:left="7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75%</w:t>
            </w:r>
          </w:p>
        </w:tc>
        <w:tc>
          <w:tcPr>
            <w:tcW w:w="52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Steve McCaffery</w:t>
            </w:r>
          </w:p>
        </w:tc>
        <w:tc>
          <w:tcPr>
            <w:tcW w:w="1260" w:type="dxa"/>
            <w:vAlign w:val="bottom"/>
            <w:tcBorders>
              <w:bottom w:val="single" w:sz="8" w:color="E7417A"/>
            </w:tcBorders>
          </w:tcPr>
          <w:p>
            <w:pPr>
              <w:ind w:left="104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E7417A"/>
            </w:tcBorders>
          </w:tcPr>
          <w:p>
            <w:pPr>
              <w:ind w:left="7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75%</w:t>
            </w:r>
          </w:p>
        </w:tc>
        <w:tc>
          <w:tcPr>
            <w:tcW w:w="52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r>
      <w:tr>
        <w:trPr>
          <w:trHeight w:val="237"/>
        </w:trPr>
        <w:tc>
          <w:tcPr>
            <w:tcW w:w="322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 Dan Redington</w:t>
            </w:r>
          </w:p>
        </w:tc>
        <w:tc>
          <w:tcPr>
            <w:tcW w:w="1260" w:type="dxa"/>
            <w:vAlign w:val="bottom"/>
            <w:tcBorders>
              <w:bottom w:val="single" w:sz="8" w:color="62259D"/>
            </w:tcBorders>
          </w:tcPr>
          <w:p>
            <w:pPr>
              <w:ind w:left="1040"/>
              <w:spacing w:after="0"/>
              <w:rPr>
                <w:sz w:val="20"/>
                <w:szCs w:val="20"/>
                <w:color w:val="auto"/>
              </w:rPr>
            </w:pPr>
            <w:r>
              <w:rPr>
                <w:rFonts w:ascii="Arial" w:cs="Arial" w:eastAsia="Arial" w:hAnsi="Arial"/>
                <w:sz w:val="16"/>
                <w:szCs w:val="16"/>
                <w:color w:val="auto"/>
              </w:rPr>
              <w:t>​ ​</w:t>
            </w:r>
          </w:p>
        </w:tc>
        <w:tc>
          <w:tcPr>
            <w:tcW w:w="1700" w:type="dxa"/>
            <w:vAlign w:val="bottom"/>
            <w:tcBorders>
              <w:bottom w:val="single" w:sz="8" w:color="62259D"/>
            </w:tcBorders>
          </w:tcPr>
          <w:p>
            <w:pPr>
              <w:ind w:left="700"/>
              <w:spacing w:after="0"/>
              <w:rPr>
                <w:sz w:val="20"/>
                <w:szCs w:val="20"/>
                <w:color w:val="auto"/>
              </w:rPr>
            </w:pPr>
            <w:r>
              <w:rPr>
                <w:rFonts w:ascii="Arial" w:cs="Arial" w:eastAsia="Arial" w:hAnsi="Arial"/>
                <w:sz w:val="16"/>
                <w:szCs w:val="16"/>
                <w:color w:val="auto"/>
              </w:rPr>
              <w:t>​​ 75%</w:t>
            </w:r>
          </w:p>
        </w:tc>
        <w:tc>
          <w:tcPr>
            <w:tcW w:w="520" w:type="dxa"/>
            <w:vAlign w:val="bottom"/>
            <w:tcBorders>
              <w:bottom w:val="single" w:sz="8" w:color="62259D"/>
            </w:tcBorders>
          </w:tcPr>
          <w:p>
            <w:pPr>
              <w:ind w:left="40"/>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920" w:right="259"/>
        <w:spacing w:after="0" w:line="244" w:lineRule="auto"/>
        <w:rPr>
          <w:sz w:val="20"/>
          <w:szCs w:val="20"/>
          <w:color w:val="auto"/>
        </w:rPr>
      </w:pPr>
      <w:r>
        <w:rPr>
          <w:rFonts w:ascii="Arial" w:cs="Arial" w:eastAsia="Arial" w:hAnsi="Arial"/>
          <w:sz w:val="18"/>
          <w:szCs w:val="18"/>
          <w:color w:val="auto"/>
        </w:rPr>
        <w:t>Our NEOs are eligible to participate in the Company’s Senior Management Cash Incentive Plan (the “SMCIP”) . In 2025, in order to more closely align with the Company’s historical revenue pattern, where sales are typically lowest in the first quarter and highest in the fourth quarter, the SMCIP was structured with payouts based on the achievement of financial targets established by the Compensation Committee for the first six months of the year (30% weighting) and the last six months of the year (70% weighting), with participants required to remain employed with the Company through year end in order to receive any payout. The Compensation Committee determined that two financial metrics would be used for both portions of the SMCIP — consolidated revenues (50% weighting) and pre-bonus Adjusted EBITDA (50% weighting). In addition, the Compensation Committee retains the discretion to increase or decrease a payout to any NEO based on extraordinary performance factors,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90170</wp:posOffset>
            </wp:positionV>
            <wp:extent cx="5623560" cy="9340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623560" cy="934085"/>
                    </a:xfrm>
                    <a:prstGeom prst="rect">
                      <a:avLst/>
                    </a:prstGeom>
                    <a:noFill/>
                  </pic:spPr>
                </pic:pic>
              </a:graphicData>
            </a:graphic>
          </wp:anchor>
        </w:drawing>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11"/>
          </w:tcPr>
          <w:p>
            <w:pPr>
              <w:jc w:val="center"/>
              <w:ind w:right="19"/>
              <w:spacing w:after="0"/>
              <w:rPr>
                <w:sz w:val="20"/>
                <w:szCs w:val="20"/>
                <w:color w:val="auto"/>
              </w:rPr>
            </w:pPr>
            <w:r>
              <w:rPr>
                <w:rFonts w:ascii="Arial" w:cs="Arial" w:eastAsia="Arial" w:hAnsi="Arial"/>
                <w:sz w:val="16"/>
                <w:szCs w:val="16"/>
                <w:b w:val="1"/>
                <w:bCs w:val="1"/>
                <w:color w:val="FEFEFE"/>
              </w:rPr>
              <w:t>Target First Half 2025 SMCIP</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6"/>
          </w:tcPr>
          <w:p>
            <w:pPr>
              <w:jc w:val="center"/>
              <w:spacing w:after="0"/>
              <w:rPr>
                <w:sz w:val="20"/>
                <w:szCs w:val="20"/>
                <w:color w:val="auto"/>
              </w:rPr>
            </w:pPr>
            <w:r>
              <w:rPr>
                <w:rFonts w:ascii="Arial" w:cs="Arial" w:eastAsia="Arial" w:hAnsi="Arial"/>
                <w:sz w:val="16"/>
                <w:szCs w:val="16"/>
                <w:b w:val="1"/>
                <w:bCs w:val="1"/>
                <w:color w:val="FEFEFE"/>
              </w:rPr>
              <w:t>Bonus Metrics for NEOs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80" w:type="dxa"/>
            <w:vAlign w:val="bottom"/>
            <w:gridSpan w:val="11"/>
          </w:tcPr>
          <w:p>
            <w:pPr>
              <w:jc w:val="center"/>
              <w:ind w:right="19"/>
              <w:spacing w:after="0"/>
              <w:rPr>
                <w:sz w:val="20"/>
                <w:szCs w:val="20"/>
                <w:color w:val="auto"/>
              </w:rPr>
            </w:pPr>
            <w:r>
              <w:rPr>
                <w:rFonts w:ascii="Arial" w:cs="Arial" w:eastAsia="Arial" w:hAnsi="Arial"/>
                <w:sz w:val="16"/>
                <w:szCs w:val="16"/>
                <w:b w:val="1"/>
                <w:bCs w:val="1"/>
                <w:color w:val="FEFEFE"/>
              </w:rPr>
              <w:t>(30% Weighting for Full Year)</w:t>
            </w:r>
          </w:p>
        </w:tc>
        <w:tc>
          <w:tcPr>
            <w:tcW w:w="60" w:type="dxa"/>
            <w:vAlign w:val="bottom"/>
          </w:tcPr>
          <w:p>
            <w:pPr>
              <w:spacing w:after="0"/>
              <w:rPr>
                <w:sz w:val="16"/>
                <w:szCs w:val="16"/>
                <w:color w:val="auto"/>
              </w:rPr>
            </w:pPr>
          </w:p>
        </w:tc>
        <w:tc>
          <w:tcPr>
            <w:tcW w:w="880" w:type="dxa"/>
            <w:vAlign w:val="bottom"/>
            <w:vMerge w:val="restart"/>
          </w:tcPr>
          <w:p>
            <w:pPr>
              <w:jc w:val="center"/>
              <w:ind w:left="127"/>
              <w:spacing w:after="0"/>
              <w:rPr>
                <w:sz w:val="20"/>
                <w:szCs w:val="20"/>
                <w:color w:val="auto"/>
              </w:rPr>
            </w:pPr>
            <w:r>
              <w:rPr>
                <w:rFonts w:ascii="Arial" w:cs="Arial" w:eastAsia="Arial" w:hAnsi="Arial"/>
                <w:sz w:val="16"/>
                <w:szCs w:val="16"/>
                <w:b w:val="1"/>
                <w:bCs w:val="1"/>
                <w:color w:val="FEFEFE"/>
              </w:rPr>
              <w:t>Actual</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6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FEFEFE"/>
              </w:rPr>
              <w:t>​​</w:t>
            </w: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FEFEFE"/>
              </w:rPr>
              <w:t>​​</w:t>
            </w:r>
          </w:p>
        </w:tc>
        <w:tc>
          <w:tcPr>
            <w:tcW w:w="420" w:type="dxa"/>
            <w:vAlign w:val="bottom"/>
          </w:tcPr>
          <w:p>
            <w:pPr>
              <w:spacing w:after="0"/>
              <w:rPr>
                <w:sz w:val="5"/>
                <w:szCs w:val="5"/>
                <w:color w:val="auto"/>
              </w:rPr>
            </w:pPr>
          </w:p>
        </w:tc>
        <w:tc>
          <w:tcPr>
            <w:tcW w:w="1640" w:type="dxa"/>
            <w:vAlign w:val="bottom"/>
            <w:gridSpan w:val="5"/>
            <w:vMerge w:val="restart"/>
          </w:tcPr>
          <w:p>
            <w:pPr>
              <w:ind w:left="120"/>
              <w:spacing w:after="0"/>
              <w:rPr>
                <w:sz w:val="20"/>
                <w:szCs w:val="20"/>
                <w:color w:val="auto"/>
              </w:rPr>
            </w:pPr>
            <w:r>
              <w:rPr>
                <w:rFonts w:ascii="Arial" w:cs="Arial" w:eastAsia="Arial" w:hAnsi="Arial"/>
                <w:sz w:val="16"/>
                <w:szCs w:val="16"/>
                <w:b w:val="1"/>
                <w:bCs w:val="1"/>
                <w:color w:val="FEFEFE"/>
              </w:rPr>
              <w:t>(in millions)</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FEFEFE"/>
              </w:rPr>
              <w:t>​</w:t>
            </w:r>
          </w:p>
        </w:tc>
        <w:tc>
          <w:tcPr>
            <w:tcW w:w="8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6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880" w:type="dxa"/>
            <w:vAlign w:val="bottom"/>
          </w:tcPr>
          <w:p>
            <w:pPr>
              <w:jc w:val="center"/>
              <w:ind w:left="107"/>
              <w:spacing w:after="0" w:line="143" w:lineRule="exact"/>
              <w:rPr>
                <w:sz w:val="20"/>
                <w:szCs w:val="20"/>
                <w:color w:val="auto"/>
              </w:rPr>
            </w:pPr>
            <w:r>
              <w:rPr>
                <w:rFonts w:ascii="Arial" w:cs="Arial" w:eastAsia="Arial" w:hAnsi="Arial"/>
                <w:sz w:val="16"/>
                <w:szCs w:val="16"/>
                <w:b w:val="1"/>
                <w:bCs w:val="1"/>
                <w:color w:val="FEFEFE"/>
              </w:rPr>
              <w:t>First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62259D"/>
            </w:tcBorders>
          </w:tcPr>
          <w:p>
            <w:pPr>
              <w:spacing w:after="0"/>
              <w:rPr>
                <w:sz w:val="16"/>
                <w:szCs w:val="16"/>
                <w:color w:val="auto"/>
              </w:rPr>
            </w:pPr>
          </w:p>
        </w:tc>
        <w:tc>
          <w:tcPr>
            <w:tcW w:w="1480" w:type="dxa"/>
            <w:vAlign w:val="bottom"/>
            <w:tcBorders>
              <w:top w:val="single" w:sz="8" w:color="FEFEFE"/>
            </w:tcBorders>
            <w:gridSpan w:val="5"/>
          </w:tcPr>
          <w:p>
            <w:pPr>
              <w:jc w:val="right"/>
              <w:spacing w:after="0"/>
              <w:rPr>
                <w:sz w:val="20"/>
                <w:szCs w:val="20"/>
                <w:color w:val="auto"/>
              </w:rPr>
            </w:pPr>
            <w:r>
              <w:rPr>
                <w:rFonts w:ascii="Arial" w:cs="Arial" w:eastAsia="Arial" w:hAnsi="Arial"/>
                <w:sz w:val="16"/>
                <w:szCs w:val="16"/>
                <w:b w:val="1"/>
                <w:bCs w:val="1"/>
                <w:color w:val="FEFEFE"/>
              </w:rPr>
              <w:t>Minimum  Target</w:t>
            </w:r>
          </w:p>
        </w:tc>
        <w:tc>
          <w:tcPr>
            <w:tcW w:w="180" w:type="dxa"/>
            <w:vAlign w:val="bottom"/>
            <w:tcBorders>
              <w:top w:val="single" w:sz="8" w:color="FEFEFE"/>
            </w:tcBorders>
          </w:tcPr>
          <w:p>
            <w:pPr>
              <w:spacing w:after="0"/>
              <w:rPr>
                <w:sz w:val="16"/>
                <w:szCs w:val="16"/>
                <w:color w:val="auto"/>
              </w:rPr>
            </w:pPr>
          </w:p>
        </w:tc>
        <w:tc>
          <w:tcPr>
            <w:tcW w:w="880" w:type="dxa"/>
            <w:vAlign w:val="bottom"/>
            <w:tcBorders>
              <w:top w:val="single" w:sz="8" w:color="FEFEFE"/>
            </w:tcBorders>
            <w:gridSpan w:val="4"/>
          </w:tcPr>
          <w:p>
            <w:pPr>
              <w:jc w:val="center"/>
              <w:ind w:right="1"/>
              <w:spacing w:after="0"/>
              <w:rPr>
                <w:sz w:val="20"/>
                <w:szCs w:val="20"/>
                <w:color w:val="auto"/>
              </w:rPr>
            </w:pPr>
            <w:r>
              <w:rPr>
                <w:rFonts w:ascii="Arial" w:cs="Arial" w:eastAsia="Arial" w:hAnsi="Arial"/>
                <w:sz w:val="16"/>
                <w:szCs w:val="16"/>
                <w:b w:val="1"/>
                <w:bCs w:val="1"/>
                <w:color w:val="FEFEFE"/>
              </w:rPr>
              <w:t>Maximum</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6"/>
                <w:szCs w:val="16"/>
                <w:b w:val="1"/>
                <w:bCs w:val="1"/>
                <w:color w:val="FEFEFE"/>
              </w:rPr>
              <w:t>Half 2025</w:t>
            </w: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FEFEFE"/>
              </w:rPr>
              <w:t>First Half</w:t>
            </w:r>
          </w:p>
        </w:tc>
        <w:tc>
          <w:tcPr>
            <w:tcW w:w="1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FEFEFE"/>
              </w:rPr>
              <w:t>First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ind w:left="40"/>
              <w:spacing w:after="0"/>
              <w:rPr>
                <w:sz w:val="20"/>
                <w:szCs w:val="20"/>
                <w:color w:val="auto"/>
              </w:rPr>
            </w:pPr>
            <w:r>
              <w:rPr>
                <w:rFonts w:ascii="Arial" w:cs="Arial" w:eastAsia="Arial" w:hAnsi="Arial"/>
                <w:sz w:val="16"/>
                <w:szCs w:val="16"/>
                <w:b w:val="1"/>
                <w:bCs w:val="1"/>
                <w:color w:val="FEFEFE"/>
              </w:rPr>
              <w:t>0%</w:t>
            </w:r>
          </w:p>
        </w:tc>
        <w:tc>
          <w:tcPr>
            <w:tcW w:w="840" w:type="dxa"/>
            <w:vAlign w:val="bottom"/>
            <w:gridSpan w:val="3"/>
          </w:tcPr>
          <w:p>
            <w:pPr>
              <w:jc w:val="right"/>
              <w:spacing w:after="0"/>
              <w:rPr>
                <w:sz w:val="20"/>
                <w:szCs w:val="20"/>
                <w:color w:val="auto"/>
              </w:rPr>
            </w:pPr>
            <w:r>
              <w:rPr>
                <w:rFonts w:ascii="Arial" w:cs="Arial" w:eastAsia="Arial" w:hAnsi="Arial"/>
                <w:sz w:val="16"/>
                <w:szCs w:val="16"/>
                <w:b w:val="1"/>
                <w:bCs w:val="1"/>
                <w:color w:val="FEFEFE"/>
              </w:rPr>
              <w:t>100%</w:t>
            </w:r>
          </w:p>
        </w:tc>
        <w:tc>
          <w:tcPr>
            <w:tcW w:w="180" w:type="dxa"/>
            <w:vAlign w:val="bottom"/>
          </w:tcPr>
          <w:p>
            <w:pPr>
              <w:spacing w:after="0"/>
              <w:rPr>
                <w:sz w:val="16"/>
                <w:szCs w:val="16"/>
                <w:color w:val="auto"/>
              </w:rPr>
            </w:pPr>
          </w:p>
        </w:tc>
        <w:tc>
          <w:tcPr>
            <w:tcW w:w="620" w:type="dxa"/>
            <w:vAlign w:val="bottom"/>
          </w:tcPr>
          <w:p>
            <w:pPr>
              <w:jc w:val="center"/>
              <w:ind w:left="105"/>
              <w:spacing w:after="0"/>
              <w:rPr>
                <w:sz w:val="20"/>
                <w:szCs w:val="20"/>
                <w:color w:val="auto"/>
              </w:rPr>
            </w:pPr>
            <w:r>
              <w:rPr>
                <w:rFonts w:ascii="Arial" w:cs="Arial" w:eastAsia="Arial" w:hAnsi="Arial"/>
                <w:sz w:val="16"/>
                <w:szCs w:val="16"/>
                <w:b w:val="1"/>
                <w:bCs w:val="1"/>
                <w:color w:val="FEFEFE"/>
              </w:rPr>
              <w:t>200%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center"/>
              <w:ind w:left="127"/>
              <w:spacing w:after="0"/>
              <w:rPr>
                <w:sz w:val="20"/>
                <w:szCs w:val="20"/>
                <w:color w:val="auto"/>
              </w:rPr>
            </w:pPr>
            <w:r>
              <w:rPr>
                <w:rFonts w:ascii="Arial" w:cs="Arial" w:eastAsia="Arial" w:hAnsi="Arial"/>
                <w:sz w:val="16"/>
                <w:szCs w:val="16"/>
                <w:b w:val="1"/>
                <w:bCs w:val="1"/>
                <w:color w:val="FEFEFE"/>
              </w:rPr>
              <w:t>Results</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31"/>
              <w:spacing w:after="0"/>
              <w:rPr>
                <w:sz w:val="20"/>
                <w:szCs w:val="20"/>
                <w:color w:val="auto"/>
              </w:rPr>
            </w:pPr>
            <w:r>
              <w:rPr>
                <w:rFonts w:ascii="Arial" w:cs="Arial" w:eastAsia="Arial" w:hAnsi="Arial"/>
                <w:sz w:val="16"/>
                <w:szCs w:val="16"/>
                <w:b w:val="1"/>
                <w:bCs w:val="1"/>
                <w:color w:val="FEFEFE"/>
              </w:rPr>
              <w:t>Payout</w:t>
            </w:r>
          </w:p>
        </w:tc>
        <w:tc>
          <w:tcPr>
            <w:tcW w:w="980" w:type="dxa"/>
            <w:vAlign w:val="bottom"/>
            <w:gridSpan w:val="2"/>
          </w:tcPr>
          <w:p>
            <w:pPr>
              <w:jc w:val="center"/>
              <w:ind w:left="81"/>
              <w:spacing w:after="0"/>
              <w:rPr>
                <w:sz w:val="20"/>
                <w:szCs w:val="20"/>
                <w:color w:val="auto"/>
              </w:rPr>
            </w:pPr>
            <w:r>
              <w:rPr>
                <w:rFonts w:ascii="Arial" w:cs="Arial" w:eastAsia="Arial" w:hAnsi="Arial"/>
                <w:sz w:val="16"/>
                <w:szCs w:val="16"/>
                <w:b w:val="1"/>
                <w:bCs w:val="1"/>
                <w:color w:val="FEFEFE"/>
              </w:rPr>
              <w:t>Half 2025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600" w:type="dxa"/>
            <w:vAlign w:val="bottom"/>
            <w:gridSpan w:val="2"/>
          </w:tcPr>
          <w:p>
            <w:pPr>
              <w:ind w:left="40"/>
              <w:spacing w:after="0"/>
              <w:rPr>
                <w:sz w:val="20"/>
                <w:szCs w:val="20"/>
                <w:color w:val="auto"/>
              </w:rPr>
            </w:pPr>
            <w:r>
              <w:rPr>
                <w:rFonts w:ascii="Arial" w:cs="Arial" w:eastAsia="Arial" w:hAnsi="Arial"/>
                <w:sz w:val="16"/>
                <w:szCs w:val="16"/>
                <w:b w:val="1"/>
                <w:bCs w:val="1"/>
                <w:color w:val="FEFEFE"/>
              </w:rPr>
              <w:t>​Performance Metric</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gridSpan w:val="2"/>
          </w:tcPr>
          <w:p>
            <w:pPr>
              <w:ind w:left="20"/>
              <w:spacing w:after="0"/>
              <w:rPr>
                <w:sz w:val="20"/>
                <w:szCs w:val="20"/>
                <w:color w:val="auto"/>
              </w:rPr>
            </w:pPr>
            <w:r>
              <w:rPr>
                <w:rFonts w:ascii="Arial" w:cs="Arial" w:eastAsia="Arial" w:hAnsi="Arial"/>
                <w:sz w:val="16"/>
                <w:szCs w:val="16"/>
                <w:b w:val="1"/>
                <w:bCs w:val="1"/>
                <w:color w:val="FEFEFE"/>
              </w:rPr>
              <w:t>​​</w:t>
            </w:r>
          </w:p>
        </w:tc>
        <w:tc>
          <w:tcPr>
            <w:tcW w:w="420" w:type="dxa"/>
            <w:vAlign w:val="bottom"/>
          </w:tcPr>
          <w:p>
            <w:pPr>
              <w:ind w:left="80"/>
              <w:spacing w:after="0"/>
              <w:rPr>
                <w:sz w:val="20"/>
                <w:szCs w:val="20"/>
                <w:color w:val="auto"/>
              </w:rPr>
            </w:pPr>
            <w:r>
              <w:rPr>
                <w:rFonts w:ascii="Arial" w:cs="Arial" w:eastAsia="Arial" w:hAnsi="Arial"/>
                <w:sz w:val="16"/>
                <w:szCs w:val="16"/>
                <w:b w:val="1"/>
                <w:bCs w:val="1"/>
                <w:color w:val="FEFEFE"/>
              </w:rPr>
              <w:t>($)</w:t>
            </w:r>
          </w:p>
        </w:tc>
        <w:tc>
          <w:tcPr>
            <w:tcW w:w="420" w:type="dxa"/>
            <w:vAlign w:val="bottom"/>
          </w:tcPr>
          <w:p>
            <w:pPr>
              <w:jc w:val="center"/>
              <w:ind w:left="44"/>
              <w:spacing w:after="0"/>
              <w:rPr>
                <w:sz w:val="20"/>
                <w:szCs w:val="20"/>
                <w:color w:val="auto"/>
              </w:rPr>
            </w:pPr>
            <w:r>
              <w:rPr>
                <w:rFonts w:ascii="Arial" w:cs="Arial" w:eastAsia="Arial" w:hAnsi="Arial"/>
                <w:sz w:val="16"/>
                <w:szCs w:val="16"/>
                <w:b w:val="1"/>
                <w:bCs w:val="1"/>
                <w:color w:val="FEFEFE"/>
              </w:rPr>
              <w:t>​​</w:t>
            </w:r>
          </w:p>
        </w:tc>
        <w:tc>
          <w:tcPr>
            <w:tcW w:w="420" w:type="dxa"/>
            <w:vAlign w:val="bottom"/>
            <w:gridSpan w:val="2"/>
          </w:tcPr>
          <w:p>
            <w:pPr>
              <w:jc w:val="center"/>
              <w:spacing w:after="0"/>
              <w:rPr>
                <w:sz w:val="20"/>
                <w:szCs w:val="20"/>
                <w:color w:val="auto"/>
              </w:rPr>
            </w:pPr>
            <w:r>
              <w:rPr>
                <w:rFonts w:ascii="Arial" w:cs="Arial" w:eastAsia="Arial" w:hAnsi="Arial"/>
                <w:sz w:val="16"/>
                <w:szCs w:val="16"/>
                <w:b w:val="1"/>
                <w:bCs w:val="1"/>
                <w:color w:val="FEFEFE"/>
              </w:rPr>
              <w:t>($)</w:t>
            </w:r>
          </w:p>
        </w:tc>
        <w:tc>
          <w:tcPr>
            <w:tcW w:w="180" w:type="dxa"/>
            <w:vAlign w:val="bottom"/>
          </w:tcPr>
          <w:p>
            <w:pPr>
              <w:ind w:left="80"/>
              <w:spacing w:after="0"/>
              <w:rPr>
                <w:sz w:val="20"/>
                <w:szCs w:val="20"/>
                <w:color w:val="auto"/>
              </w:rPr>
            </w:pPr>
            <w:r>
              <w:rPr>
                <w:rFonts w:ascii="Arial" w:cs="Arial" w:eastAsia="Arial" w:hAnsi="Arial"/>
                <w:sz w:val="16"/>
                <w:szCs w:val="16"/>
                <w:b w:val="1"/>
                <w:bCs w:val="1"/>
                <w:color w:val="FEFEFE"/>
              </w:rPr>
              <w:t>​​</w:t>
            </w:r>
          </w:p>
        </w:tc>
        <w:tc>
          <w:tcPr>
            <w:tcW w:w="620" w:type="dxa"/>
            <w:vAlign w:val="bottom"/>
          </w:tcPr>
          <w:p>
            <w:pPr>
              <w:jc w:val="right"/>
              <w:ind w:right="5"/>
              <w:spacing w:after="0"/>
              <w:rPr>
                <w:sz w:val="20"/>
                <w:szCs w:val="20"/>
                <w:color w:val="auto"/>
              </w:rPr>
            </w:pPr>
            <w:r>
              <w:rPr>
                <w:rFonts w:ascii="Arial" w:cs="Arial" w:eastAsia="Arial" w:hAnsi="Arial"/>
                <w:sz w:val="16"/>
                <w:szCs w:val="16"/>
                <w:b w:val="1"/>
                <w:bCs w:val="1"/>
                <w:color w:val="FEFEFE"/>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gridSpan w:val="4"/>
          </w:tcPr>
          <w:p>
            <w:pPr>
              <w:spacing w:after="0" w:line="243" w:lineRule="exact"/>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5"/>
                <w:szCs w:val="15"/>
                <w:b w:val="1"/>
                <w:bCs w:val="1"/>
                <w:color w:val="FEFEFE"/>
              </w:rPr>
              <w:t xml:space="preserve">($ in millions) </w:t>
            </w:r>
            <w:r>
              <w:rPr>
                <w:rFonts w:ascii="Arial" w:cs="Arial" w:eastAsia="Arial" w:hAnsi="Arial"/>
                <w:sz w:val="28"/>
                <w:szCs w:val="28"/>
                <w:b w:val="1"/>
                <w:bCs w:val="1"/>
                <w:color w:val="FEFEFE"/>
                <w:vertAlign w:val="subscript"/>
              </w:rPr>
              <w:t>​​</w:t>
            </w:r>
          </w:p>
        </w:tc>
        <w:tc>
          <w:tcPr>
            <w:tcW w:w="740" w:type="dxa"/>
            <w:vAlign w:val="bottom"/>
          </w:tcPr>
          <w:p>
            <w:pPr>
              <w:jc w:val="right"/>
              <w:ind w:right="31"/>
              <w:spacing w:after="0"/>
              <w:rPr>
                <w:sz w:val="20"/>
                <w:szCs w:val="20"/>
                <w:color w:val="auto"/>
              </w:rPr>
            </w:pPr>
            <w:r>
              <w:rPr>
                <w:rFonts w:ascii="Arial" w:cs="Arial" w:eastAsia="Arial" w:hAnsi="Arial"/>
                <w:sz w:val="16"/>
                <w:szCs w:val="16"/>
                <w:b w:val="1"/>
                <w:bCs w:val="1"/>
                <w:color w:val="FEFEFE"/>
              </w:rPr>
              <w:t>Result</w:t>
            </w:r>
          </w:p>
        </w:tc>
        <w:tc>
          <w:tcPr>
            <w:tcW w:w="1120" w:type="dxa"/>
            <w:vAlign w:val="bottom"/>
            <w:gridSpan w:val="3"/>
          </w:tcPr>
          <w:p>
            <w:pPr>
              <w:jc w:val="right"/>
              <w:spacing w:after="0" w:line="243" w:lineRule="exact"/>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5"/>
                <w:szCs w:val="15"/>
                <w:b w:val="1"/>
                <w:bCs w:val="1"/>
                <w:color w:val="FEFEFE"/>
              </w:rPr>
              <w:t xml:space="preserve">Weighting </w:t>
            </w:r>
            <w:r>
              <w:rPr>
                <w:rFonts w:ascii="Arial" w:cs="Arial" w:eastAsia="Arial" w:hAnsi="Arial"/>
                <w:sz w:val="28"/>
                <w:szCs w:val="28"/>
                <w:b w:val="1"/>
                <w:bCs w:val="1"/>
                <w:color w:val="FEFEFE"/>
                <w:vertAlign w:val="subscript"/>
              </w:rPr>
              <w:t>​</w:t>
            </w:r>
          </w:p>
        </w:tc>
        <w:tc>
          <w:tcPr>
            <w:tcW w:w="0" w:type="dxa"/>
            <w:vAlign w:val="bottom"/>
          </w:tcPr>
          <w:p>
            <w:pPr>
              <w:spacing w:after="0"/>
              <w:rPr>
                <w:sz w:val="1"/>
                <w:szCs w:val="1"/>
                <w:color w:val="auto"/>
              </w:rPr>
            </w:pPr>
          </w:p>
        </w:tc>
      </w:tr>
      <w:tr>
        <w:trPr>
          <w:trHeight w:val="257"/>
        </w:trPr>
        <w:tc>
          <w:tcPr>
            <w:tcW w:w="2600" w:type="dxa"/>
            <w:vAlign w:val="bottom"/>
            <w:tcBorders>
              <w:bottom w:val="single" w:sz="8" w:color="E7417A"/>
            </w:tcBorders>
            <w:gridSpan w:val="2"/>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Revenue</w:t>
            </w:r>
          </w:p>
        </w:tc>
        <w:tc>
          <w:tcPr>
            <w:tcW w:w="80" w:type="dxa"/>
            <w:vAlign w:val="bottom"/>
            <w:tcBorders>
              <w:bottom w:val="single" w:sz="8" w:color="E7417A"/>
            </w:tcBorders>
          </w:tcPr>
          <w:p>
            <w:pPr>
              <w:spacing w:after="0"/>
              <w:rPr>
                <w:sz w:val="22"/>
                <w:szCs w:val="22"/>
                <w:color w:val="auto"/>
              </w:rPr>
            </w:pPr>
          </w:p>
        </w:tc>
        <w:tc>
          <w:tcPr>
            <w:tcW w:w="40" w:type="dxa"/>
            <w:vAlign w:val="bottom"/>
            <w:tcBorders>
              <w:bottom w:val="single" w:sz="8" w:color="E7417A"/>
            </w:tcBorders>
          </w:tcPr>
          <w:p>
            <w:pPr>
              <w:spacing w:after="0"/>
              <w:rPr>
                <w:sz w:val="22"/>
                <w:szCs w:val="22"/>
                <w:color w:val="auto"/>
              </w:rPr>
            </w:pPr>
          </w:p>
        </w:tc>
        <w:tc>
          <w:tcPr>
            <w:tcW w:w="280" w:type="dxa"/>
            <w:vAlign w:val="bottom"/>
            <w:tcBorders>
              <w:bottom w:val="single" w:sz="8" w:color="E7417A"/>
            </w:tcBorders>
          </w:tcPr>
          <w:p>
            <w:pPr>
              <w:spacing w:after="0"/>
              <w:rPr>
                <w:sz w:val="22"/>
                <w:szCs w:val="22"/>
                <w:color w:val="auto"/>
              </w:rPr>
            </w:pPr>
          </w:p>
        </w:tc>
        <w:tc>
          <w:tcPr>
            <w:tcW w:w="300" w:type="dxa"/>
            <w:vAlign w:val="bottom"/>
            <w:tcBorders>
              <w:bottom w:val="single" w:sz="8" w:color="E7417A"/>
            </w:tcBorders>
            <w:gridSpan w:val="2"/>
          </w:tcPr>
          <w:p>
            <w:pPr>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7417A"/>
            </w:tcBorders>
          </w:tcPr>
          <w:p>
            <w:pPr>
              <w:ind w:left="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​370</w:t>
            </w:r>
          </w:p>
        </w:tc>
        <w:tc>
          <w:tcPr>
            <w:tcW w:w="420" w:type="dxa"/>
            <w:vAlign w:val="bottom"/>
            <w:tcBorders>
              <w:bottom w:val="single" w:sz="8" w:color="E7417A"/>
            </w:tcBorders>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7417A"/>
            </w:tcBorders>
            <w:gridSpan w:val="2"/>
          </w:tcPr>
          <w:p>
            <w:pPr>
              <w:jc w:val="right"/>
              <w:ind w:right="39"/>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​405</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E7417A"/>
            </w:tcBorders>
          </w:tcPr>
          <w:p>
            <w:pPr>
              <w:jc w:val="center"/>
              <w:ind w:left="105"/>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430</w:t>
            </w:r>
          </w:p>
        </w:tc>
        <w:tc>
          <w:tcPr>
            <w:tcW w:w="60" w:type="dxa"/>
            <w:vAlign w:val="bottom"/>
            <w:tcBorders>
              <w:bottom w:val="single" w:sz="8" w:color="E7417A"/>
            </w:tcBorders>
          </w:tcPr>
          <w:p>
            <w:pPr>
              <w:spacing w:after="0"/>
              <w:rPr>
                <w:sz w:val="22"/>
                <w:szCs w:val="22"/>
                <w:color w:val="auto"/>
              </w:rPr>
            </w:pPr>
          </w:p>
        </w:tc>
        <w:tc>
          <w:tcPr>
            <w:tcW w:w="40" w:type="dxa"/>
            <w:vAlign w:val="bottom"/>
            <w:tcBorders>
              <w:bottom w:val="single" w:sz="8" w:color="E7417A"/>
            </w:tcBorders>
          </w:tcPr>
          <w:p>
            <w:pPr>
              <w:spacing w:after="0"/>
              <w:rPr>
                <w:sz w:val="22"/>
                <w:szCs w:val="22"/>
                <w:color w:val="auto"/>
              </w:rPr>
            </w:pPr>
          </w:p>
        </w:tc>
        <w:tc>
          <w:tcPr>
            <w:tcW w:w="260" w:type="dxa"/>
            <w:vAlign w:val="bottom"/>
            <w:tcBorders>
              <w:bottom w:val="single" w:sz="8" w:color="E7417A"/>
            </w:tcBorders>
            <w:gridSpan w:val="3"/>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7417A"/>
            </w:tcBorders>
          </w:tcPr>
          <w:p>
            <w:pPr>
              <w:jc w:val="right"/>
              <w:ind w:right="87"/>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​402</w:t>
            </w:r>
          </w:p>
        </w:tc>
        <w:tc>
          <w:tcPr>
            <w:tcW w:w="200" w:type="dxa"/>
            <w:vAlign w:val="bottom"/>
            <w:tcBorders>
              <w:bottom w:val="single" w:sz="8" w:color="E7417A"/>
            </w:tcBorders>
          </w:tcPr>
          <w:p>
            <w:pPr>
              <w:spacing w:after="0"/>
              <w:rPr>
                <w:sz w:val="22"/>
                <w:szCs w:val="22"/>
                <w:color w:val="auto"/>
              </w:rPr>
            </w:pPr>
          </w:p>
        </w:tc>
        <w:tc>
          <w:tcPr>
            <w:tcW w:w="20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7417A"/>
            </w:tcBorders>
          </w:tcPr>
          <w:p>
            <w:pPr>
              <w:jc w:val="right"/>
              <w:ind w:right="51"/>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​91%</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7417A"/>
            </w:tcBorders>
          </w:tcPr>
          <w:p>
            <w:pPr>
              <w:ind w:left="30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​50%</w:t>
            </w:r>
          </w:p>
        </w:tc>
        <w:tc>
          <w:tcPr>
            <w:tcW w:w="14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2540" w:type="dxa"/>
            <w:vAlign w:val="bottom"/>
          </w:tcPr>
          <w:p>
            <w:pPr>
              <w:ind w:left="20"/>
              <w:spacing w:after="0" w:line="183" w:lineRule="exact"/>
              <w:rPr>
                <w:sz w:val="20"/>
                <w:szCs w:val="20"/>
                <w:color w:val="auto"/>
              </w:rPr>
            </w:pPr>
            <w:r>
              <w:rPr>
                <w:rFonts w:ascii="Arial" w:cs="Arial" w:eastAsia="Arial" w:hAnsi="Arial"/>
                <w:sz w:val="16"/>
                <w:szCs w:val="16"/>
                <w:color w:val="auto"/>
              </w:rPr>
              <w:t>Adjusted EBITDA (pre-bonus)</w:t>
            </w:r>
            <w:r>
              <w:rPr>
                <w:rFonts w:ascii="Arial" w:cs="Arial" w:eastAsia="Arial" w:hAnsi="Arial"/>
                <w:sz w:val="19"/>
                <w:szCs w:val="19"/>
                <w:color w:val="auto"/>
                <w:vertAlign w:val="superscript"/>
              </w:rPr>
              <w:t>(1)</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420" w:type="dxa"/>
            <w:vAlign w:val="bottom"/>
          </w:tcPr>
          <w:p>
            <w:pPr>
              <w:ind w:left="40"/>
              <w:spacing w:after="0" w:line="183" w:lineRule="exact"/>
              <w:rPr>
                <w:sz w:val="20"/>
                <w:szCs w:val="20"/>
                <w:color w:val="auto"/>
              </w:rPr>
            </w:pPr>
            <w:r>
              <w:rPr>
                <w:rFonts w:ascii="Arial" w:cs="Arial" w:eastAsia="Arial" w:hAnsi="Arial"/>
                <w:sz w:val="16"/>
                <w:szCs w:val="16"/>
                <w:color w:val="auto"/>
              </w:rPr>
              <w:t>​ 25</w:t>
            </w:r>
          </w:p>
        </w:tc>
        <w:tc>
          <w:tcPr>
            <w:tcW w:w="42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 45</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left="105"/>
              <w:spacing w:after="0" w:line="183" w:lineRule="exact"/>
              <w:rPr>
                <w:sz w:val="20"/>
                <w:szCs w:val="20"/>
                <w:color w:val="auto"/>
              </w:rPr>
            </w:pPr>
            <w:r>
              <w:rPr>
                <w:rFonts w:ascii="Arial" w:cs="Arial" w:eastAsia="Arial" w:hAnsi="Arial"/>
                <w:sz w:val="16"/>
                <w:szCs w:val="16"/>
                <w:b w:val="1"/>
                <w:bCs w:val="1"/>
                <w:color w:val="auto"/>
              </w:rPr>
              <w:t xml:space="preserve">​ </w:t>
            </w:r>
            <w:r>
              <w:rPr>
                <w:rFonts w:ascii="Arial" w:cs="Arial" w:eastAsia="Arial" w:hAnsi="Arial"/>
                <w:sz w:val="16"/>
                <w:szCs w:val="16"/>
                <w:color w:val="auto"/>
              </w:rPr>
              <w:t>55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3"/>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87"/>
              <w:spacing w:after="0" w:line="183" w:lineRule="exact"/>
              <w:rPr>
                <w:sz w:val="20"/>
                <w:szCs w:val="20"/>
                <w:color w:val="auto"/>
              </w:rPr>
            </w:pPr>
            <w:r>
              <w:rPr>
                <w:rFonts w:ascii="Arial" w:cs="Arial" w:eastAsia="Arial" w:hAnsi="Arial"/>
                <w:sz w:val="16"/>
                <w:szCs w:val="16"/>
                <w:color w:val="auto"/>
              </w:rPr>
              <w:t>​ 40</w:t>
            </w:r>
          </w:p>
        </w:tc>
        <w:tc>
          <w:tcPr>
            <w:tcW w:w="200" w:type="dxa"/>
            <w:vAlign w:val="bottom"/>
          </w:tcPr>
          <w:p>
            <w:pPr>
              <w:spacing w:after="0"/>
              <w:rPr>
                <w:sz w:val="15"/>
                <w:szCs w:val="15"/>
                <w:color w:val="auto"/>
              </w:rPr>
            </w:pP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51"/>
              <w:spacing w:after="0" w:line="183" w:lineRule="exact"/>
              <w:rPr>
                <w:sz w:val="20"/>
                <w:szCs w:val="20"/>
                <w:color w:val="auto"/>
              </w:rPr>
            </w:pPr>
            <w:r>
              <w:rPr>
                <w:rFonts w:ascii="Arial" w:cs="Arial" w:eastAsia="Arial" w:hAnsi="Arial"/>
                <w:sz w:val="16"/>
                <w:szCs w:val="16"/>
                <w:color w:val="auto"/>
              </w:rPr>
              <w:t>​69%</w:t>
            </w: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800" w:type="dxa"/>
            <w:vAlign w:val="bottom"/>
          </w:tcPr>
          <w:p>
            <w:pPr>
              <w:ind w:left="320"/>
              <w:spacing w:after="0" w:line="183" w:lineRule="exact"/>
              <w:rPr>
                <w:sz w:val="20"/>
                <w:szCs w:val="20"/>
                <w:color w:val="auto"/>
              </w:rPr>
            </w:pPr>
            <w:r>
              <w:rPr>
                <w:rFonts w:ascii="Arial" w:cs="Arial" w:eastAsia="Arial" w:hAnsi="Arial"/>
                <w:sz w:val="16"/>
                <w:szCs w:val="16"/>
                <w:color w:val="auto"/>
              </w:rPr>
              <w:t>​50%</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60" w:type="dxa"/>
            <w:vAlign w:val="bottom"/>
            <w:tcBorders>
              <w:bottom w:val="single" w:sz="8" w:color="62259D"/>
            </w:tcBorders>
            <w:vMerge w:val="continue"/>
          </w:tcPr>
          <w:p>
            <w:pPr>
              <w:spacing w:after="0"/>
              <w:rPr>
                <w:sz w:val="4"/>
                <w:szCs w:val="4"/>
                <w:color w:val="auto"/>
              </w:rPr>
            </w:pPr>
          </w:p>
        </w:tc>
        <w:tc>
          <w:tcPr>
            <w:tcW w:w="2540" w:type="dxa"/>
            <w:vAlign w:val="bottom"/>
            <w:tcBorders>
              <w:bottom w:val="single" w:sz="8" w:color="62259D"/>
            </w:tcBorders>
          </w:tcPr>
          <w:p>
            <w:pPr>
              <w:spacing w:after="0"/>
              <w:rPr>
                <w:sz w:val="4"/>
                <w:szCs w:val="4"/>
                <w:color w:val="auto"/>
              </w:rPr>
            </w:pPr>
          </w:p>
        </w:tc>
        <w:tc>
          <w:tcPr>
            <w:tcW w:w="80" w:type="dxa"/>
            <w:vAlign w:val="bottom"/>
            <w:tcBorders>
              <w:bottom w:val="single" w:sz="8" w:color="62259D"/>
            </w:tcBorders>
          </w:tcPr>
          <w:p>
            <w:pPr>
              <w:spacing w:after="0"/>
              <w:rPr>
                <w:sz w:val="4"/>
                <w:szCs w:val="4"/>
                <w:color w:val="auto"/>
              </w:rPr>
            </w:pPr>
          </w:p>
        </w:tc>
        <w:tc>
          <w:tcPr>
            <w:tcW w:w="40" w:type="dxa"/>
            <w:vAlign w:val="bottom"/>
            <w:tcBorders>
              <w:bottom w:val="single" w:sz="8" w:color="62259D"/>
            </w:tcBorders>
          </w:tcPr>
          <w:p>
            <w:pPr>
              <w:spacing w:after="0"/>
              <w:rPr>
                <w:sz w:val="4"/>
                <w:szCs w:val="4"/>
                <w:color w:val="auto"/>
              </w:rPr>
            </w:pPr>
          </w:p>
        </w:tc>
        <w:tc>
          <w:tcPr>
            <w:tcW w:w="280" w:type="dxa"/>
            <w:vAlign w:val="bottom"/>
            <w:tcBorders>
              <w:bottom w:val="single" w:sz="8" w:color="62259D"/>
            </w:tcBorders>
          </w:tcPr>
          <w:p>
            <w:pPr>
              <w:spacing w:after="0"/>
              <w:rPr>
                <w:sz w:val="4"/>
                <w:szCs w:val="4"/>
                <w:color w:val="auto"/>
              </w:rPr>
            </w:pPr>
          </w:p>
        </w:tc>
        <w:tc>
          <w:tcPr>
            <w:tcW w:w="300" w:type="dxa"/>
            <w:vAlign w:val="bottom"/>
            <w:tcBorders>
              <w:bottom w:val="single" w:sz="8" w:color="62259D"/>
            </w:tcBorders>
            <w:gridSpan w:val="2"/>
            <w:vMerge w:val="continue"/>
          </w:tcPr>
          <w:p>
            <w:pPr>
              <w:spacing w:after="0"/>
              <w:rPr>
                <w:sz w:val="4"/>
                <w:szCs w:val="4"/>
                <w:color w:val="auto"/>
              </w:rPr>
            </w:pPr>
          </w:p>
        </w:tc>
        <w:tc>
          <w:tcPr>
            <w:tcW w:w="420" w:type="dxa"/>
            <w:vAlign w:val="bottom"/>
            <w:tcBorders>
              <w:bottom w:val="single" w:sz="8" w:color="62259D"/>
            </w:tcBorders>
          </w:tcPr>
          <w:p>
            <w:pPr>
              <w:spacing w:after="0"/>
              <w:rPr>
                <w:sz w:val="4"/>
                <w:szCs w:val="4"/>
                <w:color w:val="auto"/>
              </w:rPr>
            </w:pPr>
          </w:p>
        </w:tc>
        <w:tc>
          <w:tcPr>
            <w:tcW w:w="420" w:type="dxa"/>
            <w:vAlign w:val="bottom"/>
            <w:tcBorders>
              <w:bottom w:val="single" w:sz="8" w:color="62259D"/>
            </w:tcBorders>
            <w:vMerge w:val="continue"/>
          </w:tcPr>
          <w:p>
            <w:pPr>
              <w:spacing w:after="0"/>
              <w:rPr>
                <w:sz w:val="4"/>
                <w:szCs w:val="4"/>
                <w:color w:val="auto"/>
              </w:rPr>
            </w:pPr>
          </w:p>
        </w:tc>
        <w:tc>
          <w:tcPr>
            <w:tcW w:w="140" w:type="dxa"/>
            <w:vAlign w:val="bottom"/>
            <w:tcBorders>
              <w:bottom w:val="single" w:sz="8" w:color="62259D"/>
            </w:tcBorders>
          </w:tcPr>
          <w:p>
            <w:pPr>
              <w:jc w:val="right"/>
              <w:ind w:right="13"/>
              <w:spacing w:after="0" w:line="54" w:lineRule="exact"/>
              <w:rPr>
                <w:sz w:val="20"/>
                <w:szCs w:val="20"/>
                <w:color w:val="auto"/>
              </w:rPr>
            </w:pPr>
            <w:r>
              <w:rPr>
                <w:rFonts w:ascii="Arial" w:cs="Arial" w:eastAsia="Arial" w:hAnsi="Arial"/>
                <w:sz w:val="6"/>
                <w:szCs w:val="6"/>
                <w:color w:val="auto"/>
              </w:rPr>
              <w:t>​</w:t>
            </w:r>
          </w:p>
        </w:tc>
        <w:tc>
          <w:tcPr>
            <w:tcW w:w="280" w:type="dxa"/>
            <w:vAlign w:val="bottom"/>
            <w:tcBorders>
              <w:bottom w:val="single" w:sz="8" w:color="62259D"/>
            </w:tcBorders>
          </w:tcPr>
          <w:p>
            <w:pPr>
              <w:spacing w:after="0"/>
              <w:rPr>
                <w:sz w:val="4"/>
                <w:szCs w:val="4"/>
                <w:color w:val="auto"/>
              </w:rPr>
            </w:pPr>
          </w:p>
        </w:tc>
        <w:tc>
          <w:tcPr>
            <w:tcW w:w="180" w:type="dxa"/>
            <w:vAlign w:val="bottom"/>
            <w:tcBorders>
              <w:bottom w:val="single" w:sz="8" w:color="62259D"/>
            </w:tcBorders>
            <w:vMerge w:val="continue"/>
          </w:tcPr>
          <w:p>
            <w:pPr>
              <w:spacing w:after="0"/>
              <w:rPr>
                <w:sz w:val="4"/>
                <w:szCs w:val="4"/>
                <w:color w:val="auto"/>
              </w:rPr>
            </w:pPr>
          </w:p>
        </w:tc>
        <w:tc>
          <w:tcPr>
            <w:tcW w:w="620" w:type="dxa"/>
            <w:vAlign w:val="bottom"/>
            <w:tcBorders>
              <w:bottom w:val="single" w:sz="8" w:color="62259D"/>
            </w:tcBorders>
          </w:tcPr>
          <w:p>
            <w:pPr>
              <w:spacing w:after="0"/>
              <w:rPr>
                <w:sz w:val="4"/>
                <w:szCs w:val="4"/>
                <w:color w:val="auto"/>
              </w:rPr>
            </w:pPr>
          </w:p>
        </w:tc>
        <w:tc>
          <w:tcPr>
            <w:tcW w:w="60" w:type="dxa"/>
            <w:vAlign w:val="bottom"/>
            <w:tcBorders>
              <w:bottom w:val="single" w:sz="8" w:color="62259D"/>
            </w:tcBorders>
          </w:tcPr>
          <w:p>
            <w:pPr>
              <w:spacing w:after="0"/>
              <w:rPr>
                <w:sz w:val="4"/>
                <w:szCs w:val="4"/>
                <w:color w:val="auto"/>
              </w:rPr>
            </w:pPr>
          </w:p>
        </w:tc>
        <w:tc>
          <w:tcPr>
            <w:tcW w:w="40" w:type="dxa"/>
            <w:vAlign w:val="bottom"/>
            <w:tcBorders>
              <w:bottom w:val="single" w:sz="8" w:color="62259D"/>
            </w:tcBorders>
          </w:tcPr>
          <w:p>
            <w:pPr>
              <w:spacing w:after="0"/>
              <w:rPr>
                <w:sz w:val="4"/>
                <w:szCs w:val="4"/>
                <w:color w:val="auto"/>
              </w:rPr>
            </w:pPr>
          </w:p>
        </w:tc>
        <w:tc>
          <w:tcPr>
            <w:tcW w:w="260" w:type="dxa"/>
            <w:vAlign w:val="bottom"/>
            <w:tcBorders>
              <w:bottom w:val="single" w:sz="8" w:color="62259D"/>
            </w:tcBorders>
            <w:gridSpan w:val="3"/>
            <w:vMerge w:val="continue"/>
          </w:tcPr>
          <w:p>
            <w:pPr>
              <w:spacing w:after="0"/>
              <w:rPr>
                <w:sz w:val="4"/>
                <w:szCs w:val="4"/>
                <w:color w:val="auto"/>
              </w:rPr>
            </w:pPr>
          </w:p>
        </w:tc>
        <w:tc>
          <w:tcPr>
            <w:tcW w:w="880" w:type="dxa"/>
            <w:vAlign w:val="bottom"/>
            <w:tcBorders>
              <w:bottom w:val="single" w:sz="8" w:color="62259D"/>
            </w:tcBorders>
          </w:tcPr>
          <w:p>
            <w:pPr>
              <w:jc w:val="right"/>
              <w:ind w:right="367"/>
              <w:spacing w:after="0" w:line="54" w:lineRule="exact"/>
              <w:rPr>
                <w:sz w:val="20"/>
                <w:szCs w:val="20"/>
                <w:color w:val="auto"/>
              </w:rPr>
            </w:pPr>
            <w:r>
              <w:rPr>
                <w:rFonts w:ascii="Arial" w:cs="Arial" w:eastAsia="Arial" w:hAnsi="Arial"/>
                <w:sz w:val="6"/>
                <w:szCs w:val="6"/>
                <w:color w:val="auto"/>
              </w:rPr>
              <w:t>​</w:t>
            </w:r>
          </w:p>
        </w:tc>
        <w:tc>
          <w:tcPr>
            <w:tcW w:w="200" w:type="dxa"/>
            <w:vAlign w:val="bottom"/>
            <w:tcBorders>
              <w:bottom w:val="single" w:sz="8" w:color="62259D"/>
            </w:tcBorders>
          </w:tcPr>
          <w:p>
            <w:pPr>
              <w:spacing w:after="0"/>
              <w:rPr>
                <w:sz w:val="4"/>
                <w:szCs w:val="4"/>
                <w:color w:val="auto"/>
              </w:rPr>
            </w:pPr>
          </w:p>
        </w:tc>
        <w:tc>
          <w:tcPr>
            <w:tcW w:w="200" w:type="dxa"/>
            <w:vAlign w:val="bottom"/>
            <w:tcBorders>
              <w:bottom w:val="single" w:sz="8" w:color="62259D"/>
            </w:tcBorders>
            <w:vMerge w:val="continue"/>
          </w:tcPr>
          <w:p>
            <w:pPr>
              <w:spacing w:after="0"/>
              <w:rPr>
                <w:sz w:val="4"/>
                <w:szCs w:val="4"/>
                <w:color w:val="auto"/>
              </w:rPr>
            </w:pPr>
          </w:p>
        </w:tc>
        <w:tc>
          <w:tcPr>
            <w:tcW w:w="740" w:type="dxa"/>
            <w:vAlign w:val="bottom"/>
            <w:tcBorders>
              <w:bottom w:val="single" w:sz="8" w:color="62259D"/>
            </w:tcBorders>
          </w:tcPr>
          <w:p>
            <w:pPr>
              <w:jc w:val="center"/>
              <w:ind w:right="171"/>
              <w:spacing w:after="0" w:line="54" w:lineRule="exact"/>
              <w:rPr>
                <w:sz w:val="20"/>
                <w:szCs w:val="20"/>
                <w:color w:val="auto"/>
              </w:rPr>
            </w:pPr>
            <w:r>
              <w:rPr>
                <w:rFonts w:ascii="Arial" w:cs="Arial" w:eastAsia="Arial" w:hAnsi="Arial"/>
                <w:sz w:val="6"/>
                <w:szCs w:val="6"/>
                <w:color w:val="auto"/>
              </w:rPr>
              <w:t>​</w:t>
            </w:r>
          </w:p>
        </w:tc>
        <w:tc>
          <w:tcPr>
            <w:tcW w:w="180" w:type="dxa"/>
            <w:vAlign w:val="bottom"/>
            <w:tcBorders>
              <w:bottom w:val="single" w:sz="8" w:color="62259D"/>
            </w:tcBorders>
            <w:vMerge w:val="continue"/>
          </w:tcPr>
          <w:p>
            <w:pPr>
              <w:spacing w:after="0"/>
              <w:rPr>
                <w:sz w:val="4"/>
                <w:szCs w:val="4"/>
                <w:color w:val="auto"/>
              </w:rPr>
            </w:pPr>
          </w:p>
        </w:tc>
        <w:tc>
          <w:tcPr>
            <w:tcW w:w="800" w:type="dxa"/>
            <w:vAlign w:val="bottom"/>
            <w:tcBorders>
              <w:bottom w:val="single" w:sz="8" w:color="62259D"/>
            </w:tcBorders>
          </w:tcPr>
          <w:p>
            <w:pPr>
              <w:ind w:left="300"/>
              <w:spacing w:after="0" w:line="54" w:lineRule="exact"/>
              <w:rPr>
                <w:sz w:val="20"/>
                <w:szCs w:val="20"/>
                <w:color w:val="auto"/>
              </w:rPr>
            </w:pPr>
            <w:r>
              <w:rPr>
                <w:rFonts w:ascii="Arial" w:cs="Arial" w:eastAsia="Arial" w:hAnsi="Arial"/>
                <w:sz w:val="6"/>
                <w:szCs w:val="6"/>
                <w:color w:val="auto"/>
              </w:rPr>
              <w:t>​</w:t>
            </w:r>
          </w:p>
        </w:tc>
        <w:tc>
          <w:tcPr>
            <w:tcW w:w="140" w:type="dxa"/>
            <w:vAlign w:val="bottom"/>
            <w:tcBorders>
              <w:bottom w:val="single" w:sz="8" w:color="62259D"/>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80" w:type="dxa"/>
            <w:vAlign w:val="bottom"/>
            <w:gridSpan w:val="10"/>
          </w:tcPr>
          <w:p>
            <w:pPr>
              <w:jc w:val="center"/>
              <w:spacing w:after="0"/>
              <w:rPr>
                <w:sz w:val="20"/>
                <w:szCs w:val="20"/>
                <w:color w:val="auto"/>
              </w:rPr>
            </w:pPr>
            <w:r>
              <w:rPr>
                <w:rFonts w:ascii="Arial" w:cs="Arial" w:eastAsia="Arial" w:hAnsi="Arial"/>
                <w:sz w:val="16"/>
                <w:szCs w:val="16"/>
                <w:b w:val="1"/>
                <w:bCs w:val="1"/>
                <w:color w:val="FEFEFE"/>
              </w:rPr>
              <w:t>Target Second Half 2025 SMCIP</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8"/>
          </w:tcPr>
          <w:p>
            <w:pPr>
              <w:jc w:val="center"/>
              <w:ind w:right="245"/>
              <w:spacing w:after="0"/>
              <w:rPr>
                <w:sz w:val="20"/>
                <w:szCs w:val="20"/>
                <w:color w:val="auto"/>
              </w:rPr>
            </w:pPr>
            <w:r>
              <w:rPr>
                <w:rFonts w:ascii="Arial" w:cs="Arial" w:eastAsia="Arial" w:hAnsi="Arial"/>
                <w:sz w:val="16"/>
                <w:szCs w:val="16"/>
                <w:b w:val="1"/>
                <w:bCs w:val="1"/>
                <w:color w:val="FEFEFE"/>
              </w:rPr>
              <w:t>Bonus Metrics for NEOs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gridSpan w:val="9"/>
          </w:tcPr>
          <w:p>
            <w:pPr>
              <w:jc w:val="center"/>
              <w:spacing w:after="0"/>
              <w:rPr>
                <w:sz w:val="20"/>
                <w:szCs w:val="20"/>
                <w:color w:val="auto"/>
              </w:rPr>
            </w:pPr>
            <w:r>
              <w:rPr>
                <w:rFonts w:ascii="Arial" w:cs="Arial" w:eastAsia="Arial" w:hAnsi="Arial"/>
                <w:sz w:val="16"/>
                <w:szCs w:val="16"/>
                <w:b w:val="1"/>
                <w:bCs w:val="1"/>
                <w:color w:val="FEFEFE"/>
              </w:rPr>
              <w:t>(70% weighting for Full Year)</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vMerge w:val="restart"/>
          </w:tcPr>
          <w:p>
            <w:pPr>
              <w:jc w:val="center"/>
              <w:ind w:right="147"/>
              <w:spacing w:after="0"/>
              <w:rPr>
                <w:sz w:val="20"/>
                <w:szCs w:val="20"/>
                <w:color w:val="auto"/>
              </w:rPr>
            </w:pPr>
            <w:r>
              <w:rPr>
                <w:rFonts w:ascii="Arial" w:cs="Arial" w:eastAsia="Arial" w:hAnsi="Arial"/>
                <w:sz w:val="16"/>
                <w:szCs w:val="16"/>
                <w:b w:val="1"/>
                <w:bCs w:val="1"/>
                <w:color w:val="FEFEFE"/>
              </w:rPr>
              <w:t>Actual</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6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FEFEFE"/>
              </w:rPr>
              <w:t>​​</w:t>
            </w:r>
          </w:p>
        </w:tc>
        <w:tc>
          <w:tcPr>
            <w:tcW w:w="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FEFEFE"/>
              </w:rPr>
              <w:t>​​</w:t>
            </w: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4"/>
            <w:vMerge w:val="restart"/>
          </w:tcPr>
          <w:p>
            <w:pPr>
              <w:ind w:left="240"/>
              <w:spacing w:after="0"/>
              <w:rPr>
                <w:sz w:val="20"/>
                <w:szCs w:val="20"/>
                <w:color w:val="auto"/>
              </w:rPr>
            </w:pPr>
            <w:r>
              <w:rPr>
                <w:rFonts w:ascii="Arial" w:cs="Arial" w:eastAsia="Arial" w:hAnsi="Arial"/>
                <w:sz w:val="16"/>
                <w:szCs w:val="16"/>
                <w:b w:val="1"/>
                <w:bCs w:val="1"/>
                <w:color w:val="FEFEFE"/>
              </w:rPr>
              <w:t>(in millions)</w:t>
            </w: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gridSpan w:val="4"/>
            <w:vMerge w:val="restart"/>
          </w:tcPr>
          <w:p>
            <w:pPr>
              <w:jc w:val="right"/>
              <w:ind w:right="162"/>
              <w:spacing w:after="0"/>
              <w:rPr>
                <w:sz w:val="20"/>
                <w:szCs w:val="20"/>
                <w:color w:val="auto"/>
              </w:rPr>
            </w:pPr>
            <w:r>
              <w:rPr>
                <w:rFonts w:ascii="Arial" w:cs="Arial" w:eastAsia="Arial" w:hAnsi="Arial"/>
                <w:sz w:val="16"/>
                <w:szCs w:val="16"/>
                <w:b w:val="1"/>
                <w:bCs w:val="1"/>
                <w:color w:val="FEFEFE"/>
              </w:rPr>
              <w:t>​</w:t>
            </w:r>
          </w:p>
        </w:tc>
        <w:tc>
          <w:tcPr>
            <w:tcW w:w="8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60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4"/>
            <w:vMerge w:val="continue"/>
          </w:tcPr>
          <w:p>
            <w:pPr>
              <w:spacing w:after="0"/>
              <w:rPr>
                <w:sz w:val="14"/>
                <w:szCs w:val="14"/>
                <w:color w:val="auto"/>
              </w:rPr>
            </w:pPr>
          </w:p>
        </w:tc>
        <w:tc>
          <w:tcPr>
            <w:tcW w:w="880" w:type="dxa"/>
            <w:vAlign w:val="bottom"/>
          </w:tcPr>
          <w:p>
            <w:pPr>
              <w:jc w:val="center"/>
              <w:ind w:right="147"/>
              <w:spacing w:after="0" w:line="143" w:lineRule="exact"/>
              <w:rPr>
                <w:sz w:val="20"/>
                <w:szCs w:val="20"/>
                <w:color w:val="auto"/>
              </w:rPr>
            </w:pPr>
            <w:r>
              <w:rPr>
                <w:rFonts w:ascii="Arial" w:cs="Arial" w:eastAsia="Arial" w:hAnsi="Arial"/>
                <w:sz w:val="16"/>
                <w:szCs w:val="16"/>
                <w:b w:val="1"/>
                <w:bCs w:val="1"/>
                <w:color w:val="FEFEFE"/>
              </w:rPr>
              <w:t>Second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Borders>
              <w:top w:val="single" w:sz="8" w:color="62259D"/>
            </w:tcBorders>
          </w:tcPr>
          <w:p>
            <w:pPr>
              <w:spacing w:after="0"/>
              <w:rPr>
                <w:sz w:val="16"/>
                <w:szCs w:val="16"/>
                <w:color w:val="auto"/>
              </w:rPr>
            </w:pPr>
          </w:p>
        </w:tc>
        <w:tc>
          <w:tcPr>
            <w:tcW w:w="40" w:type="dxa"/>
            <w:vAlign w:val="bottom"/>
            <w:tcBorders>
              <w:top w:val="single" w:sz="8" w:color="FEFEFE"/>
            </w:tcBorders>
          </w:tcPr>
          <w:p>
            <w:pPr>
              <w:spacing w:after="0"/>
              <w:rPr>
                <w:sz w:val="16"/>
                <w:szCs w:val="16"/>
                <w:color w:val="auto"/>
              </w:rPr>
            </w:pPr>
          </w:p>
        </w:tc>
        <w:tc>
          <w:tcPr>
            <w:tcW w:w="1000" w:type="dxa"/>
            <w:vAlign w:val="bottom"/>
            <w:tcBorders>
              <w:top w:val="single" w:sz="8" w:color="FEFEFE"/>
            </w:tcBorders>
            <w:gridSpan w:val="4"/>
          </w:tcPr>
          <w:p>
            <w:pPr>
              <w:spacing w:after="0"/>
              <w:rPr>
                <w:sz w:val="20"/>
                <w:szCs w:val="20"/>
                <w:color w:val="auto"/>
              </w:rPr>
            </w:pPr>
            <w:r>
              <w:rPr>
                <w:rFonts w:ascii="Arial" w:cs="Arial" w:eastAsia="Arial" w:hAnsi="Arial"/>
                <w:sz w:val="16"/>
                <w:szCs w:val="16"/>
                <w:b w:val="1"/>
                <w:bCs w:val="1"/>
                <w:color w:val="FEFEFE"/>
              </w:rPr>
              <w:t>Minimum</w:t>
            </w:r>
          </w:p>
        </w:tc>
        <w:tc>
          <w:tcPr>
            <w:tcW w:w="560" w:type="dxa"/>
            <w:vAlign w:val="bottom"/>
            <w:tcBorders>
              <w:top w:val="single" w:sz="8" w:color="FEFEFE"/>
            </w:tcBorders>
            <w:gridSpan w:val="2"/>
          </w:tcPr>
          <w:p>
            <w:pPr>
              <w:jc w:val="center"/>
              <w:spacing w:after="0"/>
              <w:rPr>
                <w:sz w:val="20"/>
                <w:szCs w:val="20"/>
                <w:color w:val="auto"/>
              </w:rPr>
            </w:pPr>
            <w:r>
              <w:rPr>
                <w:rFonts w:ascii="Arial" w:cs="Arial" w:eastAsia="Arial" w:hAnsi="Arial"/>
                <w:sz w:val="16"/>
                <w:szCs w:val="16"/>
                <w:b w:val="1"/>
                <w:bCs w:val="1"/>
                <w:color w:val="FEFEFE"/>
              </w:rPr>
              <w:t>Target</w:t>
            </w:r>
          </w:p>
        </w:tc>
        <w:tc>
          <w:tcPr>
            <w:tcW w:w="1080" w:type="dxa"/>
            <w:vAlign w:val="bottom"/>
            <w:tcBorders>
              <w:top w:val="single" w:sz="8" w:color="FEFEFE"/>
            </w:tcBorders>
            <w:gridSpan w:val="3"/>
          </w:tcPr>
          <w:p>
            <w:pPr>
              <w:jc w:val="right"/>
              <w:spacing w:after="0"/>
              <w:rPr>
                <w:sz w:val="20"/>
                <w:szCs w:val="20"/>
                <w:color w:val="auto"/>
              </w:rPr>
            </w:pPr>
            <w:r>
              <w:rPr>
                <w:rFonts w:ascii="Arial" w:cs="Arial" w:eastAsia="Arial" w:hAnsi="Arial"/>
                <w:sz w:val="16"/>
                <w:szCs w:val="16"/>
                <w:b w:val="1"/>
                <w:bCs w:val="1"/>
                <w:color w:val="FEFEFE"/>
              </w:rPr>
              <w:t>Maximum</w:t>
            </w:r>
          </w:p>
        </w:tc>
        <w:tc>
          <w:tcPr>
            <w:tcW w:w="60" w:type="dxa"/>
            <w:vAlign w:val="bottom"/>
            <w:tcBorders>
              <w:top w:val="single" w:sz="8" w:color="FEFEFE"/>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tcPr>
          <w:p>
            <w:pPr>
              <w:jc w:val="center"/>
              <w:ind w:right="87"/>
              <w:spacing w:after="0"/>
              <w:rPr>
                <w:sz w:val="20"/>
                <w:szCs w:val="20"/>
                <w:color w:val="auto"/>
              </w:rPr>
            </w:pPr>
            <w:r>
              <w:rPr>
                <w:rFonts w:ascii="Arial" w:cs="Arial" w:eastAsia="Arial" w:hAnsi="Arial"/>
                <w:sz w:val="16"/>
                <w:szCs w:val="16"/>
                <w:b w:val="1"/>
                <w:bCs w:val="1"/>
                <w:color w:val="FEFEFE"/>
              </w:rPr>
              <w:t>Half 2025</w:t>
            </w:r>
          </w:p>
        </w:tc>
        <w:tc>
          <w:tcPr>
            <w:tcW w:w="1320" w:type="dxa"/>
            <w:vAlign w:val="bottom"/>
            <w:gridSpan w:val="4"/>
          </w:tcPr>
          <w:p>
            <w:pPr>
              <w:jc w:val="center"/>
              <w:spacing w:after="0"/>
              <w:rPr>
                <w:sz w:val="20"/>
                <w:szCs w:val="20"/>
                <w:color w:val="auto"/>
              </w:rPr>
            </w:pPr>
            <w:r>
              <w:rPr>
                <w:rFonts w:ascii="Arial" w:cs="Arial" w:eastAsia="Arial" w:hAnsi="Arial"/>
                <w:sz w:val="16"/>
                <w:szCs w:val="16"/>
                <w:b w:val="1"/>
                <w:bCs w:val="1"/>
                <w:color w:val="FEFEFE"/>
              </w:rPr>
              <w:t>Second Half</w:t>
            </w:r>
          </w:p>
        </w:tc>
        <w:tc>
          <w:tcPr>
            <w:tcW w:w="800" w:type="dxa"/>
            <w:vAlign w:val="bottom"/>
          </w:tcPr>
          <w:p>
            <w:pPr>
              <w:jc w:val="center"/>
              <w:spacing w:after="0"/>
              <w:rPr>
                <w:sz w:val="20"/>
                <w:szCs w:val="20"/>
                <w:color w:val="auto"/>
              </w:rPr>
            </w:pPr>
            <w:r>
              <w:rPr>
                <w:rFonts w:ascii="Arial" w:cs="Arial" w:eastAsia="Arial" w:hAnsi="Arial"/>
                <w:sz w:val="16"/>
                <w:szCs w:val="16"/>
                <w:b w:val="1"/>
                <w:bCs w:val="1"/>
                <w:color w:val="FEFEFE"/>
              </w:rPr>
              <w:t>Second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gridSpan w:val="3"/>
          </w:tcPr>
          <w:p>
            <w:pPr>
              <w:ind w:left="260"/>
              <w:spacing w:after="0"/>
              <w:rPr>
                <w:sz w:val="20"/>
                <w:szCs w:val="20"/>
                <w:color w:val="auto"/>
              </w:rPr>
            </w:pPr>
            <w:r>
              <w:rPr>
                <w:rFonts w:ascii="Arial" w:cs="Arial" w:eastAsia="Arial" w:hAnsi="Arial"/>
                <w:sz w:val="16"/>
                <w:szCs w:val="16"/>
                <w:b w:val="1"/>
                <w:bCs w:val="1"/>
                <w:color w:val="FEFEFE"/>
              </w:rPr>
              <w:t>0%</w:t>
            </w:r>
          </w:p>
        </w:tc>
        <w:tc>
          <w:tcPr>
            <w:tcW w:w="420" w:type="dxa"/>
            <w:vAlign w:val="bottom"/>
          </w:tcPr>
          <w:p>
            <w:pPr>
              <w:spacing w:after="0"/>
              <w:rPr>
                <w:sz w:val="16"/>
                <w:szCs w:val="16"/>
                <w:color w:val="auto"/>
              </w:rPr>
            </w:pPr>
          </w:p>
        </w:tc>
        <w:tc>
          <w:tcPr>
            <w:tcW w:w="560" w:type="dxa"/>
            <w:vAlign w:val="bottom"/>
            <w:gridSpan w:val="2"/>
          </w:tcPr>
          <w:p>
            <w:pPr>
              <w:jc w:val="center"/>
              <w:spacing w:after="0"/>
              <w:rPr>
                <w:sz w:val="20"/>
                <w:szCs w:val="20"/>
                <w:color w:val="auto"/>
              </w:rPr>
            </w:pPr>
            <w:r>
              <w:rPr>
                <w:rFonts w:ascii="Arial" w:cs="Arial" w:eastAsia="Arial" w:hAnsi="Arial"/>
                <w:sz w:val="16"/>
                <w:szCs w:val="16"/>
                <w:b w:val="1"/>
                <w:bCs w:val="1"/>
                <w:color w:val="FEFEFE"/>
              </w:rPr>
              <w:t>100%</w:t>
            </w:r>
          </w:p>
        </w:tc>
        <w:tc>
          <w:tcPr>
            <w:tcW w:w="280" w:type="dxa"/>
            <w:vAlign w:val="bottom"/>
          </w:tcPr>
          <w:p>
            <w:pPr>
              <w:spacing w:after="0"/>
              <w:rPr>
                <w:sz w:val="16"/>
                <w:szCs w:val="16"/>
                <w:color w:val="auto"/>
              </w:rPr>
            </w:pPr>
          </w:p>
        </w:tc>
        <w:tc>
          <w:tcPr>
            <w:tcW w:w="800" w:type="dxa"/>
            <w:vAlign w:val="bottom"/>
            <w:gridSpan w:val="2"/>
          </w:tcPr>
          <w:p>
            <w:pPr>
              <w:jc w:val="right"/>
              <w:ind w:right="165"/>
              <w:spacing w:after="0"/>
              <w:rPr>
                <w:sz w:val="20"/>
                <w:szCs w:val="20"/>
                <w:color w:val="auto"/>
              </w:rPr>
            </w:pPr>
            <w:r>
              <w:rPr>
                <w:rFonts w:ascii="Arial" w:cs="Arial" w:eastAsia="Arial" w:hAnsi="Arial"/>
                <w:sz w:val="16"/>
                <w:szCs w:val="16"/>
                <w:b w:val="1"/>
                <w:bCs w:val="1"/>
                <w:color w:val="FEFEFE"/>
              </w:rPr>
              <w:t>200%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center"/>
              <w:ind w:right="127"/>
              <w:spacing w:after="0"/>
              <w:rPr>
                <w:sz w:val="20"/>
                <w:szCs w:val="20"/>
                <w:color w:val="auto"/>
              </w:rPr>
            </w:pPr>
            <w:r>
              <w:rPr>
                <w:rFonts w:ascii="Arial" w:cs="Arial" w:eastAsia="Arial" w:hAnsi="Arial"/>
                <w:sz w:val="16"/>
                <w:szCs w:val="16"/>
                <w:b w:val="1"/>
                <w:bCs w:val="1"/>
                <w:color w:val="FEFEFE"/>
              </w:rPr>
              <w:t>Results</w:t>
            </w:r>
          </w:p>
        </w:tc>
        <w:tc>
          <w:tcPr>
            <w:tcW w:w="20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6"/>
                <w:szCs w:val="16"/>
                <w:b w:val="1"/>
                <w:bCs w:val="1"/>
                <w:color w:val="FEFEFE"/>
              </w:rPr>
              <w:t>Payout</w:t>
            </w:r>
          </w:p>
        </w:tc>
        <w:tc>
          <w:tcPr>
            <w:tcW w:w="1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FEFEFE"/>
              </w:rPr>
              <w:t>Half 2025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600" w:type="dxa"/>
            <w:vAlign w:val="bottom"/>
            <w:gridSpan w:val="2"/>
          </w:tcPr>
          <w:p>
            <w:pPr>
              <w:ind w:left="40"/>
              <w:spacing w:after="0"/>
              <w:rPr>
                <w:sz w:val="20"/>
                <w:szCs w:val="20"/>
                <w:color w:val="auto"/>
              </w:rPr>
            </w:pPr>
            <w:r>
              <w:rPr>
                <w:rFonts w:ascii="Arial" w:cs="Arial" w:eastAsia="Arial" w:hAnsi="Arial"/>
                <w:sz w:val="16"/>
                <w:szCs w:val="16"/>
                <w:b w:val="1"/>
                <w:bCs w:val="1"/>
                <w:color w:val="FEFEFE"/>
              </w:rPr>
              <w:t>​Performance Metric</w:t>
            </w:r>
          </w:p>
        </w:tc>
        <w:tc>
          <w:tcPr>
            <w:tcW w:w="120" w:type="dxa"/>
            <w:vAlign w:val="bottom"/>
            <w:gridSpan w:val="2"/>
          </w:tcPr>
          <w:p>
            <w:pPr>
              <w:ind w:left="40"/>
              <w:spacing w:after="0"/>
              <w:rPr>
                <w:sz w:val="20"/>
                <w:szCs w:val="20"/>
                <w:color w:val="auto"/>
              </w:rPr>
            </w:pPr>
            <w:r>
              <w:rPr>
                <w:rFonts w:ascii="Arial" w:cs="Arial" w:eastAsia="Arial" w:hAnsi="Arial"/>
                <w:sz w:val="16"/>
                <w:szCs w:val="16"/>
                <w:b w:val="1"/>
                <w:bCs w:val="1"/>
                <w:color w:val="FEFEFE"/>
              </w:rPr>
              <w:t>​​</w:t>
            </w:r>
          </w:p>
        </w:tc>
        <w:tc>
          <w:tcPr>
            <w:tcW w:w="580" w:type="dxa"/>
            <w:vAlign w:val="bottom"/>
            <w:gridSpan w:val="3"/>
          </w:tcPr>
          <w:p>
            <w:pPr>
              <w:ind w:left="300"/>
              <w:spacing w:after="0"/>
              <w:rPr>
                <w:sz w:val="20"/>
                <w:szCs w:val="20"/>
                <w:color w:val="auto"/>
              </w:rPr>
            </w:pPr>
            <w:r>
              <w:rPr>
                <w:rFonts w:ascii="Arial" w:cs="Arial" w:eastAsia="Arial" w:hAnsi="Arial"/>
                <w:sz w:val="16"/>
                <w:szCs w:val="16"/>
                <w:b w:val="1"/>
                <w:bCs w:val="1"/>
                <w:color w:val="FEFEFE"/>
              </w:rPr>
              <w:t>($)</w:t>
            </w:r>
          </w:p>
        </w:tc>
        <w:tc>
          <w:tcPr>
            <w:tcW w:w="420" w:type="dxa"/>
            <w:vAlign w:val="bottom"/>
          </w:tcPr>
          <w:p>
            <w:pPr>
              <w:ind w:left="300"/>
              <w:spacing w:after="0"/>
              <w:rPr>
                <w:sz w:val="20"/>
                <w:szCs w:val="20"/>
                <w:color w:val="auto"/>
              </w:rPr>
            </w:pPr>
            <w:r>
              <w:rPr>
                <w:rFonts w:ascii="Arial" w:cs="Arial" w:eastAsia="Arial" w:hAnsi="Arial"/>
                <w:sz w:val="16"/>
                <w:szCs w:val="16"/>
                <w:b w:val="1"/>
                <w:bCs w:val="1"/>
                <w:color w:val="FEFEFE"/>
              </w:rPr>
              <w:t>​​</w:t>
            </w:r>
          </w:p>
        </w:tc>
        <w:tc>
          <w:tcPr>
            <w:tcW w:w="420" w:type="dxa"/>
            <w:vAlign w:val="bottom"/>
          </w:tcPr>
          <w:p>
            <w:pPr>
              <w:jc w:val="center"/>
              <w:ind w:left="84"/>
              <w:spacing w:after="0"/>
              <w:rPr>
                <w:sz w:val="20"/>
                <w:szCs w:val="20"/>
                <w:color w:val="auto"/>
              </w:rPr>
            </w:pPr>
            <w:r>
              <w:rPr>
                <w:rFonts w:ascii="Arial" w:cs="Arial" w:eastAsia="Arial" w:hAnsi="Arial"/>
                <w:sz w:val="16"/>
                <w:szCs w:val="16"/>
                <w:b w:val="1"/>
                <w:bCs w:val="1"/>
                <w:color w:val="FEFEFE"/>
              </w:rPr>
              <w:t>($)</w:t>
            </w:r>
          </w:p>
        </w:tc>
        <w:tc>
          <w:tcPr>
            <w:tcW w:w="1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FEFEFE"/>
              </w:rPr>
              <w:t>​​</w:t>
            </w:r>
          </w:p>
        </w:tc>
        <w:tc>
          <w:tcPr>
            <w:tcW w:w="180" w:type="dxa"/>
            <w:vAlign w:val="bottom"/>
          </w:tcPr>
          <w:p>
            <w:pPr>
              <w:spacing w:after="0"/>
              <w:rPr>
                <w:sz w:val="21"/>
                <w:szCs w:val="21"/>
                <w:color w:val="auto"/>
              </w:rPr>
            </w:pPr>
          </w:p>
        </w:tc>
        <w:tc>
          <w:tcPr>
            <w:tcW w:w="620" w:type="dxa"/>
            <w:vAlign w:val="bottom"/>
          </w:tcPr>
          <w:p>
            <w:pPr>
              <w:jc w:val="right"/>
              <w:ind w:right="245"/>
              <w:spacing w:after="0"/>
              <w:rPr>
                <w:sz w:val="20"/>
                <w:szCs w:val="20"/>
                <w:color w:val="auto"/>
              </w:rPr>
            </w:pPr>
            <w:r>
              <w:rPr>
                <w:rFonts w:ascii="Arial" w:cs="Arial" w:eastAsia="Arial" w:hAnsi="Arial"/>
                <w:sz w:val="16"/>
                <w:szCs w:val="16"/>
                <w:b w:val="1"/>
                <w:bCs w:val="1"/>
                <w:color w:val="FEFEFE"/>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40" w:type="dxa"/>
            <w:vAlign w:val="bottom"/>
            <w:gridSpan w:val="5"/>
          </w:tcPr>
          <w:p>
            <w:pPr>
              <w:spacing w:after="0" w:line="243" w:lineRule="exact"/>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5"/>
                <w:szCs w:val="15"/>
                <w:b w:val="1"/>
                <w:bCs w:val="1"/>
                <w:color w:val="FEFEFE"/>
              </w:rPr>
              <w:t xml:space="preserve">($ in millions) </w:t>
            </w:r>
            <w:r>
              <w:rPr>
                <w:rFonts w:ascii="Arial" w:cs="Arial" w:eastAsia="Arial" w:hAnsi="Arial"/>
                <w:sz w:val="28"/>
                <w:szCs w:val="28"/>
                <w:b w:val="1"/>
                <w:bCs w:val="1"/>
                <w:color w:val="FEFEFE"/>
                <w:vertAlign w:val="subscript"/>
              </w:rPr>
              <w:t>​​</w:t>
            </w:r>
          </w:p>
        </w:tc>
        <w:tc>
          <w:tcPr>
            <w:tcW w:w="200" w:type="dxa"/>
            <w:vAlign w:val="bottom"/>
          </w:tcPr>
          <w:p>
            <w:pPr>
              <w:spacing w:after="0"/>
              <w:rPr>
                <w:sz w:val="21"/>
                <w:szCs w:val="21"/>
                <w:color w:val="auto"/>
              </w:rPr>
            </w:pPr>
          </w:p>
        </w:tc>
        <w:tc>
          <w:tcPr>
            <w:tcW w:w="740" w:type="dxa"/>
            <w:vAlign w:val="bottom"/>
          </w:tcPr>
          <w:p>
            <w:pPr>
              <w:jc w:val="right"/>
              <w:ind w:right="111"/>
              <w:spacing w:after="0"/>
              <w:rPr>
                <w:sz w:val="20"/>
                <w:szCs w:val="20"/>
                <w:color w:val="auto"/>
              </w:rPr>
            </w:pPr>
            <w:r>
              <w:rPr>
                <w:rFonts w:ascii="Arial" w:cs="Arial" w:eastAsia="Arial" w:hAnsi="Arial"/>
                <w:sz w:val="16"/>
                <w:szCs w:val="16"/>
                <w:b w:val="1"/>
                <w:bCs w:val="1"/>
                <w:color w:val="FEFEFE"/>
              </w:rPr>
              <w:t>Result</w:t>
            </w:r>
          </w:p>
        </w:tc>
        <w:tc>
          <w:tcPr>
            <w:tcW w:w="1120" w:type="dxa"/>
            <w:vAlign w:val="bottom"/>
            <w:gridSpan w:val="3"/>
          </w:tcPr>
          <w:p>
            <w:pPr>
              <w:jc w:val="right"/>
              <w:spacing w:after="0" w:line="243" w:lineRule="exact"/>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5"/>
                <w:szCs w:val="15"/>
                <w:b w:val="1"/>
                <w:bCs w:val="1"/>
                <w:color w:val="FEFEFE"/>
              </w:rPr>
              <w:t xml:space="preserve">Weighting </w:t>
            </w:r>
            <w:r>
              <w:rPr>
                <w:rFonts w:ascii="Arial" w:cs="Arial" w:eastAsia="Arial" w:hAnsi="Arial"/>
                <w:sz w:val="28"/>
                <w:szCs w:val="28"/>
                <w:b w:val="1"/>
                <w:bCs w:val="1"/>
                <w:color w:val="FEFEFE"/>
                <w:vertAlign w:val="subscript"/>
              </w:rPr>
              <w:t>​</w:t>
            </w:r>
          </w:p>
        </w:tc>
        <w:tc>
          <w:tcPr>
            <w:tcW w:w="0" w:type="dxa"/>
            <w:vAlign w:val="bottom"/>
          </w:tcPr>
          <w:p>
            <w:pPr>
              <w:spacing w:after="0"/>
              <w:rPr>
                <w:sz w:val="1"/>
                <w:szCs w:val="1"/>
                <w:color w:val="auto"/>
              </w:rPr>
            </w:pPr>
          </w:p>
        </w:tc>
      </w:tr>
      <w:tr>
        <w:trPr>
          <w:trHeight w:val="256"/>
        </w:trPr>
        <w:tc>
          <w:tcPr>
            <w:tcW w:w="2600" w:type="dxa"/>
            <w:vAlign w:val="bottom"/>
            <w:tcBorders>
              <w:bottom w:val="single" w:sz="8" w:color="E7417A"/>
            </w:tcBorders>
            <w:gridSpan w:val="2"/>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Revenue</w:t>
            </w:r>
          </w:p>
        </w:tc>
        <w:tc>
          <w:tcPr>
            <w:tcW w:w="120" w:type="dxa"/>
            <w:vAlign w:val="bottom"/>
            <w:tcBorders>
              <w:bottom w:val="single" w:sz="8" w:color="E7417A"/>
            </w:tcBorders>
            <w:gridSpan w:val="2"/>
          </w:tcPr>
          <w:p>
            <w:pPr>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E7417A"/>
            </w:tcBorders>
            <w:gridSpan w:val="3"/>
          </w:tcPr>
          <w:p>
            <w:pPr>
              <w:ind w:left="24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​440</w:t>
            </w:r>
          </w:p>
        </w:tc>
        <w:tc>
          <w:tcPr>
            <w:tcW w:w="420" w:type="dxa"/>
            <w:vAlign w:val="bottom"/>
            <w:tcBorders>
              <w:bottom w:val="single" w:sz="8" w:color="E7417A"/>
            </w:tcBorders>
          </w:tcPr>
          <w:p>
            <w:pPr>
              <w:ind w:left="26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E7417A"/>
            </w:tcBorders>
            <w:gridSpan w:val="2"/>
          </w:tcPr>
          <w:p>
            <w:pPr>
              <w:jc w:val="right"/>
              <w:ind w:right="53"/>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​495</w:t>
            </w:r>
          </w:p>
        </w:tc>
        <w:tc>
          <w:tcPr>
            <w:tcW w:w="280" w:type="dxa"/>
            <w:vAlign w:val="bottom"/>
            <w:tcBorders>
              <w:bottom w:val="single" w:sz="8" w:color="E7417A"/>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spacing w:after="0"/>
              <w:rPr>
                <w:sz w:val="22"/>
                <w:szCs w:val="22"/>
                <w:color w:val="auto"/>
              </w:rPr>
            </w:pPr>
          </w:p>
        </w:tc>
        <w:tc>
          <w:tcPr>
            <w:tcW w:w="620" w:type="dxa"/>
            <w:vAlign w:val="bottom"/>
            <w:tcBorders>
              <w:bottom w:val="single" w:sz="8" w:color="E7417A"/>
            </w:tcBorders>
          </w:tcPr>
          <w:p>
            <w:pPr>
              <w:jc w:val="right"/>
              <w:ind w:right="205"/>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​520</w:t>
            </w:r>
          </w:p>
        </w:tc>
        <w:tc>
          <w:tcPr>
            <w:tcW w:w="360" w:type="dxa"/>
            <w:vAlign w:val="bottom"/>
            <w:tcBorders>
              <w:bottom w:val="single" w:sz="8" w:color="E7417A"/>
            </w:tcBorders>
            <w:gridSpan w:val="5"/>
          </w:tcPr>
          <w:p>
            <w:pPr>
              <w:jc w:val="right"/>
              <w:ind w:right="14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7417A"/>
            </w:tcBorders>
          </w:tcPr>
          <w:p>
            <w:pPr>
              <w:jc w:val="right"/>
              <w:ind w:right="307"/>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​443</w:t>
            </w:r>
          </w:p>
        </w:tc>
        <w:tc>
          <w:tcPr>
            <w:tcW w:w="20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7417A"/>
            </w:tcBorders>
          </w:tcPr>
          <w:p>
            <w:pPr>
              <w:spacing w:after="0"/>
              <w:rPr>
                <w:sz w:val="22"/>
                <w:szCs w:val="22"/>
                <w:color w:val="auto"/>
              </w:rPr>
            </w:pPr>
          </w:p>
        </w:tc>
        <w:tc>
          <w:tcPr>
            <w:tcW w:w="740" w:type="dxa"/>
            <w:vAlign w:val="bottom"/>
            <w:tcBorders>
              <w:bottom w:val="single" w:sz="8" w:color="E7417A"/>
            </w:tcBorders>
          </w:tcPr>
          <w:p>
            <w:pPr>
              <w:jc w:val="right"/>
              <w:ind w:right="131"/>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5%</w:t>
            </w:r>
          </w:p>
        </w:tc>
        <w:tc>
          <w:tcPr>
            <w:tcW w:w="18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7417A"/>
            </w:tcBorders>
          </w:tcPr>
          <w:p>
            <w:pPr>
              <w:ind w:left="3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​50%</w:t>
            </w:r>
          </w:p>
        </w:tc>
        <w:tc>
          <w:tcPr>
            <w:tcW w:w="14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0" w:type="dxa"/>
            <w:vAlign w:val="bottom"/>
            <w:vMerge w:val="restart"/>
          </w:tcPr>
          <w:p>
            <w:pPr>
              <w:spacing w:after="0"/>
              <w:rPr>
                <w:sz w:val="20"/>
                <w:szCs w:val="20"/>
                <w:color w:val="auto"/>
              </w:rPr>
            </w:pPr>
            <w:r>
              <w:rPr>
                <w:rFonts w:ascii="Arial" w:cs="Arial" w:eastAsia="Arial" w:hAnsi="Arial"/>
                <w:sz w:val="16"/>
                <w:szCs w:val="16"/>
                <w:color w:val="auto"/>
              </w:rPr>
              <w:t>​</w:t>
            </w:r>
          </w:p>
        </w:tc>
        <w:tc>
          <w:tcPr>
            <w:tcW w:w="2540" w:type="dxa"/>
            <w:vAlign w:val="bottom"/>
          </w:tcPr>
          <w:p>
            <w:pPr>
              <w:spacing w:after="0" w:line="183" w:lineRule="exact"/>
              <w:rPr>
                <w:sz w:val="20"/>
                <w:szCs w:val="20"/>
                <w:color w:val="auto"/>
              </w:rPr>
            </w:pPr>
            <w:r>
              <w:rPr>
                <w:rFonts w:ascii="Arial" w:cs="Arial" w:eastAsia="Arial" w:hAnsi="Arial"/>
                <w:sz w:val="16"/>
                <w:szCs w:val="16"/>
                <w:color w:val="auto"/>
              </w:rPr>
              <w:t>Adjusted EBITDA (pre-bonus)</w:t>
            </w:r>
            <w:r>
              <w:rPr>
                <w:rFonts w:ascii="Arial" w:cs="Arial" w:eastAsia="Arial" w:hAnsi="Arial"/>
                <w:sz w:val="19"/>
                <w:szCs w:val="19"/>
                <w:color w:val="auto"/>
                <w:vertAlign w:val="superscript"/>
              </w:rPr>
              <w:t>(1)</w:t>
            </w:r>
          </w:p>
        </w:tc>
        <w:tc>
          <w:tcPr>
            <w:tcW w:w="12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580" w:type="dxa"/>
            <w:vAlign w:val="bottom"/>
            <w:gridSpan w:val="3"/>
          </w:tcPr>
          <w:p>
            <w:pPr>
              <w:ind w:left="260"/>
              <w:spacing w:after="0" w:line="183" w:lineRule="exact"/>
              <w:rPr>
                <w:sz w:val="20"/>
                <w:szCs w:val="20"/>
                <w:color w:val="auto"/>
              </w:rPr>
            </w:pPr>
            <w:r>
              <w:rPr>
                <w:rFonts w:ascii="Arial" w:cs="Arial" w:eastAsia="Arial" w:hAnsi="Arial"/>
                <w:sz w:val="16"/>
                <w:szCs w:val="16"/>
                <w:color w:val="auto"/>
              </w:rPr>
              <w:t>​ 55</w:t>
            </w:r>
          </w:p>
        </w:tc>
        <w:tc>
          <w:tcPr>
            <w:tcW w:w="420" w:type="dxa"/>
            <w:vAlign w:val="bottom"/>
            <w:vMerge w:val="restart"/>
          </w:tcPr>
          <w:p>
            <w:pPr>
              <w:ind w:left="26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53"/>
              <w:spacing w:after="0" w:line="183" w:lineRule="exact"/>
              <w:rPr>
                <w:sz w:val="20"/>
                <w:szCs w:val="20"/>
                <w:color w:val="auto"/>
              </w:rPr>
            </w:pPr>
            <w:r>
              <w:rPr>
                <w:rFonts w:ascii="Arial" w:cs="Arial" w:eastAsia="Arial" w:hAnsi="Arial"/>
                <w:sz w:val="16"/>
                <w:szCs w:val="16"/>
                <w:color w:val="auto"/>
              </w:rPr>
              <w:t>​102</w:t>
            </w: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620" w:type="dxa"/>
            <w:vAlign w:val="bottom"/>
          </w:tcPr>
          <w:p>
            <w:pPr>
              <w:jc w:val="right"/>
              <w:ind w:right="205"/>
              <w:spacing w:after="0" w:line="183" w:lineRule="exact"/>
              <w:rPr>
                <w:sz w:val="20"/>
                <w:szCs w:val="20"/>
                <w:color w:val="auto"/>
              </w:rPr>
            </w:pPr>
            <w:r>
              <w:rPr>
                <w:rFonts w:ascii="Arial" w:cs="Arial" w:eastAsia="Arial" w:hAnsi="Arial"/>
                <w:sz w:val="16"/>
                <w:szCs w:val="16"/>
                <w:color w:val="auto"/>
              </w:rPr>
              <w:t>​125</w:t>
            </w:r>
          </w:p>
        </w:tc>
        <w:tc>
          <w:tcPr>
            <w:tcW w:w="360" w:type="dxa"/>
            <w:vAlign w:val="bottom"/>
            <w:gridSpan w:val="5"/>
            <w:vMerge w:val="restart"/>
          </w:tcPr>
          <w:p>
            <w:pPr>
              <w:jc w:val="right"/>
              <w:ind w:right="142"/>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07"/>
              <w:spacing w:after="0" w:line="183" w:lineRule="exact"/>
              <w:rPr>
                <w:sz w:val="20"/>
                <w:szCs w:val="20"/>
                <w:color w:val="auto"/>
              </w:rPr>
            </w:pPr>
            <w:r>
              <w:rPr>
                <w:rFonts w:ascii="Arial" w:cs="Arial" w:eastAsia="Arial" w:hAnsi="Arial"/>
                <w:sz w:val="16"/>
                <w:szCs w:val="16"/>
                <w:color w:val="auto"/>
              </w:rPr>
              <w:t>​ 71</w:t>
            </w:r>
          </w:p>
        </w:tc>
        <w:tc>
          <w:tcPr>
            <w:tcW w:w="20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740" w:type="dxa"/>
            <w:vAlign w:val="bottom"/>
          </w:tcPr>
          <w:p>
            <w:pPr>
              <w:jc w:val="right"/>
              <w:ind w:right="131"/>
              <w:spacing w:after="0" w:line="183" w:lineRule="exact"/>
              <w:rPr>
                <w:sz w:val="20"/>
                <w:szCs w:val="20"/>
                <w:color w:val="auto"/>
              </w:rPr>
            </w:pPr>
            <w:r>
              <w:rPr>
                <w:rFonts w:ascii="Arial" w:cs="Arial" w:eastAsia="Arial" w:hAnsi="Arial"/>
                <w:sz w:val="16"/>
                <w:szCs w:val="16"/>
                <w:color w:val="auto"/>
              </w:rPr>
              <w:t>​21%</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ind w:left="340"/>
              <w:spacing w:after="0" w:line="183" w:lineRule="exact"/>
              <w:rPr>
                <w:sz w:val="20"/>
                <w:szCs w:val="20"/>
                <w:color w:val="auto"/>
              </w:rPr>
            </w:pPr>
            <w:r>
              <w:rPr>
                <w:rFonts w:ascii="Arial" w:cs="Arial" w:eastAsia="Arial" w:hAnsi="Arial"/>
                <w:sz w:val="16"/>
                <w:szCs w:val="16"/>
                <w:color w:val="auto"/>
              </w:rPr>
              <w:t>​50%</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60" w:type="dxa"/>
            <w:vAlign w:val="bottom"/>
            <w:tcBorders>
              <w:bottom w:val="single" w:sz="8" w:color="E7417A"/>
            </w:tcBorders>
            <w:vMerge w:val="continue"/>
          </w:tcPr>
          <w:p>
            <w:pPr>
              <w:spacing w:after="0"/>
              <w:rPr>
                <w:sz w:val="5"/>
                <w:szCs w:val="5"/>
                <w:color w:val="auto"/>
              </w:rPr>
            </w:pPr>
          </w:p>
        </w:tc>
        <w:tc>
          <w:tcPr>
            <w:tcW w:w="2540" w:type="dxa"/>
            <w:vAlign w:val="bottom"/>
            <w:tcBorders>
              <w:bottom w:val="single" w:sz="8" w:color="E7417A"/>
            </w:tcBorders>
          </w:tcPr>
          <w:p>
            <w:pPr>
              <w:spacing w:after="0"/>
              <w:rPr>
                <w:sz w:val="5"/>
                <w:szCs w:val="5"/>
                <w:color w:val="auto"/>
              </w:rPr>
            </w:pPr>
          </w:p>
        </w:tc>
        <w:tc>
          <w:tcPr>
            <w:tcW w:w="120" w:type="dxa"/>
            <w:vAlign w:val="bottom"/>
            <w:tcBorders>
              <w:bottom w:val="single" w:sz="8" w:color="E7417A"/>
            </w:tcBorders>
            <w:gridSpan w:val="2"/>
            <w:vMerge w:val="continue"/>
          </w:tcPr>
          <w:p>
            <w:pPr>
              <w:spacing w:after="0"/>
              <w:rPr>
                <w:sz w:val="5"/>
                <w:szCs w:val="5"/>
                <w:color w:val="auto"/>
              </w:rPr>
            </w:pPr>
          </w:p>
        </w:tc>
        <w:tc>
          <w:tcPr>
            <w:tcW w:w="580" w:type="dxa"/>
            <w:vAlign w:val="bottom"/>
            <w:tcBorders>
              <w:bottom w:val="single" w:sz="8" w:color="E7417A"/>
            </w:tcBorders>
            <w:gridSpan w:val="3"/>
          </w:tcPr>
          <w:p>
            <w:pPr>
              <w:ind w:left="240"/>
              <w:spacing w:after="0" w:line="68" w:lineRule="exact"/>
              <w:rPr>
                <w:sz w:val="20"/>
                <w:szCs w:val="20"/>
                <w:color w:val="auto"/>
              </w:rPr>
            </w:pPr>
            <w:r>
              <w:rPr>
                <w:rFonts w:ascii="Arial" w:cs="Arial" w:eastAsia="Arial" w:hAnsi="Arial"/>
                <w:sz w:val="7"/>
                <w:szCs w:val="7"/>
                <w:color w:val="auto"/>
              </w:rPr>
              <w:t>​</w:t>
            </w:r>
          </w:p>
        </w:tc>
        <w:tc>
          <w:tcPr>
            <w:tcW w:w="420" w:type="dxa"/>
            <w:vAlign w:val="bottom"/>
            <w:tcBorders>
              <w:bottom w:val="single" w:sz="8" w:color="E7417A"/>
            </w:tcBorders>
            <w:vMerge w:val="continue"/>
          </w:tcPr>
          <w:p>
            <w:pPr>
              <w:spacing w:after="0"/>
              <w:rPr>
                <w:sz w:val="5"/>
                <w:szCs w:val="5"/>
                <w:color w:val="auto"/>
              </w:rPr>
            </w:pPr>
          </w:p>
        </w:tc>
        <w:tc>
          <w:tcPr>
            <w:tcW w:w="420" w:type="dxa"/>
            <w:vAlign w:val="bottom"/>
            <w:tcBorders>
              <w:bottom w:val="single" w:sz="8" w:color="E7417A"/>
            </w:tcBorders>
          </w:tcPr>
          <w:p>
            <w:pPr>
              <w:ind w:left="14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E7417A"/>
            </w:tcBorders>
          </w:tcPr>
          <w:p>
            <w:pPr>
              <w:spacing w:after="0"/>
              <w:rPr>
                <w:sz w:val="5"/>
                <w:szCs w:val="5"/>
                <w:color w:val="auto"/>
              </w:rPr>
            </w:pPr>
          </w:p>
        </w:tc>
        <w:tc>
          <w:tcPr>
            <w:tcW w:w="280" w:type="dxa"/>
            <w:vAlign w:val="bottom"/>
            <w:tcBorders>
              <w:bottom w:val="single" w:sz="8" w:color="E7417A"/>
            </w:tcBorders>
            <w:vMerge w:val="continue"/>
          </w:tcPr>
          <w:p>
            <w:pPr>
              <w:spacing w:after="0"/>
              <w:rPr>
                <w:sz w:val="5"/>
                <w:szCs w:val="5"/>
                <w:color w:val="auto"/>
              </w:rPr>
            </w:pPr>
          </w:p>
        </w:tc>
        <w:tc>
          <w:tcPr>
            <w:tcW w:w="180" w:type="dxa"/>
            <w:vAlign w:val="bottom"/>
            <w:tcBorders>
              <w:bottom w:val="single" w:sz="8" w:color="E7417A"/>
            </w:tcBorders>
          </w:tcPr>
          <w:p>
            <w:pPr>
              <w:spacing w:after="0"/>
              <w:rPr>
                <w:sz w:val="5"/>
                <w:szCs w:val="5"/>
                <w:color w:val="auto"/>
              </w:rPr>
            </w:pPr>
          </w:p>
        </w:tc>
        <w:tc>
          <w:tcPr>
            <w:tcW w:w="620" w:type="dxa"/>
            <w:vAlign w:val="bottom"/>
            <w:tcBorders>
              <w:bottom w:val="single" w:sz="8" w:color="E7417A"/>
            </w:tcBorders>
          </w:tcPr>
          <w:p>
            <w:pPr>
              <w:jc w:val="right"/>
              <w:ind w:right="485"/>
              <w:spacing w:after="0" w:line="68" w:lineRule="exact"/>
              <w:rPr>
                <w:sz w:val="20"/>
                <w:szCs w:val="20"/>
                <w:color w:val="auto"/>
              </w:rPr>
            </w:pPr>
            <w:r>
              <w:rPr>
                <w:rFonts w:ascii="Arial" w:cs="Arial" w:eastAsia="Arial" w:hAnsi="Arial"/>
                <w:sz w:val="7"/>
                <w:szCs w:val="7"/>
                <w:color w:val="auto"/>
              </w:rPr>
              <w:t>​</w:t>
            </w:r>
          </w:p>
        </w:tc>
        <w:tc>
          <w:tcPr>
            <w:tcW w:w="360" w:type="dxa"/>
            <w:vAlign w:val="bottom"/>
            <w:tcBorders>
              <w:bottom w:val="single" w:sz="8" w:color="E7417A"/>
            </w:tcBorders>
            <w:gridSpan w:val="5"/>
            <w:vMerge w:val="continue"/>
          </w:tcPr>
          <w:p>
            <w:pPr>
              <w:spacing w:after="0"/>
              <w:rPr>
                <w:sz w:val="5"/>
                <w:szCs w:val="5"/>
                <w:color w:val="auto"/>
              </w:rPr>
            </w:pPr>
          </w:p>
        </w:tc>
        <w:tc>
          <w:tcPr>
            <w:tcW w:w="880" w:type="dxa"/>
            <w:vAlign w:val="bottom"/>
            <w:tcBorders>
              <w:bottom w:val="single" w:sz="8" w:color="E7417A"/>
            </w:tcBorders>
          </w:tcPr>
          <w:p>
            <w:pPr>
              <w:jc w:val="right"/>
              <w:ind w:right="567"/>
              <w:spacing w:after="0" w:line="68" w:lineRule="exact"/>
              <w:rPr>
                <w:sz w:val="20"/>
                <w:szCs w:val="20"/>
                <w:color w:val="auto"/>
              </w:rPr>
            </w:pPr>
            <w:r>
              <w:rPr>
                <w:rFonts w:ascii="Arial" w:cs="Arial" w:eastAsia="Arial" w:hAnsi="Arial"/>
                <w:sz w:val="7"/>
                <w:szCs w:val="7"/>
                <w:color w:val="auto"/>
              </w:rPr>
              <w:t>​</w:t>
            </w:r>
          </w:p>
        </w:tc>
        <w:tc>
          <w:tcPr>
            <w:tcW w:w="200" w:type="dxa"/>
            <w:vAlign w:val="bottom"/>
            <w:tcBorders>
              <w:bottom w:val="single" w:sz="8" w:color="E7417A"/>
            </w:tcBorders>
            <w:vMerge w:val="continue"/>
          </w:tcPr>
          <w:p>
            <w:pPr>
              <w:spacing w:after="0"/>
              <w:rPr>
                <w:sz w:val="5"/>
                <w:szCs w:val="5"/>
                <w:color w:val="auto"/>
              </w:rPr>
            </w:pPr>
          </w:p>
        </w:tc>
        <w:tc>
          <w:tcPr>
            <w:tcW w:w="200" w:type="dxa"/>
            <w:vAlign w:val="bottom"/>
            <w:tcBorders>
              <w:bottom w:val="single" w:sz="8" w:color="E7417A"/>
            </w:tcBorders>
          </w:tcPr>
          <w:p>
            <w:pPr>
              <w:spacing w:after="0"/>
              <w:rPr>
                <w:sz w:val="5"/>
                <w:szCs w:val="5"/>
                <w:color w:val="auto"/>
              </w:rPr>
            </w:pPr>
          </w:p>
        </w:tc>
        <w:tc>
          <w:tcPr>
            <w:tcW w:w="740" w:type="dxa"/>
            <w:vAlign w:val="bottom"/>
            <w:tcBorders>
              <w:bottom w:val="single" w:sz="8" w:color="E7417A"/>
            </w:tcBorders>
          </w:tcPr>
          <w:p>
            <w:pPr>
              <w:jc w:val="right"/>
              <w:ind w:right="471"/>
              <w:spacing w:after="0" w:line="68" w:lineRule="exact"/>
              <w:rPr>
                <w:sz w:val="20"/>
                <w:szCs w:val="20"/>
                <w:color w:val="auto"/>
              </w:rPr>
            </w:pPr>
            <w:r>
              <w:rPr>
                <w:rFonts w:ascii="Arial" w:cs="Arial" w:eastAsia="Arial" w:hAnsi="Arial"/>
                <w:sz w:val="7"/>
                <w:szCs w:val="7"/>
                <w:color w:val="auto"/>
              </w:rPr>
              <w:t>​</w:t>
            </w:r>
          </w:p>
        </w:tc>
        <w:tc>
          <w:tcPr>
            <w:tcW w:w="180" w:type="dxa"/>
            <w:vAlign w:val="bottom"/>
            <w:tcBorders>
              <w:bottom w:val="single" w:sz="8" w:color="E7417A"/>
            </w:tcBorders>
            <w:vMerge w:val="continue"/>
          </w:tcPr>
          <w:p>
            <w:pPr>
              <w:spacing w:after="0"/>
              <w:rPr>
                <w:sz w:val="5"/>
                <w:szCs w:val="5"/>
                <w:color w:val="auto"/>
              </w:rPr>
            </w:pPr>
          </w:p>
        </w:tc>
        <w:tc>
          <w:tcPr>
            <w:tcW w:w="800" w:type="dxa"/>
            <w:vAlign w:val="bottom"/>
            <w:tcBorders>
              <w:bottom w:val="single" w:sz="8" w:color="E7417A"/>
            </w:tcBorders>
          </w:tcPr>
          <w:p>
            <w:pPr>
              <w:ind w:left="32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6"/>
                <w:szCs w:val="16"/>
                <w:b w:val="1"/>
                <w:bCs w:val="1"/>
                <w:color w:val="auto"/>
              </w:rPr>
              <w:t>Total Payout Result Based 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6"/>
                <w:szCs w:val="16"/>
                <w:b w:val="1"/>
                <w:bCs w:val="1"/>
                <w:color w:val="auto"/>
              </w:rPr>
              <w:t>First Half (30%) and Second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2540" w:type="dxa"/>
            <w:vAlign w:val="bottom"/>
          </w:tcPr>
          <w:p>
            <w:pPr>
              <w:spacing w:after="0"/>
              <w:rPr>
                <w:sz w:val="20"/>
                <w:szCs w:val="20"/>
                <w:color w:val="auto"/>
              </w:rPr>
            </w:pPr>
            <w:r>
              <w:rPr>
                <w:rFonts w:ascii="Arial" w:cs="Arial" w:eastAsia="Arial" w:hAnsi="Arial"/>
                <w:sz w:val="16"/>
                <w:szCs w:val="16"/>
                <w:b w:val="1"/>
                <w:bCs w:val="1"/>
                <w:color w:val="auto"/>
              </w:rPr>
              <w:t>Half</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00" w:type="dxa"/>
            <w:vAlign w:val="bottom"/>
            <w:tcBorders>
              <w:bottom w:val="single" w:sz="8" w:color="62259D"/>
            </w:tcBorders>
            <w:gridSpan w:val="2"/>
          </w:tcPr>
          <w:p>
            <w:pPr>
              <w:spacing w:after="0"/>
              <w:rPr>
                <w:sz w:val="20"/>
                <w:szCs w:val="20"/>
                <w:color w:val="auto"/>
              </w:rPr>
            </w:pPr>
            <w:r>
              <w:rPr>
                <w:rFonts w:ascii="Arial" w:cs="Arial" w:eastAsia="Arial" w:hAnsi="Arial"/>
                <w:sz w:val="16"/>
                <w:szCs w:val="16"/>
                <w:b w:val="1"/>
                <w:bCs w:val="1"/>
                <w:color w:val="auto"/>
              </w:rPr>
              <w:t>​(70%) Weighting</w:t>
            </w:r>
          </w:p>
        </w:tc>
        <w:tc>
          <w:tcPr>
            <w:tcW w:w="120" w:type="dxa"/>
            <w:vAlign w:val="bottom"/>
            <w:tcBorders>
              <w:bottom w:val="single" w:sz="8" w:color="62259D"/>
            </w:tcBorders>
            <w:gridSpan w:val="2"/>
          </w:tcPr>
          <w:p>
            <w:pPr>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62259D"/>
            </w:tcBorders>
          </w:tcPr>
          <w:p>
            <w:pPr>
              <w:spacing w:after="0"/>
              <w:rPr>
                <w:sz w:val="20"/>
                <w:szCs w:val="20"/>
                <w:color w:val="auto"/>
              </w:rPr>
            </w:pPr>
          </w:p>
        </w:tc>
        <w:tc>
          <w:tcPr>
            <w:tcW w:w="80" w:type="dxa"/>
            <w:vAlign w:val="bottom"/>
            <w:tcBorders>
              <w:bottom w:val="single" w:sz="8" w:color="62259D"/>
            </w:tcBorders>
          </w:tcPr>
          <w:p>
            <w:pPr>
              <w:spacing w:after="0"/>
              <w:rPr>
                <w:sz w:val="20"/>
                <w:szCs w:val="20"/>
                <w:color w:val="auto"/>
              </w:rPr>
            </w:pPr>
          </w:p>
        </w:tc>
        <w:tc>
          <w:tcPr>
            <w:tcW w:w="220" w:type="dxa"/>
            <w:vAlign w:val="bottom"/>
            <w:tcBorders>
              <w:bottom w:val="single" w:sz="8" w:color="62259D"/>
            </w:tcBorders>
          </w:tcPr>
          <w:p>
            <w:pPr>
              <w:spacing w:after="0"/>
              <w:rPr>
                <w:sz w:val="20"/>
                <w:szCs w:val="20"/>
                <w:color w:val="auto"/>
              </w:rPr>
            </w:pPr>
          </w:p>
        </w:tc>
        <w:tc>
          <w:tcPr>
            <w:tcW w:w="420" w:type="dxa"/>
            <w:vAlign w:val="bottom"/>
            <w:tcBorders>
              <w:bottom w:val="single" w:sz="8" w:color="62259D"/>
            </w:tcBorders>
          </w:tcPr>
          <w:p>
            <w:pPr>
              <w:spacing w:after="0"/>
              <w:rPr>
                <w:sz w:val="20"/>
                <w:szCs w:val="20"/>
                <w:color w:val="auto"/>
              </w:rPr>
            </w:pPr>
          </w:p>
        </w:tc>
        <w:tc>
          <w:tcPr>
            <w:tcW w:w="420" w:type="dxa"/>
            <w:vAlign w:val="bottom"/>
            <w:tcBorders>
              <w:bottom w:val="single" w:sz="8" w:color="62259D"/>
            </w:tcBorders>
          </w:tcPr>
          <w:p>
            <w:pPr>
              <w:spacing w:after="0"/>
              <w:rPr>
                <w:sz w:val="20"/>
                <w:szCs w:val="20"/>
                <w:color w:val="auto"/>
              </w:rPr>
            </w:pPr>
          </w:p>
        </w:tc>
        <w:tc>
          <w:tcPr>
            <w:tcW w:w="140" w:type="dxa"/>
            <w:vAlign w:val="bottom"/>
            <w:tcBorders>
              <w:bottom w:val="single" w:sz="8" w:color="62259D"/>
            </w:tcBorders>
          </w:tcPr>
          <w:p>
            <w:pPr>
              <w:spacing w:after="0"/>
              <w:rPr>
                <w:sz w:val="20"/>
                <w:szCs w:val="20"/>
                <w:color w:val="auto"/>
              </w:rPr>
            </w:pPr>
          </w:p>
        </w:tc>
        <w:tc>
          <w:tcPr>
            <w:tcW w:w="280" w:type="dxa"/>
            <w:vAlign w:val="bottom"/>
            <w:tcBorders>
              <w:bottom w:val="single" w:sz="8" w:color="62259D"/>
            </w:tcBorders>
          </w:tcPr>
          <w:p>
            <w:pPr>
              <w:spacing w:after="0"/>
              <w:rPr>
                <w:sz w:val="20"/>
                <w:szCs w:val="20"/>
                <w:color w:val="auto"/>
              </w:rPr>
            </w:pPr>
          </w:p>
        </w:tc>
        <w:tc>
          <w:tcPr>
            <w:tcW w:w="180" w:type="dxa"/>
            <w:vAlign w:val="bottom"/>
            <w:tcBorders>
              <w:bottom w:val="single" w:sz="8" w:color="62259D"/>
            </w:tcBorders>
          </w:tcPr>
          <w:p>
            <w:pPr>
              <w:spacing w:after="0"/>
              <w:rPr>
                <w:sz w:val="20"/>
                <w:szCs w:val="20"/>
                <w:color w:val="auto"/>
              </w:rPr>
            </w:pPr>
          </w:p>
        </w:tc>
        <w:tc>
          <w:tcPr>
            <w:tcW w:w="620" w:type="dxa"/>
            <w:vAlign w:val="bottom"/>
            <w:tcBorders>
              <w:bottom w:val="single" w:sz="8" w:color="62259D"/>
            </w:tcBorders>
          </w:tcPr>
          <w:p>
            <w:pPr>
              <w:spacing w:after="0"/>
              <w:rPr>
                <w:sz w:val="20"/>
                <w:szCs w:val="20"/>
                <w:color w:val="auto"/>
              </w:rPr>
            </w:pPr>
          </w:p>
        </w:tc>
        <w:tc>
          <w:tcPr>
            <w:tcW w:w="1240" w:type="dxa"/>
            <w:vAlign w:val="bottom"/>
            <w:tcBorders>
              <w:bottom w:val="single" w:sz="8" w:color="62259D"/>
            </w:tcBorders>
            <w:gridSpan w:val="6"/>
          </w:tcPr>
          <w:p>
            <w:pPr>
              <w:jc w:val="right"/>
              <w:ind w:right="547"/>
              <w:spacing w:after="0"/>
              <w:rPr>
                <w:sz w:val="20"/>
                <w:szCs w:val="20"/>
                <w:color w:val="auto"/>
              </w:rPr>
            </w:pPr>
            <w:r>
              <w:rPr>
                <w:rFonts w:ascii="Arial" w:cs="Arial" w:eastAsia="Arial" w:hAnsi="Arial"/>
                <w:sz w:val="16"/>
                <w:szCs w:val="16"/>
                <w:b w:val="1"/>
                <w:bCs w:val="1"/>
                <w:color w:val="auto"/>
              </w:rPr>
              <w:t>31.6%</w:t>
            </w:r>
          </w:p>
        </w:tc>
        <w:tc>
          <w:tcPr>
            <w:tcW w:w="200" w:type="dxa"/>
            <w:vAlign w:val="bottom"/>
            <w:tcBorders>
              <w:bottom w:val="single" w:sz="8" w:color="62259D"/>
            </w:tcBorders>
          </w:tcPr>
          <w:p>
            <w:pPr>
              <w:spacing w:after="0"/>
              <w:rPr>
                <w:sz w:val="20"/>
                <w:szCs w:val="20"/>
                <w:color w:val="auto"/>
              </w:rPr>
            </w:pPr>
          </w:p>
        </w:tc>
        <w:tc>
          <w:tcPr>
            <w:tcW w:w="200" w:type="dxa"/>
            <w:vAlign w:val="bottom"/>
            <w:tcBorders>
              <w:bottom w:val="single" w:sz="8" w:color="62259D"/>
            </w:tcBorders>
          </w:tcPr>
          <w:p>
            <w:pPr>
              <w:spacing w:after="0"/>
              <w:rPr>
                <w:sz w:val="20"/>
                <w:szCs w:val="20"/>
                <w:color w:val="auto"/>
              </w:rPr>
            </w:pPr>
          </w:p>
        </w:tc>
        <w:tc>
          <w:tcPr>
            <w:tcW w:w="740" w:type="dxa"/>
            <w:vAlign w:val="bottom"/>
            <w:tcBorders>
              <w:bottom w:val="single" w:sz="8" w:color="62259D"/>
            </w:tcBorders>
          </w:tcPr>
          <w:p>
            <w:pPr>
              <w:spacing w:after="0"/>
              <w:rPr>
                <w:sz w:val="20"/>
                <w:szCs w:val="20"/>
                <w:color w:val="auto"/>
              </w:rPr>
            </w:pPr>
          </w:p>
        </w:tc>
        <w:tc>
          <w:tcPr>
            <w:tcW w:w="180" w:type="dxa"/>
            <w:vAlign w:val="bottom"/>
            <w:tcBorders>
              <w:bottom w:val="single" w:sz="8" w:color="62259D"/>
            </w:tcBorders>
          </w:tcPr>
          <w:p>
            <w:pPr>
              <w:spacing w:after="0"/>
              <w:rPr>
                <w:sz w:val="20"/>
                <w:szCs w:val="20"/>
                <w:color w:val="auto"/>
              </w:rPr>
            </w:pPr>
          </w:p>
        </w:tc>
        <w:tc>
          <w:tcPr>
            <w:tcW w:w="800" w:type="dxa"/>
            <w:vAlign w:val="bottom"/>
            <w:tcBorders>
              <w:bottom w:val="single" w:sz="8" w:color="62259D"/>
            </w:tcBorders>
          </w:tcPr>
          <w:p>
            <w:pPr>
              <w:spacing w:after="0"/>
              <w:rPr>
                <w:sz w:val="20"/>
                <w:szCs w:val="20"/>
                <w:color w:val="auto"/>
              </w:rPr>
            </w:pPr>
          </w:p>
        </w:tc>
        <w:tc>
          <w:tcPr>
            <w:tcW w:w="140" w:type="dxa"/>
            <w:vAlign w:val="bottom"/>
            <w:tcBorders>
              <w:bottom w:val="single" w:sz="8" w:color="62259D"/>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-1799590</wp:posOffset>
            </wp:positionV>
            <wp:extent cx="5623560" cy="9347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623560" cy="934720"/>
                    </a:xfrm>
                    <a:prstGeom prst="rect">
                      <a:avLst/>
                    </a:prstGeom>
                    <a:noFill/>
                  </pic:spPr>
                </pic:pic>
              </a:graphicData>
            </a:graphic>
          </wp:anchor>
        </w:drawing>
      </w:r>
    </w:p>
    <w:p>
      <w:pPr>
        <w:spacing w:after="0" w:line="168" w:lineRule="exact"/>
        <w:rPr>
          <w:sz w:val="20"/>
          <w:szCs w:val="20"/>
          <w:color w:val="auto"/>
        </w:rPr>
      </w:pPr>
    </w:p>
    <w:p>
      <w:pPr>
        <w:ind w:left="1400" w:right="539" w:hanging="368"/>
        <w:spacing w:after="0" w:line="259" w:lineRule="auto"/>
        <w:tabs>
          <w:tab w:leader="none" w:pos="14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Adjusted EBITDA (pre-bonus) is calculated by excluding from (Loss) income from operations: depreciation; amortization of acquired intangible assets; stock-based compensation; acquisition-related inventory adjustments; certain litigation costs; impairment of goodwill; acquisition-, disposal- and integration related expense; and restructuring and related expense.</w:t>
      </w:r>
    </w:p>
    <w:p>
      <w:pPr>
        <w:spacing w:after="0" w:line="79" w:lineRule="exact"/>
        <w:rPr>
          <w:sz w:val="20"/>
          <w:szCs w:val="20"/>
          <w:color w:val="auto"/>
        </w:rPr>
      </w:pPr>
    </w:p>
    <w:p>
      <w:pPr>
        <w:jc w:val="both"/>
        <w:ind w:left="920" w:right="359"/>
        <w:spacing w:after="0" w:line="261" w:lineRule="auto"/>
        <w:rPr>
          <w:sz w:val="20"/>
          <w:szCs w:val="20"/>
          <w:color w:val="auto"/>
        </w:rPr>
      </w:pPr>
      <w:r>
        <w:rPr>
          <w:rFonts w:ascii="Arial" w:cs="Arial" w:eastAsia="Arial" w:hAnsi="Arial"/>
          <w:sz w:val="18"/>
          <w:szCs w:val="18"/>
          <w:color w:val="auto"/>
        </w:rPr>
        <w:t>As noted in the table above, for the first six months of 2025, revenue and Adjusted EBITDA (pre-bonus) were approximately $402 million and $40 million, respectively, which would result in a first-half payout of approximately 75% under the SMCIP. For the last six months of 2025, revenue and</w:t>
      </w:r>
    </w:p>
    <w:p>
      <w:pPr>
        <w:spacing w:after="0" w:line="14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159"/>
        <w:spacing w:after="0" w:line="244" w:lineRule="auto"/>
        <w:rPr>
          <w:sz w:val="20"/>
          <w:szCs w:val="20"/>
          <w:color w:val="auto"/>
        </w:rPr>
      </w:pPr>
      <w:r>
        <w:rPr>
          <w:rFonts w:ascii="Arial" w:cs="Arial" w:eastAsia="Arial" w:hAnsi="Arial"/>
          <w:sz w:val="18"/>
          <w:szCs w:val="18"/>
          <w:color w:val="auto"/>
        </w:rPr>
        <w:t>Adjusted EBITDA (pre-bonus) were approximately $443 million and $71 million, respectively, which would result in a second-half payout of approximately 13% under the SMCIP, and a total full year payout (given the respective weighting of the first half (30%) and second half (70%)) of approximately 32%. However, in reviewing the Company’s 2025 results, in particular the Company’s sales in the fourth quarter compared to internal expectations, the Compensation Committee, in consultation with the Board, elected to use its discretion under the SMCIP to decrease the payouts to participants to levels equivalent to the Company achieving 30% of target for the full year. The Compensation Committee did not further adjust the individual payout under the SMCIP to any NEO based on his individual performance in 2025.</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a result, the bonuses paid to the NEOs in 2025 under the SMCIP were as follows:</w:t>
      </w:r>
    </w:p>
    <w:p>
      <w:pPr>
        <w:spacing w:after="0" w:line="176" w:lineRule="exact"/>
        <w:rPr>
          <w:sz w:val="20"/>
          <w:szCs w:val="20"/>
          <w:color w:val="auto"/>
        </w:rPr>
      </w:pPr>
    </w:p>
    <w:tbl>
      <w:tblPr>
        <w:tblLayout w:type="fixed"/>
        <w:tblInd w:w="1280" w:type="dxa"/>
        <w:tblCellMar>
          <w:top w:w="0" w:type="dxa"/>
          <w:left w:w="0" w:type="dxa"/>
          <w:bottom w:w="0" w:type="dxa"/>
          <w:right w:w="0" w:type="dxa"/>
        </w:tblCellMar>
      </w:tblPr>
      <w:tr>
        <w:trPr>
          <w:trHeight w:val="215"/>
        </w:trPr>
        <w:tc>
          <w:tcPr>
            <w:tcW w:w="3220" w:type="dxa"/>
            <w:vAlign w:val="bottom"/>
            <w:shd w:val="clear" w:color="auto" w:fill="62259D"/>
          </w:tcPr>
          <w:p>
            <w:pPr>
              <w:spacing w:after="0"/>
              <w:rPr>
                <w:sz w:val="18"/>
                <w:szCs w:val="18"/>
                <w:color w:val="auto"/>
              </w:rPr>
            </w:pPr>
          </w:p>
        </w:tc>
        <w:tc>
          <w:tcPr>
            <w:tcW w:w="1240" w:type="dxa"/>
            <w:vAlign w:val="bottom"/>
            <w:shd w:val="clear" w:color="auto" w:fill="62259D"/>
          </w:tcPr>
          <w:p>
            <w:pPr>
              <w:spacing w:after="0"/>
              <w:rPr>
                <w:sz w:val="18"/>
                <w:szCs w:val="18"/>
                <w:color w:val="auto"/>
              </w:rPr>
            </w:pPr>
          </w:p>
        </w:tc>
        <w:tc>
          <w:tcPr>
            <w:tcW w:w="2040" w:type="dxa"/>
            <w:vAlign w:val="bottom"/>
            <w:gridSpan w:val="3"/>
            <w:shd w:val="clear" w:color="auto" w:fill="62259D"/>
          </w:tcPr>
          <w:p>
            <w:pPr>
              <w:spacing w:after="0"/>
              <w:rPr>
                <w:sz w:val="20"/>
                <w:szCs w:val="20"/>
                <w:color w:val="auto"/>
              </w:rPr>
            </w:pPr>
            <w:r>
              <w:rPr>
                <w:rFonts w:ascii="Arial" w:cs="Arial" w:eastAsia="Arial" w:hAnsi="Arial"/>
                <w:sz w:val="16"/>
                <w:szCs w:val="16"/>
                <w:b w:val="1"/>
                <w:bCs w:val="1"/>
                <w:color w:val="FEFEFE"/>
              </w:rPr>
              <w:t>Target Annual Bonus</w:t>
            </w:r>
          </w:p>
        </w:tc>
        <w:tc>
          <w:tcPr>
            <w:tcW w:w="1460" w:type="dxa"/>
            <w:vAlign w:val="bottom"/>
            <w:gridSpan w:val="2"/>
            <w:shd w:val="clear" w:color="auto" w:fill="62259D"/>
          </w:tcPr>
          <w:p>
            <w:pPr>
              <w:ind w:left="20"/>
              <w:spacing w:after="0"/>
              <w:rPr>
                <w:sz w:val="20"/>
                <w:szCs w:val="20"/>
                <w:color w:val="auto"/>
              </w:rPr>
            </w:pPr>
            <w:r>
              <w:rPr>
                <w:rFonts w:ascii="Arial" w:cs="Arial" w:eastAsia="Arial" w:hAnsi="Arial"/>
                <w:sz w:val="16"/>
                <w:szCs w:val="16"/>
                <w:b w:val="1"/>
                <w:bCs w:val="1"/>
                <w:color w:val="FEFEFE"/>
              </w:rPr>
              <w:t>Cash Bonus Paid</w:t>
            </w:r>
          </w:p>
        </w:tc>
        <w:tc>
          <w:tcPr>
            <w:tcW w:w="180" w:type="dxa"/>
            <w:vAlign w:val="bottom"/>
            <w:shd w:val="clear" w:color="auto" w:fill="62259D"/>
          </w:tcPr>
          <w:p>
            <w:pPr>
              <w:spacing w:after="0"/>
              <w:rPr>
                <w:sz w:val="18"/>
                <w:szCs w:val="18"/>
                <w:color w:val="auto"/>
              </w:rPr>
            </w:pPr>
          </w:p>
        </w:tc>
      </w:tr>
      <w:tr>
        <w:trPr>
          <w:trHeight w:val="230"/>
        </w:trPr>
        <w:tc>
          <w:tcPr>
            <w:tcW w:w="322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​Named Executive Officer</w:t>
            </w:r>
          </w:p>
        </w:tc>
        <w:tc>
          <w:tcPr>
            <w:tcW w:w="1240" w:type="dxa"/>
            <w:vAlign w:val="bottom"/>
            <w:shd w:val="clear" w:color="auto" w:fill="62259D"/>
          </w:tcPr>
          <w:p>
            <w:pPr>
              <w:ind w:left="1080"/>
              <w:spacing w:after="0"/>
              <w:rPr>
                <w:sz w:val="20"/>
                <w:szCs w:val="20"/>
                <w:color w:val="auto"/>
              </w:rPr>
            </w:pPr>
            <w:r>
              <w:rPr>
                <w:rFonts w:ascii="Arial" w:cs="Arial" w:eastAsia="Arial" w:hAnsi="Arial"/>
                <w:sz w:val="16"/>
                <w:szCs w:val="16"/>
                <w:b w:val="1"/>
                <w:bCs w:val="1"/>
                <w:color w:val="FEFEFE"/>
              </w:rPr>
              <w:t>​ ​</w:t>
            </w:r>
          </w:p>
        </w:tc>
        <w:tc>
          <w:tcPr>
            <w:tcW w:w="1620" w:type="dxa"/>
            <w:vAlign w:val="bottom"/>
            <w:gridSpan w:val="2"/>
            <w:shd w:val="clear" w:color="auto" w:fill="62259D"/>
          </w:tcPr>
          <w:p>
            <w:pPr>
              <w:ind w:left="360"/>
              <w:spacing w:after="0"/>
              <w:rPr>
                <w:sz w:val="20"/>
                <w:szCs w:val="20"/>
                <w:color w:val="auto"/>
              </w:rPr>
            </w:pPr>
            <w:r>
              <w:rPr>
                <w:rFonts w:ascii="Arial" w:cs="Arial" w:eastAsia="Arial" w:hAnsi="Arial"/>
                <w:sz w:val="16"/>
                <w:szCs w:val="16"/>
                <w:b w:val="1"/>
                <w:bCs w:val="1"/>
                <w:color w:val="FEFEFE"/>
              </w:rPr>
              <w:t>Under SMCIP</w:t>
            </w:r>
          </w:p>
        </w:tc>
        <w:tc>
          <w:tcPr>
            <w:tcW w:w="420" w:type="dxa"/>
            <w:vAlign w:val="bottom"/>
            <w:shd w:val="clear" w:color="auto" w:fill="62259D"/>
          </w:tcPr>
          <w:p>
            <w:pPr>
              <w:ind w:left="260"/>
              <w:spacing w:after="0"/>
              <w:rPr>
                <w:sz w:val="20"/>
                <w:szCs w:val="20"/>
                <w:color w:val="auto"/>
              </w:rPr>
            </w:pPr>
            <w:r>
              <w:rPr>
                <w:rFonts w:ascii="Arial" w:cs="Arial" w:eastAsia="Arial" w:hAnsi="Arial"/>
                <w:sz w:val="16"/>
                <w:szCs w:val="16"/>
                <w:b w:val="1"/>
                <w:bCs w:val="1"/>
                <w:color w:val="FEFEFE"/>
              </w:rPr>
              <w:t>​ ​</w:t>
            </w:r>
          </w:p>
        </w:tc>
        <w:tc>
          <w:tcPr>
            <w:tcW w:w="1460" w:type="dxa"/>
            <w:vAlign w:val="bottom"/>
            <w:gridSpan w:val="2"/>
            <w:shd w:val="clear" w:color="auto" w:fill="62259D"/>
          </w:tcPr>
          <w:p>
            <w:pPr>
              <w:ind w:left="200"/>
              <w:spacing w:after="0"/>
              <w:rPr>
                <w:sz w:val="20"/>
                <w:szCs w:val="20"/>
                <w:color w:val="auto"/>
              </w:rPr>
            </w:pPr>
            <w:r>
              <w:rPr>
                <w:rFonts w:ascii="Arial" w:cs="Arial" w:eastAsia="Arial" w:hAnsi="Arial"/>
                <w:sz w:val="16"/>
                <w:szCs w:val="16"/>
                <w:b w:val="1"/>
                <w:bCs w:val="1"/>
                <w:color w:val="FEFEFE"/>
              </w:rPr>
              <w:t>Under SMCIP</w:t>
            </w:r>
          </w:p>
        </w:tc>
        <w:tc>
          <w:tcPr>
            <w:tcW w:w="180" w:type="dxa"/>
            <w:vAlign w:val="bottom"/>
            <w:shd w:val="clear" w:color="auto" w:fill="62259D"/>
          </w:tcPr>
          <w:p>
            <w:pPr>
              <w:ind w:left="120"/>
              <w:spacing w:after="0"/>
              <w:rPr>
                <w:sz w:val="20"/>
                <w:szCs w:val="20"/>
                <w:color w:val="auto"/>
              </w:rPr>
            </w:pPr>
            <w:r>
              <w:rPr>
                <w:rFonts w:ascii="Arial" w:cs="Arial" w:eastAsia="Arial" w:hAnsi="Arial"/>
                <w:sz w:val="16"/>
                <w:szCs w:val="16"/>
                <w:b w:val="1"/>
                <w:bCs w:val="1"/>
                <w:color w:val="FEFEFE"/>
              </w:rPr>
              <w:t>​</w:t>
            </w:r>
          </w:p>
        </w:tc>
      </w:tr>
      <w:tr>
        <w:trPr>
          <w:trHeight w:val="256"/>
        </w:trPr>
        <w:tc>
          <w:tcPr>
            <w:tcW w:w="3220" w:type="dxa"/>
            <w:vAlign w:val="bottom"/>
            <w:tcBorders>
              <w:bottom w:val="single" w:sz="8" w:color="E7417A"/>
            </w:tcBorders>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Bruce McClelland</w:t>
            </w:r>
          </w:p>
        </w:tc>
        <w:tc>
          <w:tcPr>
            <w:tcW w:w="1240" w:type="dxa"/>
            <w:vAlign w:val="bottom"/>
            <w:tcBorders>
              <w:bottom w:val="single" w:sz="8" w:color="E7417A"/>
            </w:tcBorders>
          </w:tcPr>
          <w:p>
            <w:pPr>
              <w:ind w:left="102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E7417A"/>
            </w:tcBorders>
          </w:tcPr>
          <w:p>
            <w:pPr>
              <w:ind w:left="480"/>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960" w:type="dxa"/>
            <w:vAlign w:val="bottom"/>
            <w:tcBorders>
              <w:bottom w:val="single" w:sz="8" w:color="E7417A"/>
            </w:tcBorders>
          </w:tcPr>
          <w:p>
            <w:pPr>
              <w:jc w:val="right"/>
              <w:ind w:right="259"/>
              <w:spacing w:after="0"/>
              <w:rPr>
                <w:sz w:val="20"/>
                <w:szCs w:val="20"/>
                <w:color w:val="auto"/>
              </w:rPr>
            </w:pPr>
            <w:r>
              <w:rPr>
                <w:rFonts w:ascii="Arial" w:cs="Arial" w:eastAsia="Arial" w:hAnsi="Arial"/>
                <w:sz w:val="16"/>
                <w:szCs w:val="16"/>
                <w:color w:val="auto"/>
              </w:rPr>
              <w:t>750,000</w:t>
            </w:r>
          </w:p>
        </w:tc>
        <w:tc>
          <w:tcPr>
            <w:tcW w:w="4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 ​ ​</w:t>
            </w:r>
          </w:p>
        </w:tc>
        <w:tc>
          <w:tcPr>
            <w:tcW w:w="520" w:type="dxa"/>
            <w:vAlign w:val="bottom"/>
            <w:tcBorders>
              <w:bottom w:val="single" w:sz="8" w:color="E7417A"/>
            </w:tcBorders>
          </w:tcPr>
          <w:p>
            <w:pPr>
              <w:ind w:left="320"/>
              <w:spacing w:after="0" w:line="256"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940" w:type="dxa"/>
            <w:vAlign w:val="bottom"/>
            <w:tcBorders>
              <w:bottom w:val="single" w:sz="8" w:color="E7417A"/>
            </w:tcBorders>
          </w:tcPr>
          <w:p>
            <w:pPr>
              <w:jc w:val="right"/>
              <w:ind w:right="239"/>
              <w:spacing w:after="0"/>
              <w:rPr>
                <w:sz w:val="20"/>
                <w:szCs w:val="20"/>
                <w:color w:val="auto"/>
              </w:rPr>
            </w:pPr>
            <w:r>
              <w:rPr>
                <w:rFonts w:ascii="Arial" w:cs="Arial" w:eastAsia="Arial" w:hAnsi="Arial"/>
                <w:sz w:val="16"/>
                <w:szCs w:val="16"/>
                <w:color w:val="auto"/>
              </w:rPr>
              <w:t>225,188</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John Townsend</w:t>
            </w:r>
          </w:p>
        </w:tc>
        <w:tc>
          <w:tcPr>
            <w:tcW w:w="1240" w:type="dxa"/>
            <w:vAlign w:val="bottom"/>
            <w:tcBorders>
              <w:bottom w:val="single" w:sz="8" w:color="E7417A"/>
            </w:tcBorders>
          </w:tcPr>
          <w:p>
            <w:pPr>
              <w:ind w:left="102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E7417A"/>
            </w:tcBorders>
          </w:tcPr>
          <w:p>
            <w:pPr>
              <w:ind w:left="4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bottom w:val="single" w:sz="8" w:color="E7417A"/>
            </w:tcBorders>
          </w:tcPr>
          <w:p>
            <w:pPr>
              <w:jc w:val="right"/>
              <w:ind w:right="259"/>
              <w:spacing w:after="0"/>
              <w:rPr>
                <w:sz w:val="20"/>
                <w:szCs w:val="20"/>
                <w:color w:val="auto"/>
              </w:rPr>
            </w:pPr>
            <w:r>
              <w:rPr>
                <w:rFonts w:ascii="Arial" w:cs="Arial" w:eastAsia="Arial" w:hAnsi="Arial"/>
                <w:sz w:val="16"/>
                <w:szCs w:val="16"/>
                <w:color w:val="auto"/>
              </w:rPr>
              <w:t>375,000</w:t>
            </w:r>
          </w:p>
        </w:tc>
        <w:tc>
          <w:tcPr>
            <w:tcW w:w="4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 ​ ​</w:t>
            </w:r>
          </w:p>
        </w:tc>
        <w:tc>
          <w:tcPr>
            <w:tcW w:w="520" w:type="dxa"/>
            <w:vAlign w:val="bottom"/>
            <w:tcBorders>
              <w:bottom w:val="single" w:sz="8" w:color="E7417A"/>
            </w:tcBorders>
          </w:tcPr>
          <w:p>
            <w:pPr>
              <w:ind w:left="3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40" w:type="dxa"/>
            <w:vAlign w:val="bottom"/>
            <w:tcBorders>
              <w:bottom w:val="single" w:sz="8" w:color="E7417A"/>
            </w:tcBorders>
          </w:tcPr>
          <w:p>
            <w:pPr>
              <w:jc w:val="right"/>
              <w:ind w:right="239"/>
              <w:spacing w:after="0"/>
              <w:rPr>
                <w:sz w:val="20"/>
                <w:szCs w:val="20"/>
                <w:color w:val="auto"/>
              </w:rPr>
            </w:pPr>
            <w:r>
              <w:rPr>
                <w:rFonts w:ascii="Arial" w:cs="Arial" w:eastAsia="Arial" w:hAnsi="Arial"/>
                <w:sz w:val="16"/>
                <w:szCs w:val="16"/>
                <w:color w:val="auto"/>
              </w:rPr>
              <w:t>112,594</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Sam Bucci</w:t>
            </w:r>
          </w:p>
        </w:tc>
        <w:tc>
          <w:tcPr>
            <w:tcW w:w="1240" w:type="dxa"/>
            <w:vAlign w:val="bottom"/>
            <w:tcBorders>
              <w:bottom w:val="single" w:sz="8" w:color="E7417A"/>
            </w:tcBorders>
          </w:tcPr>
          <w:p>
            <w:pPr>
              <w:ind w:left="102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E7417A"/>
            </w:tcBorders>
          </w:tcPr>
          <w:p>
            <w:pPr>
              <w:ind w:left="4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bottom w:val="single" w:sz="8" w:color="E7417A"/>
            </w:tcBorders>
          </w:tcPr>
          <w:p>
            <w:pPr>
              <w:jc w:val="right"/>
              <w:ind w:right="259"/>
              <w:spacing w:after="0"/>
              <w:rPr>
                <w:sz w:val="20"/>
                <w:szCs w:val="20"/>
                <w:color w:val="auto"/>
              </w:rPr>
            </w:pPr>
            <w:r>
              <w:rPr>
                <w:rFonts w:ascii="Arial" w:cs="Arial" w:eastAsia="Arial" w:hAnsi="Arial"/>
                <w:sz w:val="16"/>
                <w:szCs w:val="16"/>
                <w:color w:val="auto"/>
              </w:rPr>
              <w:t>344,138</w:t>
            </w:r>
          </w:p>
        </w:tc>
        <w:tc>
          <w:tcPr>
            <w:tcW w:w="4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 ​ ​</w:t>
            </w:r>
          </w:p>
        </w:tc>
        <w:tc>
          <w:tcPr>
            <w:tcW w:w="520" w:type="dxa"/>
            <w:vAlign w:val="bottom"/>
            <w:tcBorders>
              <w:bottom w:val="single" w:sz="8" w:color="E7417A"/>
            </w:tcBorders>
          </w:tcPr>
          <w:p>
            <w:pPr>
              <w:ind w:left="3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40" w:type="dxa"/>
            <w:vAlign w:val="bottom"/>
            <w:tcBorders>
              <w:bottom w:val="single" w:sz="8" w:color="E7417A"/>
            </w:tcBorders>
          </w:tcPr>
          <w:p>
            <w:pPr>
              <w:jc w:val="right"/>
              <w:ind w:right="239"/>
              <w:spacing w:after="0"/>
              <w:rPr>
                <w:sz w:val="20"/>
                <w:szCs w:val="20"/>
                <w:color w:val="auto"/>
              </w:rPr>
            </w:pPr>
            <w:r>
              <w:rPr>
                <w:rFonts w:ascii="Arial" w:cs="Arial" w:eastAsia="Arial" w:hAnsi="Arial"/>
                <w:sz w:val="16"/>
                <w:szCs w:val="16"/>
                <w:color w:val="auto"/>
              </w:rPr>
              <w:t>112,779</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Patrick Macken</w:t>
            </w:r>
          </w:p>
        </w:tc>
        <w:tc>
          <w:tcPr>
            <w:tcW w:w="1240" w:type="dxa"/>
            <w:vAlign w:val="bottom"/>
            <w:tcBorders>
              <w:bottom w:val="single" w:sz="8" w:color="E7417A"/>
            </w:tcBorders>
          </w:tcPr>
          <w:p>
            <w:pPr>
              <w:ind w:left="102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E7417A"/>
            </w:tcBorders>
          </w:tcPr>
          <w:p>
            <w:pPr>
              <w:ind w:left="4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bottom w:val="single" w:sz="8" w:color="E7417A"/>
            </w:tcBorders>
          </w:tcPr>
          <w:p>
            <w:pPr>
              <w:jc w:val="right"/>
              <w:ind w:right="259"/>
              <w:spacing w:after="0"/>
              <w:rPr>
                <w:sz w:val="20"/>
                <w:szCs w:val="20"/>
                <w:color w:val="auto"/>
              </w:rPr>
            </w:pPr>
            <w:r>
              <w:rPr>
                <w:rFonts w:ascii="Arial" w:cs="Arial" w:eastAsia="Arial" w:hAnsi="Arial"/>
                <w:sz w:val="16"/>
                <w:szCs w:val="16"/>
                <w:color w:val="auto"/>
              </w:rPr>
              <w:t>358,875</w:t>
            </w:r>
          </w:p>
        </w:tc>
        <w:tc>
          <w:tcPr>
            <w:tcW w:w="4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 ​ ​</w:t>
            </w:r>
          </w:p>
        </w:tc>
        <w:tc>
          <w:tcPr>
            <w:tcW w:w="520" w:type="dxa"/>
            <w:vAlign w:val="bottom"/>
            <w:tcBorders>
              <w:bottom w:val="single" w:sz="8" w:color="E7417A"/>
            </w:tcBorders>
          </w:tcPr>
          <w:p>
            <w:pPr>
              <w:ind w:left="3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40" w:type="dxa"/>
            <w:vAlign w:val="bottom"/>
            <w:tcBorders>
              <w:bottom w:val="single" w:sz="8" w:color="E7417A"/>
            </w:tcBorders>
          </w:tcPr>
          <w:p>
            <w:pPr>
              <w:jc w:val="right"/>
              <w:ind w:right="239"/>
              <w:spacing w:after="0"/>
              <w:rPr>
                <w:sz w:val="20"/>
                <w:szCs w:val="20"/>
                <w:color w:val="auto"/>
              </w:rPr>
            </w:pPr>
            <w:r>
              <w:rPr>
                <w:rFonts w:ascii="Arial" w:cs="Arial" w:eastAsia="Arial" w:hAnsi="Arial"/>
                <w:sz w:val="16"/>
                <w:szCs w:val="16"/>
                <w:color w:val="auto"/>
              </w:rPr>
              <w:t>107,752</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50"/>
        </w:trPr>
        <w:tc>
          <w:tcPr>
            <w:tcW w:w="322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Steve McCaffery</w:t>
            </w:r>
          </w:p>
        </w:tc>
        <w:tc>
          <w:tcPr>
            <w:tcW w:w="1240" w:type="dxa"/>
            <w:vAlign w:val="bottom"/>
            <w:tcBorders>
              <w:bottom w:val="single" w:sz="8" w:color="E7417A"/>
            </w:tcBorders>
          </w:tcPr>
          <w:p>
            <w:pPr>
              <w:ind w:left="102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E7417A"/>
            </w:tcBorders>
          </w:tcPr>
          <w:p>
            <w:pPr>
              <w:ind w:left="48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Borders>
              <w:bottom w:val="single" w:sz="8" w:color="E7417A"/>
            </w:tcBorders>
          </w:tcPr>
          <w:p>
            <w:pPr>
              <w:jc w:val="right"/>
              <w:ind w:right="259"/>
              <w:spacing w:after="0"/>
              <w:rPr>
                <w:sz w:val="20"/>
                <w:szCs w:val="20"/>
                <w:color w:val="auto"/>
              </w:rPr>
            </w:pPr>
            <w:r>
              <w:rPr>
                <w:rFonts w:ascii="Arial" w:cs="Arial" w:eastAsia="Arial" w:hAnsi="Arial"/>
                <w:sz w:val="16"/>
                <w:szCs w:val="16"/>
                <w:color w:val="auto"/>
              </w:rPr>
              <w:t>292,500</w:t>
            </w:r>
          </w:p>
        </w:tc>
        <w:tc>
          <w:tcPr>
            <w:tcW w:w="42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 ​ ​</w:t>
            </w:r>
          </w:p>
        </w:tc>
        <w:tc>
          <w:tcPr>
            <w:tcW w:w="520" w:type="dxa"/>
            <w:vAlign w:val="bottom"/>
            <w:tcBorders>
              <w:bottom w:val="single" w:sz="8" w:color="E7417A"/>
            </w:tcBorders>
          </w:tcPr>
          <w:p>
            <w:pPr>
              <w:ind w:left="3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40" w:type="dxa"/>
            <w:vAlign w:val="bottom"/>
            <w:tcBorders>
              <w:bottom w:val="single" w:sz="8" w:color="E7417A"/>
            </w:tcBorders>
          </w:tcPr>
          <w:p>
            <w:pPr>
              <w:jc w:val="right"/>
              <w:ind w:right="119"/>
              <w:spacing w:after="0"/>
              <w:rPr>
                <w:sz w:val="20"/>
                <w:szCs w:val="20"/>
                <w:color w:val="auto"/>
              </w:rPr>
            </w:pPr>
            <w:r>
              <w:rPr>
                <w:rFonts w:ascii="Arial" w:cs="Arial" w:eastAsia="Arial" w:hAnsi="Arial"/>
                <w:sz w:val="16"/>
                <w:szCs w:val="16"/>
                <w:color w:val="auto"/>
              </w:rPr>
              <w:t>77,422</w:t>
            </w:r>
            <w:r>
              <w:rPr>
                <w:rFonts w:ascii="Arial" w:cs="Arial" w:eastAsia="Arial" w:hAnsi="Arial"/>
                <w:sz w:val="19"/>
                <w:szCs w:val="19"/>
                <w:color w:val="auto"/>
                <w:vertAlign w:val="superscript"/>
              </w:rPr>
              <w:t>(1)</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r>
      <w:tr>
        <w:trPr>
          <w:trHeight w:val="237"/>
        </w:trPr>
        <w:tc>
          <w:tcPr>
            <w:tcW w:w="322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 Dan Redington</w:t>
            </w:r>
          </w:p>
        </w:tc>
        <w:tc>
          <w:tcPr>
            <w:tcW w:w="1240" w:type="dxa"/>
            <w:vAlign w:val="bottom"/>
            <w:tcBorders>
              <w:bottom w:val="single" w:sz="8" w:color="62259D"/>
            </w:tcBorders>
          </w:tcPr>
          <w:p>
            <w:pPr>
              <w:ind w:left="102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62259D"/>
            </w:tcBorders>
          </w:tcPr>
          <w:p>
            <w:pPr>
              <w:ind w:left="4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62259D"/>
            </w:tcBorders>
          </w:tcPr>
          <w:p>
            <w:pPr>
              <w:jc w:val="right"/>
              <w:ind w:right="259"/>
              <w:spacing w:after="0"/>
              <w:rPr>
                <w:sz w:val="20"/>
                <w:szCs w:val="20"/>
                <w:color w:val="auto"/>
              </w:rPr>
            </w:pPr>
            <w:r>
              <w:rPr>
                <w:rFonts w:ascii="Arial" w:cs="Arial" w:eastAsia="Arial" w:hAnsi="Arial"/>
                <w:sz w:val="16"/>
                <w:szCs w:val="16"/>
                <w:color w:val="auto"/>
              </w:rPr>
              <w:t>322,500</w:t>
            </w:r>
          </w:p>
        </w:tc>
        <w:tc>
          <w:tcPr>
            <w:tcW w:w="420" w:type="dxa"/>
            <w:vAlign w:val="bottom"/>
            <w:tcBorders>
              <w:bottom w:val="single" w:sz="8" w:color="62259D"/>
            </w:tcBorders>
          </w:tcPr>
          <w:p>
            <w:pPr>
              <w:ind w:left="140"/>
              <w:spacing w:after="0"/>
              <w:rPr>
                <w:sz w:val="20"/>
                <w:szCs w:val="20"/>
                <w:color w:val="auto"/>
              </w:rPr>
            </w:pPr>
            <w:r>
              <w:rPr>
                <w:rFonts w:ascii="Arial" w:cs="Arial" w:eastAsia="Arial" w:hAnsi="Arial"/>
                <w:sz w:val="16"/>
                <w:szCs w:val="16"/>
                <w:color w:val="auto"/>
              </w:rPr>
              <w:t>​ ​ ​</w:t>
            </w:r>
          </w:p>
        </w:tc>
        <w:tc>
          <w:tcPr>
            <w:tcW w:w="520" w:type="dxa"/>
            <w:vAlign w:val="bottom"/>
            <w:tcBorders>
              <w:bottom w:val="single" w:sz="8" w:color="62259D"/>
            </w:tcBorders>
          </w:tcPr>
          <w:p>
            <w:pPr>
              <w:ind w:left="3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62259D"/>
            </w:tcBorders>
          </w:tcPr>
          <w:p>
            <w:pPr>
              <w:jc w:val="right"/>
              <w:ind w:right="119"/>
              <w:spacing w:after="0"/>
              <w:rPr>
                <w:sz w:val="20"/>
                <w:szCs w:val="20"/>
                <w:color w:val="auto"/>
              </w:rPr>
            </w:pPr>
            <w:r>
              <w:rPr>
                <w:rFonts w:ascii="Arial" w:cs="Arial" w:eastAsia="Arial" w:hAnsi="Arial"/>
                <w:sz w:val="16"/>
                <w:szCs w:val="16"/>
                <w:color w:val="auto"/>
              </w:rPr>
              <w:t>80,740</w:t>
            </w:r>
            <w:r>
              <w:rPr>
                <w:rFonts w:ascii="Arial" w:cs="Arial" w:eastAsia="Arial" w:hAnsi="Arial"/>
                <w:sz w:val="19"/>
                <w:szCs w:val="19"/>
                <w:color w:val="auto"/>
                <w:vertAlign w:val="superscript"/>
              </w:rPr>
              <w:t>(2)</w:t>
            </w:r>
          </w:p>
        </w:tc>
        <w:tc>
          <w:tcPr>
            <w:tcW w:w="18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w:t>
            </w:r>
          </w:p>
        </w:tc>
      </w:tr>
    </w:tbl>
    <w:p>
      <w:pPr>
        <w:spacing w:after="0" w:line="175" w:lineRule="exact"/>
        <w:rPr>
          <w:sz w:val="20"/>
          <w:szCs w:val="20"/>
          <w:color w:val="auto"/>
        </w:rPr>
      </w:pPr>
    </w:p>
    <w:p>
      <w:pPr>
        <w:ind w:left="1400" w:right="119" w:hanging="368"/>
        <w:spacing w:after="0" w:line="286" w:lineRule="auto"/>
        <w:tabs>
          <w:tab w:leader="none" w:pos="14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Reflects pro-rated cash bonus for period October 20, 2025 through December 31, 2025 based on 100% of target pursuant to terms of Mr. McCaffery’s employment agreement.</w:t>
      </w:r>
    </w:p>
    <w:p>
      <w:pPr>
        <w:spacing w:after="0" w:line="20" w:lineRule="exact"/>
        <w:rPr>
          <w:rFonts w:ascii="Arial" w:cs="Arial" w:eastAsia="Arial" w:hAnsi="Arial"/>
          <w:sz w:val="16"/>
          <w:szCs w:val="16"/>
          <w:color w:val="auto"/>
        </w:rPr>
      </w:pPr>
    </w:p>
    <w:p>
      <w:pPr>
        <w:ind w:left="1400" w:right="399" w:hanging="368"/>
        <w:spacing w:after="0" w:line="286" w:lineRule="auto"/>
        <w:tabs>
          <w:tab w:leader="none" w:pos="14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Prorated cash bonus payable through September 30, 2025, the effective date for Mr. Redington’s termination from Ribbon.</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Annual Equity-Based Incentives</w:t>
      </w:r>
    </w:p>
    <w:p>
      <w:pPr>
        <w:spacing w:after="0" w:line="135" w:lineRule="exact"/>
        <w:rPr>
          <w:sz w:val="20"/>
          <w:szCs w:val="20"/>
          <w:color w:val="auto"/>
        </w:rPr>
      </w:pPr>
    </w:p>
    <w:p>
      <w:pPr>
        <w:ind w:left="920" w:right="119"/>
        <w:spacing w:after="0" w:line="247" w:lineRule="auto"/>
        <w:rPr>
          <w:sz w:val="20"/>
          <w:szCs w:val="20"/>
          <w:color w:val="auto"/>
        </w:rPr>
      </w:pPr>
      <w:r>
        <w:rPr>
          <w:rFonts w:ascii="Arial" w:cs="Arial" w:eastAsia="Arial" w:hAnsi="Arial"/>
          <w:sz w:val="18"/>
          <w:szCs w:val="18"/>
          <w:color w:val="auto"/>
        </w:rPr>
        <w:t>Equity-based incentives are provided to executives whose decisions and actions have a direct impact upon our long-term performance and success. PSUs and RSUs were granted to our executive officers in 2025 to link a significant portion of their compensation directly to our long- term success, which aligns with the Compensation Committee’s philosophy. In determining the size of the PSU and RSU awards granted to each executive officer in 2025, the Compensation Committee considered a multitude of factors including:</w:t>
      </w:r>
    </w:p>
    <w:p>
      <w:pPr>
        <w:spacing w:after="0" w:line="96" w:lineRule="exact"/>
        <w:rPr>
          <w:sz w:val="20"/>
          <w:szCs w:val="20"/>
          <w:color w:val="auto"/>
        </w:rPr>
      </w:pPr>
    </w:p>
    <w:p>
      <w:pPr>
        <w:ind w:left="1280" w:hanging="356"/>
        <w:spacing w:after="0"/>
        <w:tabs>
          <w:tab w:leader="none" w:pos="1280" w:val="left"/>
        </w:tabs>
        <w:numPr>
          <w:ilvl w:val="0"/>
          <w:numId w:val="117"/>
        </w:numPr>
        <w:rPr>
          <w:rFonts w:ascii="Arial" w:cs="Arial" w:eastAsia="Arial" w:hAnsi="Arial"/>
          <w:sz w:val="18"/>
          <w:szCs w:val="18"/>
          <w:color w:val="62259D"/>
        </w:rPr>
      </w:pPr>
      <w:r>
        <w:rPr>
          <w:rFonts w:ascii="Arial" w:cs="Arial" w:eastAsia="Arial" w:hAnsi="Arial"/>
          <w:sz w:val="18"/>
          <w:szCs w:val="18"/>
          <w:color w:val="auto"/>
        </w:rPr>
        <w:t>the executive officer’s role,</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17"/>
        </w:numPr>
        <w:rPr>
          <w:rFonts w:ascii="Arial" w:cs="Arial" w:eastAsia="Arial" w:hAnsi="Arial"/>
          <w:sz w:val="18"/>
          <w:szCs w:val="18"/>
          <w:color w:val="62259D"/>
        </w:rPr>
      </w:pPr>
      <w:r>
        <w:rPr>
          <w:rFonts w:ascii="Arial" w:cs="Arial" w:eastAsia="Arial" w:hAnsi="Arial"/>
          <w:sz w:val="18"/>
          <w:szCs w:val="18"/>
          <w:color w:val="auto"/>
        </w:rPr>
        <w:t>past performance,</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17"/>
        </w:numPr>
        <w:rPr>
          <w:rFonts w:ascii="Arial" w:cs="Arial" w:eastAsia="Arial" w:hAnsi="Arial"/>
          <w:sz w:val="18"/>
          <w:szCs w:val="18"/>
          <w:color w:val="62259D"/>
        </w:rPr>
      </w:pPr>
      <w:r>
        <w:rPr>
          <w:rFonts w:ascii="Arial" w:cs="Arial" w:eastAsia="Arial" w:hAnsi="Arial"/>
          <w:sz w:val="18"/>
          <w:szCs w:val="18"/>
          <w:color w:val="auto"/>
        </w:rPr>
        <w:t>anticipated contribution to our long-term goals,</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17"/>
        </w:numPr>
        <w:rPr>
          <w:rFonts w:ascii="Arial" w:cs="Arial" w:eastAsia="Arial" w:hAnsi="Arial"/>
          <w:sz w:val="18"/>
          <w:szCs w:val="18"/>
          <w:color w:val="62259D"/>
        </w:rPr>
      </w:pPr>
      <w:r>
        <w:rPr>
          <w:rFonts w:ascii="Arial" w:cs="Arial" w:eastAsia="Arial" w:hAnsi="Arial"/>
          <w:sz w:val="18"/>
          <w:szCs w:val="18"/>
          <w:color w:val="auto"/>
        </w:rPr>
        <w:t>areas of focus for the year,</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17"/>
        </w:numPr>
        <w:rPr>
          <w:rFonts w:ascii="Arial" w:cs="Arial" w:eastAsia="Arial" w:hAnsi="Arial"/>
          <w:sz w:val="18"/>
          <w:szCs w:val="18"/>
          <w:color w:val="62259D"/>
        </w:rPr>
      </w:pPr>
      <w:r>
        <w:rPr>
          <w:rFonts w:ascii="Arial" w:cs="Arial" w:eastAsia="Arial" w:hAnsi="Arial"/>
          <w:sz w:val="18"/>
          <w:szCs w:val="18"/>
          <w:color w:val="auto"/>
        </w:rPr>
        <w:t>market data,</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17"/>
        </w:numPr>
        <w:rPr>
          <w:rFonts w:ascii="Arial" w:cs="Arial" w:eastAsia="Arial" w:hAnsi="Arial"/>
          <w:sz w:val="18"/>
          <w:szCs w:val="18"/>
          <w:color w:val="62259D"/>
        </w:rPr>
      </w:pPr>
      <w:r>
        <w:rPr>
          <w:rFonts w:ascii="Arial" w:cs="Arial" w:eastAsia="Arial" w:hAnsi="Arial"/>
          <w:sz w:val="18"/>
          <w:szCs w:val="18"/>
          <w:color w:val="auto"/>
        </w:rPr>
        <w:t>equity granted in prior years, and</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17"/>
        </w:numPr>
        <w:rPr>
          <w:rFonts w:ascii="Arial" w:cs="Arial" w:eastAsia="Arial" w:hAnsi="Arial"/>
          <w:sz w:val="18"/>
          <w:szCs w:val="18"/>
          <w:color w:val="62259D"/>
        </w:rPr>
      </w:pPr>
      <w:r>
        <w:rPr>
          <w:rFonts w:ascii="Arial" w:cs="Arial" w:eastAsia="Arial" w:hAnsi="Arial"/>
          <w:sz w:val="18"/>
          <w:szCs w:val="18"/>
          <w:color w:val="auto"/>
        </w:rPr>
        <w:t>existing levels of stock ownership.</w:t>
      </w:r>
    </w:p>
    <w:p>
      <w:pPr>
        <w:spacing w:after="0" w:line="131" w:lineRule="exact"/>
        <w:rPr>
          <w:sz w:val="20"/>
          <w:szCs w:val="20"/>
          <w:color w:val="auto"/>
        </w:rPr>
      </w:pPr>
    </w:p>
    <w:p>
      <w:pPr>
        <w:ind w:left="920" w:right="119"/>
        <w:spacing w:after="0" w:line="244" w:lineRule="auto"/>
        <w:rPr>
          <w:sz w:val="20"/>
          <w:szCs w:val="20"/>
          <w:color w:val="auto"/>
        </w:rPr>
      </w:pPr>
      <w:r>
        <w:rPr>
          <w:rFonts w:ascii="Arial" w:cs="Arial" w:eastAsia="Arial" w:hAnsi="Arial"/>
          <w:sz w:val="18"/>
          <w:szCs w:val="18"/>
          <w:color w:val="auto"/>
        </w:rPr>
        <w:t>As previously noted in last year’s proxy statement, because of the limited number of shares available under our incentive award plan at that time, the annual equity awards granted to the NEOs in 2024 were smaller than normal. As a result, following the adoption at the 2025 annual meeting of stockholders of our 2025 Incentive Award Plan (the “2025 Plan”), we made additional grants to the NEOs (the “True- up Awards”) to approximately reflect the additional awards that would have been made in 2024 had sufficient shares been available under the existing plan at that time. In addition, as discussed further below under “— McClelland Strategic Achievement Award,” we also made an additional equity grant to Mr. McCelland in 2025. Mr. McCaffery, who joined Ribbon in October 2025, received equity awards, as discussed below under “— McCaffery Sign-On Awards,” in connection with his appointment as Executive Vice President, Global Sales of the Company.</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aggregate equity grants made to our NEOs in 2025 are shown in the table below.</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236855</wp:posOffset>
            </wp:positionV>
            <wp:extent cx="51435" cy="4546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454660"/>
                    </a:xfrm>
                    <a:prstGeom prst="rect">
                      <a:avLst/>
                    </a:prstGeom>
                    <a:noFill/>
                  </pic:spPr>
                </pic:pic>
              </a:graphicData>
            </a:graphic>
          </wp:anchor>
        </w:drawing>
      </w:r>
    </w:p>
    <w:p>
      <w:pPr>
        <w:spacing w:after="0" w:line="353"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80" w:type="dxa"/>
            <w:vAlign w:val="bottom"/>
            <w:shd w:val="clear" w:color="auto" w:fill="62259D"/>
          </w:tcPr>
          <w:p>
            <w:pPr>
              <w:spacing w:after="0"/>
              <w:rPr>
                <w:sz w:val="18"/>
                <w:szCs w:val="18"/>
                <w:color w:val="auto"/>
              </w:rPr>
            </w:pPr>
          </w:p>
        </w:tc>
        <w:tc>
          <w:tcPr>
            <w:tcW w:w="3020" w:type="dxa"/>
            <w:vAlign w:val="bottom"/>
            <w:shd w:val="clear" w:color="auto" w:fill="62259D"/>
          </w:tcPr>
          <w:p>
            <w:pPr>
              <w:spacing w:after="0"/>
              <w:rPr>
                <w:sz w:val="18"/>
                <w:szCs w:val="18"/>
                <w:color w:val="auto"/>
              </w:rPr>
            </w:pPr>
          </w:p>
        </w:tc>
        <w:tc>
          <w:tcPr>
            <w:tcW w:w="200" w:type="dxa"/>
            <w:vAlign w:val="bottom"/>
            <w:shd w:val="clear" w:color="auto" w:fill="62259D"/>
          </w:tcPr>
          <w:p>
            <w:pPr>
              <w:spacing w:after="0"/>
              <w:rPr>
                <w:sz w:val="18"/>
                <w:szCs w:val="18"/>
                <w:color w:val="auto"/>
              </w:rPr>
            </w:pPr>
          </w:p>
        </w:tc>
        <w:tc>
          <w:tcPr>
            <w:tcW w:w="2720" w:type="dxa"/>
            <w:vAlign w:val="bottom"/>
            <w:gridSpan w:val="5"/>
            <w:shd w:val="clear" w:color="auto" w:fill="62259D"/>
          </w:tcPr>
          <w:p>
            <w:pPr>
              <w:jc w:val="right"/>
              <w:spacing w:after="0"/>
              <w:rPr>
                <w:sz w:val="20"/>
                <w:szCs w:val="20"/>
                <w:color w:val="auto"/>
              </w:rPr>
            </w:pPr>
            <w:r>
              <w:rPr>
                <w:rFonts w:ascii="Arial" w:cs="Arial" w:eastAsia="Arial" w:hAnsi="Arial"/>
                <w:sz w:val="16"/>
                <w:szCs w:val="16"/>
                <w:b w:val="1"/>
                <w:bCs w:val="1"/>
                <w:color w:val="FEFEFE"/>
              </w:rPr>
              <w:t>Performance-Based Stock Units</w:t>
            </w:r>
          </w:p>
        </w:tc>
        <w:tc>
          <w:tcPr>
            <w:tcW w:w="520" w:type="dxa"/>
            <w:vAlign w:val="bottom"/>
            <w:shd w:val="clear" w:color="auto" w:fill="62259D"/>
          </w:tcPr>
          <w:p>
            <w:pPr>
              <w:spacing w:after="0"/>
              <w:rPr>
                <w:sz w:val="18"/>
                <w:szCs w:val="18"/>
                <w:color w:val="auto"/>
              </w:rPr>
            </w:pPr>
          </w:p>
        </w:tc>
        <w:tc>
          <w:tcPr>
            <w:tcW w:w="560" w:type="dxa"/>
            <w:vAlign w:val="bottom"/>
            <w:shd w:val="clear" w:color="auto" w:fill="62259D"/>
          </w:tcPr>
          <w:p>
            <w:pPr>
              <w:spacing w:after="0"/>
              <w:rPr>
                <w:sz w:val="18"/>
                <w:szCs w:val="18"/>
                <w:color w:val="auto"/>
              </w:rPr>
            </w:pPr>
          </w:p>
        </w:tc>
        <w:tc>
          <w:tcPr>
            <w:tcW w:w="120" w:type="dxa"/>
            <w:vAlign w:val="bottom"/>
            <w:shd w:val="clear" w:color="auto" w:fill="62259D"/>
          </w:tcPr>
          <w:p>
            <w:pPr>
              <w:spacing w:after="0"/>
              <w:rPr>
                <w:sz w:val="18"/>
                <w:szCs w:val="18"/>
                <w:color w:val="auto"/>
              </w:rPr>
            </w:pPr>
          </w:p>
        </w:tc>
        <w:tc>
          <w:tcPr>
            <w:tcW w:w="54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RSUs</w:t>
            </w:r>
          </w:p>
        </w:tc>
        <w:tc>
          <w:tcPr>
            <w:tcW w:w="560" w:type="dxa"/>
            <w:vAlign w:val="bottom"/>
            <w:shd w:val="clear" w:color="auto" w:fill="62259D"/>
          </w:tcPr>
          <w:p>
            <w:pPr>
              <w:spacing w:after="0"/>
              <w:rPr>
                <w:sz w:val="18"/>
                <w:szCs w:val="18"/>
                <w:color w:val="auto"/>
              </w:rPr>
            </w:pPr>
          </w:p>
        </w:tc>
        <w:tc>
          <w:tcPr>
            <w:tcW w:w="440" w:type="dxa"/>
            <w:vAlign w:val="bottom"/>
            <w:shd w:val="clear" w:color="auto" w:fill="62259D"/>
          </w:tcPr>
          <w:p>
            <w:pPr>
              <w:spacing w:after="0"/>
              <w:rPr>
                <w:sz w:val="18"/>
                <w:szCs w:val="18"/>
                <w:color w:val="auto"/>
              </w:rPr>
            </w:pPr>
          </w:p>
        </w:tc>
        <w:tc>
          <w:tcPr>
            <w:tcW w:w="100" w:type="dxa"/>
            <w:vAlign w:val="bottom"/>
            <w:shd w:val="clear" w:color="auto" w:fill="62259D"/>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00" w:type="dxa"/>
            <w:vAlign w:val="bottom"/>
            <w:gridSpan w:val="2"/>
            <w:shd w:val="clear" w:color="auto" w:fill="62259D"/>
          </w:tcPr>
          <w:p>
            <w:pPr>
              <w:ind w:left="40"/>
              <w:spacing w:after="0"/>
              <w:rPr>
                <w:sz w:val="20"/>
                <w:szCs w:val="20"/>
                <w:color w:val="auto"/>
              </w:rPr>
            </w:pPr>
            <w:r>
              <w:rPr>
                <w:rFonts w:ascii="Arial" w:cs="Arial" w:eastAsia="Arial" w:hAnsi="Arial"/>
                <w:sz w:val="16"/>
                <w:szCs w:val="16"/>
                <w:b w:val="1"/>
                <w:bCs w:val="1"/>
                <w:color w:val="FEFEFE"/>
              </w:rPr>
              <w:t>​​</w:t>
            </w:r>
          </w:p>
        </w:tc>
        <w:tc>
          <w:tcPr>
            <w:tcW w:w="20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 ​</w:t>
            </w:r>
          </w:p>
        </w:tc>
        <w:tc>
          <w:tcPr>
            <w:tcW w:w="440" w:type="dxa"/>
            <w:vAlign w:val="bottom"/>
            <w:shd w:val="clear" w:color="auto" w:fill="62259D"/>
          </w:tcPr>
          <w:p>
            <w:pPr>
              <w:spacing w:after="0"/>
              <w:rPr>
                <w:sz w:val="20"/>
                <w:szCs w:val="20"/>
                <w:color w:val="auto"/>
              </w:rPr>
            </w:pPr>
          </w:p>
        </w:tc>
        <w:tc>
          <w:tcPr>
            <w:tcW w:w="2280" w:type="dxa"/>
            <w:vAlign w:val="bottom"/>
            <w:gridSpan w:val="4"/>
            <w:shd w:val="clear" w:color="auto" w:fill="62259D"/>
          </w:tcPr>
          <w:p>
            <w:pPr>
              <w:jc w:val="right"/>
              <w:ind w:right="399"/>
              <w:spacing w:after="0"/>
              <w:rPr>
                <w:sz w:val="20"/>
                <w:szCs w:val="20"/>
                <w:color w:val="auto"/>
              </w:rPr>
            </w:pPr>
            <w:r>
              <w:rPr>
                <w:rFonts w:ascii="Arial" w:cs="Arial" w:eastAsia="Arial" w:hAnsi="Arial"/>
                <w:sz w:val="16"/>
                <w:szCs w:val="16"/>
                <w:b w:val="1"/>
                <w:bCs w:val="1"/>
                <w:color w:val="FEFEFE"/>
              </w:rPr>
              <w:t>(# at Target Vesting)</w:t>
            </w:r>
          </w:p>
        </w:tc>
        <w:tc>
          <w:tcPr>
            <w:tcW w:w="520" w:type="dxa"/>
            <w:vAlign w:val="bottom"/>
            <w:shd w:val="clear" w:color="auto" w:fill="62259D"/>
          </w:tcPr>
          <w:p>
            <w:pPr>
              <w:ind w:left="120"/>
              <w:spacing w:after="0"/>
              <w:rPr>
                <w:sz w:val="20"/>
                <w:szCs w:val="20"/>
                <w:color w:val="auto"/>
              </w:rPr>
            </w:pPr>
            <w:r>
              <w:rPr>
                <w:rFonts w:ascii="Arial" w:cs="Arial" w:eastAsia="Arial" w:hAnsi="Arial"/>
                <w:sz w:val="16"/>
                <w:szCs w:val="16"/>
                <w:b w:val="1"/>
                <w:bCs w:val="1"/>
                <w:color w:val="FEFEFE"/>
              </w:rPr>
              <w:t>​ ​</w:t>
            </w:r>
          </w:p>
        </w:tc>
        <w:tc>
          <w:tcPr>
            <w:tcW w:w="560" w:type="dxa"/>
            <w:vAlign w:val="bottom"/>
            <w:shd w:val="clear" w:color="auto" w:fill="62259D"/>
          </w:tcPr>
          <w:p>
            <w:pPr>
              <w:spacing w:after="0"/>
              <w:rPr>
                <w:sz w:val="20"/>
                <w:szCs w:val="20"/>
                <w:color w:val="auto"/>
              </w:rPr>
            </w:pPr>
          </w:p>
        </w:tc>
        <w:tc>
          <w:tcPr>
            <w:tcW w:w="120" w:type="dxa"/>
            <w:vAlign w:val="bottom"/>
            <w:shd w:val="clear" w:color="auto" w:fill="62259D"/>
          </w:tcPr>
          <w:p>
            <w:pPr>
              <w:spacing w:after="0"/>
              <w:rPr>
                <w:sz w:val="20"/>
                <w:szCs w:val="20"/>
                <w:color w:val="auto"/>
              </w:rPr>
            </w:pPr>
          </w:p>
        </w:tc>
        <w:tc>
          <w:tcPr>
            <w:tcW w:w="540" w:type="dxa"/>
            <w:vAlign w:val="bottom"/>
            <w:shd w:val="clear" w:color="auto" w:fill="62259D"/>
          </w:tcPr>
          <w:p>
            <w:pPr>
              <w:jc w:val="right"/>
              <w:ind w:right="61"/>
              <w:spacing w:after="0"/>
              <w:rPr>
                <w:sz w:val="20"/>
                <w:szCs w:val="20"/>
                <w:color w:val="auto"/>
              </w:rPr>
            </w:pPr>
            <w:r>
              <w:rPr>
                <w:rFonts w:ascii="Arial" w:cs="Arial" w:eastAsia="Arial" w:hAnsi="Arial"/>
                <w:sz w:val="16"/>
                <w:szCs w:val="16"/>
                <w:b w:val="1"/>
                <w:bCs w:val="1"/>
                <w:color w:val="FEFEFE"/>
              </w:rPr>
              <w:t>(#)</w:t>
            </w:r>
          </w:p>
        </w:tc>
        <w:tc>
          <w:tcPr>
            <w:tcW w:w="560" w:type="dxa"/>
            <w:vAlign w:val="bottom"/>
            <w:shd w:val="clear" w:color="auto" w:fill="62259D"/>
          </w:tcPr>
          <w:p>
            <w:pPr>
              <w:spacing w:after="0"/>
              <w:rPr>
                <w:sz w:val="20"/>
                <w:szCs w:val="20"/>
                <w:color w:val="auto"/>
              </w:rPr>
            </w:pPr>
          </w:p>
        </w:tc>
        <w:tc>
          <w:tcPr>
            <w:tcW w:w="440" w:type="dxa"/>
            <w:vAlign w:val="bottom"/>
            <w:shd w:val="clear" w:color="auto" w:fill="62259D"/>
          </w:tcPr>
          <w:p>
            <w:pPr>
              <w:spacing w:after="0"/>
              <w:rPr>
                <w:sz w:val="20"/>
                <w:szCs w:val="20"/>
                <w:color w:val="auto"/>
              </w:rPr>
            </w:pPr>
          </w:p>
        </w:tc>
        <w:tc>
          <w:tcPr>
            <w:tcW w:w="10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263"/>
        </w:trPr>
        <w:tc>
          <w:tcPr>
            <w:tcW w:w="80" w:type="dxa"/>
            <w:vAlign w:val="bottom"/>
          </w:tcPr>
          <w:p>
            <w:pPr>
              <w:ind w:left="40"/>
              <w:spacing w:after="0"/>
              <w:rPr>
                <w:sz w:val="20"/>
                <w:szCs w:val="20"/>
                <w:color w:val="auto"/>
              </w:rPr>
            </w:pPr>
            <w:r>
              <w:rPr>
                <w:rFonts w:ascii="Arial" w:cs="Arial" w:eastAsia="Arial" w:hAnsi="Arial"/>
                <w:sz w:val="16"/>
                <w:szCs w:val="16"/>
                <w:b w:val="1"/>
                <w:bCs w:val="1"/>
                <w:color w:val="FEFEFE"/>
              </w:rPr>
              <w:t>​</w:t>
            </w:r>
          </w:p>
        </w:tc>
        <w:tc>
          <w:tcPr>
            <w:tcW w:w="302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Named Executive Officer</w:t>
            </w:r>
          </w:p>
        </w:tc>
        <w:tc>
          <w:tcPr>
            <w:tcW w:w="20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 ​</w:t>
            </w:r>
          </w:p>
        </w:tc>
        <w:tc>
          <w:tcPr>
            <w:tcW w:w="1160" w:type="dxa"/>
            <w:vAlign w:val="bottom"/>
            <w:gridSpan w:val="2"/>
            <w:shd w:val="clear" w:color="auto" w:fill="62259D"/>
          </w:tcPr>
          <w:p>
            <w:pPr>
              <w:jc w:val="right"/>
              <w:ind w:right="159"/>
              <w:spacing w:after="0"/>
              <w:rPr>
                <w:sz w:val="20"/>
                <w:szCs w:val="20"/>
                <w:color w:val="auto"/>
              </w:rPr>
            </w:pPr>
            <w:r>
              <w:rPr>
                <w:rFonts w:ascii="Arial" w:cs="Arial" w:eastAsia="Arial" w:hAnsi="Arial"/>
                <w:sz w:val="16"/>
                <w:szCs w:val="16"/>
                <w:b w:val="1"/>
                <w:bCs w:val="1"/>
                <w:color w:val="FEFEFE"/>
              </w:rPr>
              <w:t>Annual</w:t>
            </w:r>
          </w:p>
        </w:tc>
        <w:tc>
          <w:tcPr>
            <w:tcW w:w="440" w:type="dxa"/>
            <w:vAlign w:val="bottom"/>
            <w:shd w:val="clear" w:color="auto" w:fill="62259D"/>
          </w:tcPr>
          <w:p>
            <w:pPr>
              <w:ind w:left="140"/>
              <w:spacing w:after="0"/>
              <w:rPr>
                <w:sz w:val="20"/>
                <w:szCs w:val="20"/>
                <w:color w:val="auto"/>
              </w:rPr>
            </w:pPr>
            <w:r>
              <w:rPr>
                <w:rFonts w:ascii="Arial" w:cs="Arial" w:eastAsia="Arial" w:hAnsi="Arial"/>
                <w:sz w:val="16"/>
                <w:szCs w:val="16"/>
                <w:b w:val="1"/>
                <w:bCs w:val="1"/>
                <w:color w:val="FEFEFE"/>
              </w:rPr>
              <w:t>​ ​</w:t>
            </w:r>
          </w:p>
        </w:tc>
        <w:tc>
          <w:tcPr>
            <w:tcW w:w="1120" w:type="dxa"/>
            <w:vAlign w:val="bottom"/>
            <w:gridSpan w:val="2"/>
            <w:shd w:val="clear" w:color="auto" w:fill="62259D"/>
          </w:tcPr>
          <w:p>
            <w:pPr>
              <w:jc w:val="right"/>
              <w:ind w:right="179"/>
              <w:spacing w:after="0"/>
              <w:rPr>
                <w:sz w:val="20"/>
                <w:szCs w:val="20"/>
                <w:color w:val="auto"/>
              </w:rPr>
            </w:pPr>
            <w:r>
              <w:rPr>
                <w:rFonts w:ascii="Arial" w:cs="Arial" w:eastAsia="Arial" w:hAnsi="Arial"/>
                <w:sz w:val="16"/>
                <w:szCs w:val="16"/>
                <w:b w:val="1"/>
                <w:bCs w:val="1"/>
                <w:color w:val="FEFEFE"/>
              </w:rPr>
              <w:t>True-Up</w:t>
            </w:r>
          </w:p>
        </w:tc>
        <w:tc>
          <w:tcPr>
            <w:tcW w:w="2840" w:type="dxa"/>
            <w:vAlign w:val="bottom"/>
            <w:gridSpan w:val="7"/>
            <w:shd w:val="clear" w:color="auto" w:fill="62259D"/>
          </w:tcPr>
          <w:p>
            <w:pPr>
              <w:jc w:val="right"/>
              <w:spacing w:after="0" w:line="264" w:lineRule="exact"/>
              <w:rPr>
                <w:sz w:val="20"/>
                <w:szCs w:val="20"/>
                <w:color w:val="auto"/>
              </w:rPr>
            </w:pPr>
            <w:r>
              <w:rPr>
                <w:rFonts w:ascii="Arial" w:cs="Arial" w:eastAsia="Arial" w:hAnsi="Arial"/>
                <w:sz w:val="30"/>
                <w:szCs w:val="30"/>
                <w:b w:val="1"/>
                <w:bCs w:val="1"/>
                <w:color w:val="FEFEFE"/>
                <w:vertAlign w:val="subscript"/>
              </w:rPr>
              <w:t>​ ​</w:t>
            </w:r>
            <w:r>
              <w:rPr>
                <w:rFonts w:ascii="Arial" w:cs="Arial" w:eastAsia="Arial" w:hAnsi="Arial"/>
                <w:sz w:val="16"/>
                <w:szCs w:val="16"/>
                <w:b w:val="1"/>
                <w:bCs w:val="1"/>
                <w:color w:val="FEFEFE"/>
              </w:rPr>
              <w:t xml:space="preserve">Annual </w:t>
            </w:r>
            <w:r>
              <w:rPr>
                <w:rFonts w:ascii="Arial" w:cs="Arial" w:eastAsia="Arial" w:hAnsi="Arial"/>
                <w:sz w:val="30"/>
                <w:szCs w:val="30"/>
                <w:b w:val="1"/>
                <w:bCs w:val="1"/>
                <w:color w:val="FEFEFE"/>
                <w:vertAlign w:val="subscript"/>
              </w:rPr>
              <w:t>​ ​</w:t>
            </w:r>
            <w:r>
              <w:rPr>
                <w:rFonts w:ascii="Arial" w:cs="Arial" w:eastAsia="Arial" w:hAnsi="Arial"/>
                <w:sz w:val="16"/>
                <w:szCs w:val="16"/>
                <w:b w:val="1"/>
                <w:bCs w:val="1"/>
                <w:color w:val="FEFEFE"/>
              </w:rPr>
              <w:t xml:space="preserve">True-Up </w:t>
            </w:r>
            <w:r>
              <w:rPr>
                <w:rFonts w:ascii="Arial" w:cs="Arial" w:eastAsia="Arial" w:hAnsi="Arial"/>
                <w:sz w:val="30"/>
                <w:szCs w:val="30"/>
                <w:b w:val="1"/>
                <w:bCs w:val="1"/>
                <w:color w:val="FEFEFE"/>
                <w:vertAlign w:val="subscript"/>
              </w:rPr>
              <w:t>​ ​</w:t>
            </w:r>
            <w:r>
              <w:rPr>
                <w:rFonts w:ascii="Arial" w:cs="Arial" w:eastAsia="Arial" w:hAnsi="Arial"/>
                <w:sz w:val="16"/>
                <w:szCs w:val="16"/>
                <w:b w:val="1"/>
                <w:bCs w:val="1"/>
                <w:color w:val="FEFEFE"/>
              </w:rPr>
              <w:t xml:space="preserve"> Special  </w:t>
            </w:r>
            <w:r>
              <w:rPr>
                <w:rFonts w:ascii="Arial" w:cs="Arial" w:eastAsia="Arial" w:hAnsi="Arial"/>
                <w:sz w:val="30"/>
                <w:szCs w:val="30"/>
                <w:b w:val="1"/>
                <w:bCs w:val="1"/>
                <w:color w:val="FEFEFE"/>
                <w:vertAlign w:val="subscript"/>
              </w:rPr>
              <w:t>​</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E7417A"/>
            </w:tcBorders>
            <w:gridSpan w:val="2"/>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Bruce McClelland</w:t>
            </w:r>
          </w:p>
        </w:tc>
        <w:tc>
          <w:tcPr>
            <w:tcW w:w="2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E7417A"/>
            </w:tcBorders>
            <w:gridSpan w:val="2"/>
          </w:tcPr>
          <w:p>
            <w:pPr>
              <w:jc w:val="right"/>
              <w:ind w:right="119"/>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​220,588</w:t>
            </w:r>
          </w:p>
        </w:tc>
        <w:tc>
          <w:tcPr>
            <w:tcW w:w="440" w:type="dxa"/>
            <w:vAlign w:val="bottom"/>
            <w:tcBorders>
              <w:bottom w:val="single" w:sz="8" w:color="E7417A"/>
            </w:tcBorders>
          </w:tcPr>
          <w:p>
            <w:pPr>
              <w:ind w:left="60"/>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E7417A"/>
            </w:tcBorders>
            <w:gridSpan w:val="2"/>
          </w:tcPr>
          <w:p>
            <w:pPr>
              <w:jc w:val="right"/>
              <w:ind w:right="199"/>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​272,943</w:t>
            </w:r>
          </w:p>
        </w:tc>
        <w:tc>
          <w:tcPr>
            <w:tcW w:w="1080" w:type="dxa"/>
            <w:vAlign w:val="bottom"/>
            <w:tcBorders>
              <w:bottom w:val="single" w:sz="8" w:color="E7417A"/>
            </w:tcBorders>
            <w:gridSpan w:val="2"/>
          </w:tcPr>
          <w:p>
            <w:pPr>
              <w:jc w:val="right"/>
              <w:spacing w:after="0" w:line="256" w:lineRule="exact"/>
              <w:rPr>
                <w:sz w:val="20"/>
                <w:szCs w:val="20"/>
                <w:color w:val="auto"/>
              </w:rPr>
            </w:pPr>
            <w:r>
              <w:rPr>
                <w:rFonts w:ascii="Arial" w:cs="Arial" w:eastAsia="Arial" w:hAnsi="Arial"/>
                <w:sz w:val="29"/>
                <w:szCs w:val="29"/>
                <w:color w:val="auto"/>
                <w:vertAlign w:val="subscript"/>
              </w:rPr>
              <w:t>​​ ​ ​</w:t>
            </w:r>
            <w:r>
              <w:rPr>
                <w:rFonts w:ascii="Arial" w:cs="Arial" w:eastAsia="Arial" w:hAnsi="Arial"/>
                <w:sz w:val="15"/>
                <w:szCs w:val="15"/>
                <w:color w:val="auto"/>
              </w:rPr>
              <w:t>​375,000</w:t>
            </w:r>
            <w:r>
              <w:rPr>
                <w:rFonts w:ascii="Arial" w:cs="Arial" w:eastAsia="Arial" w:hAnsi="Arial"/>
                <w:sz w:val="29"/>
                <w:szCs w:val="29"/>
                <w:color w:val="auto"/>
                <w:vertAlign w:val="subscript"/>
              </w:rPr>
              <w:t>​ ​</w:t>
            </w:r>
          </w:p>
        </w:tc>
        <w:tc>
          <w:tcPr>
            <w:tcW w:w="1760" w:type="dxa"/>
            <w:vAlign w:val="bottom"/>
            <w:tcBorders>
              <w:bottom w:val="single" w:sz="8" w:color="E7417A"/>
            </w:tcBorders>
            <w:gridSpan w:val="5"/>
          </w:tcPr>
          <w:p>
            <w:pPr>
              <w:jc w:val="right"/>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​474,684</w:t>
            </w:r>
            <w:r>
              <w:rPr>
                <w:rFonts w:ascii="Arial" w:cs="Arial" w:eastAsia="Arial" w:hAnsi="Arial"/>
                <w:sz w:val="29"/>
                <w:szCs w:val="29"/>
                <w:color w:val="auto"/>
                <w:vertAlign w:val="subscript"/>
              </w:rPr>
              <w:t>​​ ​ ​</w:t>
            </w:r>
            <w:r>
              <w:rPr>
                <w:rFonts w:ascii="Arial" w:cs="Arial" w:eastAsia="Arial" w:hAnsi="Arial"/>
                <w:sz w:val="15"/>
                <w:szCs w:val="15"/>
                <w:color w:val="auto"/>
              </w:rPr>
              <w:t>​3,125,000</w:t>
            </w:r>
            <w:r>
              <w:rPr>
                <w:rFonts w:ascii="Arial" w:cs="Arial" w:eastAsia="Arial" w:hAnsi="Arial"/>
                <w:sz w:val="29"/>
                <w:szCs w:val="29"/>
                <w:color w:val="auto"/>
                <w:vertAlign w:val="subscript"/>
              </w:rPr>
              <w:t>​</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E7417A"/>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John Townsend</w:t>
            </w:r>
          </w:p>
        </w:tc>
        <w:tc>
          <w:tcPr>
            <w:tcW w:w="2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w:t>
            </w:r>
          </w:p>
        </w:tc>
        <w:tc>
          <w:tcPr>
            <w:tcW w:w="440" w:type="dxa"/>
            <w:vAlign w:val="bottom"/>
            <w:tcBorders>
              <w:bottom w:val="single" w:sz="8" w:color="E7417A"/>
            </w:tcBorders>
          </w:tcPr>
          <w:p>
            <w:pPr>
              <w:ind w:left="28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720" w:type="dxa"/>
            <w:vAlign w:val="bottom"/>
            <w:tcBorders>
              <w:bottom w:val="single" w:sz="8" w:color="E7417A"/>
            </w:tcBorders>
          </w:tcPr>
          <w:p>
            <w:pPr>
              <w:jc w:val="right"/>
              <w:ind w:right="1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7417A"/>
            </w:tcBorders>
          </w:tcPr>
          <w:p>
            <w:pPr>
              <w:ind w:left="6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20" w:type="dxa"/>
            <w:vAlign w:val="bottom"/>
            <w:tcBorders>
              <w:bottom w:val="single" w:sz="8" w:color="E7417A"/>
            </w:tcBorders>
          </w:tcPr>
          <w:p>
            <w:pPr>
              <w:jc w:val="right"/>
              <w:ind w:right="1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7417A"/>
            </w:tcBorders>
          </w:tcPr>
          <w:p>
            <w:pPr>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560" w:type="dxa"/>
            <w:vAlign w:val="bottom"/>
            <w:tcBorders>
              <w:bottom w:val="single" w:sz="8" w:color="E7417A"/>
            </w:tcBorders>
          </w:tcPr>
          <w:p>
            <w:pPr>
              <w:jc w:val="right"/>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w:t>
            </w:r>
          </w:p>
        </w:tc>
        <w:tc>
          <w:tcPr>
            <w:tcW w:w="120" w:type="dxa"/>
            <w:vAlign w:val="bottom"/>
            <w:tcBorders>
              <w:bottom w:val="single" w:sz="8" w:color="E7417A"/>
            </w:tcBorders>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100" w:type="dxa"/>
            <w:vAlign w:val="bottom"/>
            <w:tcBorders>
              <w:bottom w:val="single" w:sz="8" w:color="E7417A"/>
            </w:tcBorders>
            <w:gridSpan w:val="2"/>
          </w:tcPr>
          <w:p>
            <w:pPr>
              <w:jc w:val="right"/>
              <w:ind w:right="192"/>
              <w:spacing w:after="0" w:line="250"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540" w:type="dxa"/>
            <w:vAlign w:val="bottom"/>
            <w:tcBorders>
              <w:bottom w:val="single" w:sz="8" w:color="E7417A"/>
            </w:tcBorders>
            <w:gridSpan w:val="2"/>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E7417A"/>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Sam Bucci</w:t>
            </w:r>
          </w:p>
        </w:tc>
        <w:tc>
          <w:tcPr>
            <w:tcW w:w="2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E7417A"/>
            </w:tcBorders>
            <w:gridSpan w:val="2"/>
          </w:tcPr>
          <w:p>
            <w:pPr>
              <w:jc w:val="right"/>
              <w:ind w:right="11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​250,000</w:t>
            </w:r>
          </w:p>
        </w:tc>
        <w:tc>
          <w:tcPr>
            <w:tcW w:w="440" w:type="dxa"/>
            <w:vAlign w:val="bottom"/>
            <w:tcBorders>
              <w:bottom w:val="single" w:sz="8" w:color="E7417A"/>
            </w:tcBorders>
          </w:tcPr>
          <w:p>
            <w:pPr>
              <w:ind w:left="6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20" w:type="dxa"/>
            <w:vAlign w:val="bottom"/>
            <w:tcBorders>
              <w:bottom w:val="single" w:sz="8" w:color="E7417A"/>
            </w:tcBorders>
          </w:tcPr>
          <w:p>
            <w:pPr>
              <w:jc w:val="right"/>
              <w:ind w:right="199"/>
              <w:spacing w:after="0"/>
              <w:rPr>
                <w:sz w:val="20"/>
                <w:szCs w:val="20"/>
                <w:color w:val="auto"/>
              </w:rPr>
            </w:pPr>
            <w:r>
              <w:rPr>
                <w:rFonts w:ascii="Arial" w:cs="Arial" w:eastAsia="Arial" w:hAnsi="Arial"/>
                <w:sz w:val="16"/>
                <w:szCs w:val="16"/>
                <w:color w:val="auto"/>
              </w:rPr>
              <w:t>60,654</w:t>
            </w:r>
          </w:p>
        </w:tc>
        <w:tc>
          <w:tcPr>
            <w:tcW w:w="1080" w:type="dxa"/>
            <w:vAlign w:val="bottom"/>
            <w:tcBorders>
              <w:bottom w:val="single" w:sz="8" w:color="E7417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​250,000</w:t>
            </w:r>
            <w:r>
              <w:rPr>
                <w:rFonts w:ascii="Arial" w:cs="Arial" w:eastAsia="Arial" w:hAnsi="Arial"/>
                <w:sz w:val="28"/>
                <w:szCs w:val="28"/>
                <w:color w:val="auto"/>
                <w:vertAlign w:val="subscript"/>
              </w:rPr>
              <w:t>​ ​</w:t>
            </w:r>
          </w:p>
        </w:tc>
        <w:tc>
          <w:tcPr>
            <w:tcW w:w="1220" w:type="dxa"/>
            <w:vAlign w:val="bottom"/>
            <w:tcBorders>
              <w:bottom w:val="single" w:sz="8" w:color="E7417A"/>
            </w:tcBorders>
            <w:gridSpan w:val="3"/>
          </w:tcPr>
          <w:p>
            <w:pPr>
              <w:jc w:val="right"/>
              <w:ind w:right="192"/>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​105,485</w:t>
            </w:r>
            <w:r>
              <w:rPr>
                <w:rFonts w:ascii="Arial" w:cs="Arial" w:eastAsia="Arial" w:hAnsi="Arial"/>
                <w:sz w:val="28"/>
                <w:szCs w:val="28"/>
                <w:color w:val="auto"/>
                <w:vertAlign w:val="subscript"/>
              </w:rPr>
              <w:t>​​ ​ ​</w:t>
            </w:r>
            <w:r>
              <w:rPr>
                <w:rFonts w:ascii="Arial" w:cs="Arial" w:eastAsia="Arial" w:hAnsi="Arial"/>
                <w:sz w:val="15"/>
                <w:szCs w:val="15"/>
                <w:color w:val="auto"/>
              </w:rPr>
              <w:t>​</w:t>
            </w:r>
          </w:p>
        </w:tc>
        <w:tc>
          <w:tcPr>
            <w:tcW w:w="540" w:type="dxa"/>
            <w:vAlign w:val="bottom"/>
            <w:tcBorders>
              <w:bottom w:val="single" w:sz="8" w:color="E7417A"/>
            </w:tcBorders>
            <w:gridSpan w:val="2"/>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E7417A"/>
            </w:tcBorders>
            <w:gridSpan w:val="2"/>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Patrick Macken</w:t>
            </w:r>
          </w:p>
        </w:tc>
        <w:tc>
          <w:tcPr>
            <w:tcW w:w="2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E7417A"/>
            </w:tcBorders>
            <w:gridSpan w:val="2"/>
          </w:tcPr>
          <w:p>
            <w:pPr>
              <w:jc w:val="right"/>
              <w:ind w:right="119"/>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​162,500</w:t>
            </w:r>
          </w:p>
        </w:tc>
        <w:tc>
          <w:tcPr>
            <w:tcW w:w="440" w:type="dxa"/>
            <w:vAlign w:val="bottom"/>
            <w:tcBorders>
              <w:bottom w:val="single" w:sz="8" w:color="E7417A"/>
            </w:tcBorders>
          </w:tcPr>
          <w:p>
            <w:pPr>
              <w:ind w:left="6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right"/>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820" w:type="dxa"/>
            <w:vAlign w:val="bottom"/>
            <w:tcBorders>
              <w:bottom w:val="single" w:sz="8" w:color="E7417A"/>
            </w:tcBorders>
          </w:tcPr>
          <w:p>
            <w:pPr>
              <w:jc w:val="right"/>
              <w:ind w:right="199"/>
              <w:spacing w:after="0"/>
              <w:rPr>
                <w:sz w:val="20"/>
                <w:szCs w:val="20"/>
                <w:color w:val="auto"/>
              </w:rPr>
            </w:pPr>
            <w:r>
              <w:rPr>
                <w:rFonts w:ascii="Arial" w:cs="Arial" w:eastAsia="Arial" w:hAnsi="Arial"/>
                <w:sz w:val="16"/>
                <w:szCs w:val="16"/>
                <w:color w:val="auto"/>
              </w:rPr>
              <w:t>51,556</w:t>
            </w:r>
          </w:p>
        </w:tc>
        <w:tc>
          <w:tcPr>
            <w:tcW w:w="1080" w:type="dxa"/>
            <w:vAlign w:val="bottom"/>
            <w:tcBorders>
              <w:bottom w:val="single" w:sz="8" w:color="E7417A"/>
            </w:tcBorders>
            <w:gridSpan w:val="2"/>
          </w:tcPr>
          <w:p>
            <w:pPr>
              <w:jc w:val="right"/>
              <w:spacing w:after="0" w:line="250"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​162,500</w:t>
            </w:r>
            <w:r>
              <w:rPr>
                <w:rFonts w:ascii="Arial" w:cs="Arial" w:eastAsia="Arial" w:hAnsi="Arial"/>
                <w:sz w:val="28"/>
                <w:szCs w:val="28"/>
                <w:color w:val="auto"/>
                <w:vertAlign w:val="subscript"/>
              </w:rPr>
              <w:t>​ ​</w:t>
            </w:r>
          </w:p>
        </w:tc>
        <w:tc>
          <w:tcPr>
            <w:tcW w:w="660" w:type="dxa"/>
            <w:vAlign w:val="bottom"/>
            <w:tcBorders>
              <w:bottom w:val="single" w:sz="8" w:color="E7417A"/>
            </w:tcBorders>
            <w:gridSpan w:val="2"/>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89,662</w:t>
            </w:r>
          </w:p>
        </w:tc>
        <w:tc>
          <w:tcPr>
            <w:tcW w:w="560" w:type="dxa"/>
            <w:vAlign w:val="bottom"/>
            <w:tcBorders>
              <w:bottom w:val="single" w:sz="8" w:color="E7417A"/>
            </w:tcBorders>
          </w:tcPr>
          <w:p>
            <w:pPr>
              <w:jc w:val="right"/>
              <w:ind w:right="192"/>
              <w:spacing w:after="0" w:line="250" w:lineRule="exact"/>
              <w:rPr>
                <w:sz w:val="20"/>
                <w:szCs w:val="20"/>
                <w:color w:val="auto"/>
              </w:rPr>
            </w:pPr>
            <w:r>
              <w:rPr>
                <w:rFonts w:ascii="Arial" w:cs="Arial" w:eastAsia="Arial" w:hAnsi="Arial"/>
                <w:sz w:val="15"/>
                <w:szCs w:val="15"/>
                <w:color w:val="auto"/>
              </w:rPr>
              <w:t>​​ ​ ​</w:t>
            </w:r>
            <w:r>
              <w:rPr>
                <w:rFonts w:ascii="Arial" w:cs="Arial" w:eastAsia="Arial" w:hAnsi="Arial"/>
                <w:sz w:val="28"/>
                <w:szCs w:val="28"/>
                <w:color w:val="auto"/>
                <w:vertAlign w:val="superscript"/>
              </w:rPr>
              <w:t>​</w:t>
            </w:r>
          </w:p>
        </w:tc>
        <w:tc>
          <w:tcPr>
            <w:tcW w:w="540" w:type="dxa"/>
            <w:vAlign w:val="bottom"/>
            <w:tcBorders>
              <w:bottom w:val="single" w:sz="8" w:color="E7417A"/>
            </w:tcBorders>
            <w:gridSpan w:val="2"/>
          </w:tcPr>
          <w:p>
            <w:pPr>
              <w:jc w:val="right"/>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183"/>
        </w:trPr>
        <w:tc>
          <w:tcPr>
            <w:tcW w:w="80" w:type="dxa"/>
            <w:vAlign w:val="bottom"/>
            <w:vMerge w:val="restart"/>
          </w:tcPr>
          <w:p>
            <w:pPr>
              <w:spacing w:after="0"/>
              <w:rPr>
                <w:sz w:val="20"/>
                <w:szCs w:val="20"/>
                <w:color w:val="auto"/>
              </w:rPr>
            </w:pPr>
            <w:r>
              <w:rPr>
                <w:rFonts w:ascii="Arial" w:cs="Arial" w:eastAsia="Arial" w:hAnsi="Arial"/>
                <w:sz w:val="16"/>
                <w:szCs w:val="16"/>
                <w:color w:val="auto"/>
              </w:rPr>
              <w:t>​</w:t>
            </w:r>
          </w:p>
        </w:tc>
        <w:tc>
          <w:tcPr>
            <w:tcW w:w="3020" w:type="dxa"/>
            <w:vAlign w:val="bottom"/>
          </w:tcPr>
          <w:p>
            <w:pPr>
              <w:spacing w:after="0" w:line="183" w:lineRule="exact"/>
              <w:rPr>
                <w:sz w:val="20"/>
                <w:szCs w:val="20"/>
                <w:color w:val="auto"/>
              </w:rPr>
            </w:pPr>
            <w:r>
              <w:rPr>
                <w:rFonts w:ascii="Arial" w:cs="Arial" w:eastAsia="Arial" w:hAnsi="Arial"/>
                <w:sz w:val="16"/>
                <w:szCs w:val="16"/>
                <w:color w:val="auto"/>
              </w:rPr>
              <w:t>Steve McCaffery</w:t>
            </w:r>
          </w:p>
        </w:tc>
        <w:tc>
          <w:tcPr>
            <w:tcW w:w="200" w:type="dxa"/>
            <w:vAlign w:val="bottom"/>
            <w:vMerge w:val="restart"/>
          </w:tcPr>
          <w:p>
            <w:pPr>
              <w:spacing w:after="0"/>
              <w:rPr>
                <w:sz w:val="20"/>
                <w:szCs w:val="20"/>
                <w:color w:val="auto"/>
              </w:rPr>
            </w:pPr>
            <w:r>
              <w:rPr>
                <w:rFonts w:ascii="Arial" w:cs="Arial" w:eastAsia="Arial" w:hAnsi="Arial"/>
                <w:sz w:val="16"/>
                <w:szCs w:val="16"/>
                <w:color w:val="auto"/>
              </w:rPr>
              <w:t>​ ​</w:t>
            </w:r>
          </w:p>
        </w:tc>
        <w:tc>
          <w:tcPr>
            <w:tcW w:w="11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​108,006</w:t>
            </w:r>
            <w:r>
              <w:rPr>
                <w:rFonts w:ascii="Arial" w:cs="Arial" w:eastAsia="Arial" w:hAnsi="Arial"/>
                <w:sz w:val="19"/>
                <w:szCs w:val="19"/>
                <w:color w:val="auto"/>
                <w:vertAlign w:val="superscript"/>
              </w:rPr>
              <w:t>(1)</w:t>
            </w:r>
          </w:p>
        </w:tc>
        <w:tc>
          <w:tcPr>
            <w:tcW w:w="440" w:type="dxa"/>
            <w:vAlign w:val="bottom"/>
            <w:vMerge w:val="restart"/>
          </w:tcPr>
          <w:p>
            <w:pPr>
              <w:ind w:left="60"/>
              <w:spacing w:after="0"/>
              <w:rPr>
                <w:sz w:val="20"/>
                <w:szCs w:val="20"/>
                <w:color w:val="auto"/>
              </w:rPr>
            </w:pPr>
            <w:r>
              <w:rPr>
                <w:rFonts w:ascii="Arial" w:cs="Arial" w:eastAsia="Arial" w:hAnsi="Arial"/>
                <w:sz w:val="16"/>
                <w:szCs w:val="16"/>
                <w:color w:val="auto"/>
              </w:rPr>
              <w:t>​​ ​</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5"/>
              <w:spacing w:after="0" w:line="183" w:lineRule="exact"/>
              <w:rPr>
                <w:sz w:val="20"/>
                <w:szCs w:val="20"/>
                <w:color w:val="auto"/>
              </w:rPr>
            </w:pPr>
            <w:r>
              <w:rPr>
                <w:rFonts w:ascii="Arial" w:cs="Arial" w:eastAsia="Arial" w:hAnsi="Arial"/>
                <w:sz w:val="16"/>
                <w:szCs w:val="16"/>
                <w:color w:val="auto"/>
              </w:rPr>
              <w:t>​540,033</w:t>
            </w:r>
            <w:r>
              <w:rPr>
                <w:rFonts w:ascii="Arial" w:cs="Arial" w:eastAsia="Arial" w:hAnsi="Arial"/>
                <w:sz w:val="19"/>
                <w:szCs w:val="19"/>
                <w:color w:val="auto"/>
                <w:vertAlign w:val="superscript"/>
              </w:rPr>
              <w:t>(1)</w:t>
            </w:r>
          </w:p>
        </w:tc>
        <w:tc>
          <w:tcPr>
            <w:tcW w:w="120" w:type="dxa"/>
            <w:vAlign w:val="bottom"/>
          </w:tcPr>
          <w:p>
            <w:pPr>
              <w:ind w:left="40"/>
              <w:spacing w:after="0" w:line="183" w:lineRule="exact"/>
              <w:rPr>
                <w:sz w:val="20"/>
                <w:szCs w:val="20"/>
                <w:color w:val="auto"/>
              </w:rPr>
            </w:pPr>
            <w:r>
              <w:rPr>
                <w:rFonts w:ascii="Arial" w:cs="Arial" w:eastAsia="Arial" w:hAnsi="Arial"/>
                <w:sz w:val="16"/>
                <w:szCs w:val="16"/>
                <w:color w:val="auto"/>
              </w:rPr>
              <w:t>​</w:t>
            </w:r>
          </w:p>
        </w:tc>
        <w:tc>
          <w:tcPr>
            <w:tcW w:w="5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jc w:val="right"/>
              <w:ind w:right="192"/>
              <w:spacing w:after="0" w:line="183" w:lineRule="exact"/>
              <w:rPr>
                <w:sz w:val="20"/>
                <w:szCs w:val="20"/>
                <w:color w:val="auto"/>
              </w:rPr>
            </w:pPr>
            <w:r>
              <w:rPr>
                <w:rFonts w:ascii="Arial" w:cs="Arial" w:eastAsia="Arial" w:hAnsi="Arial"/>
                <w:sz w:val="16"/>
                <w:szCs w:val="16"/>
                <w:color w:val="auto"/>
              </w:rPr>
              <w:t>​</w:t>
            </w:r>
          </w:p>
        </w:tc>
        <w:tc>
          <w:tcPr>
            <w:tcW w:w="440" w:type="dxa"/>
            <w:vAlign w:val="bottom"/>
          </w:tcPr>
          <w:p>
            <w:pPr>
              <w:ind w:left="280"/>
              <w:spacing w:after="0" w:line="183" w:lineRule="exact"/>
              <w:rPr>
                <w:sz w:val="20"/>
                <w:szCs w:val="20"/>
                <w:color w:val="auto"/>
              </w:rPr>
            </w:pPr>
            <w:r>
              <w:rPr>
                <w:rFonts w:ascii="Arial" w:cs="Arial" w:eastAsia="Arial" w:hAnsi="Arial"/>
                <w:sz w:val="16"/>
                <w:szCs w:val="16"/>
                <w:color w:val="auto"/>
                <w:w w:val="87"/>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8"/>
        </w:trPr>
        <w:tc>
          <w:tcPr>
            <w:tcW w:w="80" w:type="dxa"/>
            <w:vAlign w:val="bottom"/>
            <w:tcBorders>
              <w:bottom w:val="single" w:sz="8" w:color="E7417A"/>
            </w:tcBorders>
            <w:vMerge w:val="continue"/>
          </w:tcPr>
          <w:p>
            <w:pPr>
              <w:spacing w:after="0"/>
              <w:rPr>
                <w:sz w:val="5"/>
                <w:szCs w:val="5"/>
                <w:color w:val="auto"/>
              </w:rPr>
            </w:pPr>
          </w:p>
        </w:tc>
        <w:tc>
          <w:tcPr>
            <w:tcW w:w="3020" w:type="dxa"/>
            <w:vAlign w:val="bottom"/>
            <w:tcBorders>
              <w:bottom w:val="single" w:sz="8" w:color="E7417A"/>
            </w:tcBorders>
          </w:tcPr>
          <w:p>
            <w:pPr>
              <w:spacing w:after="0"/>
              <w:rPr>
                <w:sz w:val="5"/>
                <w:szCs w:val="5"/>
                <w:color w:val="auto"/>
              </w:rPr>
            </w:pPr>
          </w:p>
        </w:tc>
        <w:tc>
          <w:tcPr>
            <w:tcW w:w="200" w:type="dxa"/>
            <w:vAlign w:val="bottom"/>
            <w:tcBorders>
              <w:bottom w:val="single" w:sz="8" w:color="E7417A"/>
            </w:tcBorders>
            <w:vMerge w:val="continue"/>
          </w:tcPr>
          <w:p>
            <w:pPr>
              <w:spacing w:after="0"/>
              <w:rPr>
                <w:sz w:val="5"/>
                <w:szCs w:val="5"/>
                <w:color w:val="auto"/>
              </w:rPr>
            </w:pPr>
          </w:p>
        </w:tc>
        <w:tc>
          <w:tcPr>
            <w:tcW w:w="440" w:type="dxa"/>
            <w:vAlign w:val="bottom"/>
            <w:tcBorders>
              <w:bottom w:val="single" w:sz="8" w:color="E7417A"/>
            </w:tcBorders>
          </w:tcPr>
          <w:p>
            <w:pPr>
              <w:ind w:left="280"/>
              <w:spacing w:after="0" w:line="68" w:lineRule="exact"/>
              <w:rPr>
                <w:sz w:val="20"/>
                <w:szCs w:val="20"/>
                <w:color w:val="auto"/>
              </w:rPr>
            </w:pPr>
            <w:r>
              <w:rPr>
                <w:rFonts w:ascii="Arial" w:cs="Arial" w:eastAsia="Arial" w:hAnsi="Arial"/>
                <w:sz w:val="7"/>
                <w:szCs w:val="7"/>
                <w:color w:val="auto"/>
              </w:rPr>
              <w:t>​</w:t>
            </w:r>
          </w:p>
        </w:tc>
        <w:tc>
          <w:tcPr>
            <w:tcW w:w="720" w:type="dxa"/>
            <w:vAlign w:val="bottom"/>
            <w:tcBorders>
              <w:bottom w:val="single" w:sz="8" w:color="E7417A"/>
            </w:tcBorders>
          </w:tcPr>
          <w:p>
            <w:pPr>
              <w:spacing w:after="0"/>
              <w:rPr>
                <w:sz w:val="5"/>
                <w:szCs w:val="5"/>
                <w:color w:val="auto"/>
              </w:rPr>
            </w:pPr>
          </w:p>
        </w:tc>
        <w:tc>
          <w:tcPr>
            <w:tcW w:w="440" w:type="dxa"/>
            <w:vAlign w:val="bottom"/>
            <w:tcBorders>
              <w:bottom w:val="single" w:sz="8" w:color="E7417A"/>
            </w:tcBorders>
            <w:vMerge w:val="continue"/>
          </w:tcPr>
          <w:p>
            <w:pPr>
              <w:spacing w:after="0"/>
              <w:rPr>
                <w:sz w:val="5"/>
                <w:szCs w:val="5"/>
                <w:color w:val="auto"/>
              </w:rPr>
            </w:pPr>
          </w:p>
        </w:tc>
        <w:tc>
          <w:tcPr>
            <w:tcW w:w="300" w:type="dxa"/>
            <w:vAlign w:val="bottom"/>
            <w:tcBorders>
              <w:bottom w:val="single" w:sz="8" w:color="E7417A"/>
            </w:tcBorders>
          </w:tcPr>
          <w:p>
            <w:pPr>
              <w:jc w:val="right"/>
              <w:ind w:right="28"/>
              <w:spacing w:after="0" w:line="68" w:lineRule="exact"/>
              <w:rPr>
                <w:sz w:val="20"/>
                <w:szCs w:val="20"/>
                <w:color w:val="auto"/>
              </w:rPr>
            </w:pPr>
            <w:r>
              <w:rPr>
                <w:rFonts w:ascii="Arial" w:cs="Arial" w:eastAsia="Arial" w:hAnsi="Arial"/>
                <w:sz w:val="7"/>
                <w:szCs w:val="7"/>
                <w:color w:val="auto"/>
              </w:rPr>
              <w:t>​</w:t>
            </w:r>
          </w:p>
        </w:tc>
        <w:tc>
          <w:tcPr>
            <w:tcW w:w="820" w:type="dxa"/>
            <w:vAlign w:val="bottom"/>
            <w:tcBorders>
              <w:bottom w:val="single" w:sz="8" w:color="E7417A"/>
            </w:tcBorders>
          </w:tcPr>
          <w:p>
            <w:pPr>
              <w:spacing w:after="0"/>
              <w:rPr>
                <w:sz w:val="5"/>
                <w:szCs w:val="5"/>
                <w:color w:val="auto"/>
              </w:rPr>
            </w:pPr>
          </w:p>
        </w:tc>
        <w:tc>
          <w:tcPr>
            <w:tcW w:w="520" w:type="dxa"/>
            <w:vAlign w:val="bottom"/>
            <w:tcBorders>
              <w:bottom w:val="single" w:sz="8" w:color="E7417A"/>
            </w:tcBorders>
          </w:tcPr>
          <w:p>
            <w:pPr>
              <w:spacing w:after="0" w:line="68" w:lineRule="exact"/>
              <w:rPr>
                <w:sz w:val="20"/>
                <w:szCs w:val="20"/>
                <w:color w:val="auto"/>
              </w:rPr>
            </w:pPr>
            <w:r>
              <w:rPr>
                <w:rFonts w:ascii="Arial" w:cs="Arial" w:eastAsia="Arial" w:hAnsi="Arial"/>
                <w:sz w:val="7"/>
                <w:szCs w:val="7"/>
                <w:color w:val="auto"/>
              </w:rPr>
              <w:t>​​ ​ ​</w:t>
            </w:r>
          </w:p>
        </w:tc>
        <w:tc>
          <w:tcPr>
            <w:tcW w:w="560" w:type="dxa"/>
            <w:vAlign w:val="bottom"/>
            <w:tcBorders>
              <w:bottom w:val="single" w:sz="8" w:color="E7417A"/>
            </w:tcBorders>
          </w:tcPr>
          <w:p>
            <w:pPr>
              <w:jc w:val="right"/>
              <w:spacing w:after="0" w:line="68" w:lineRule="exact"/>
              <w:rPr>
                <w:sz w:val="20"/>
                <w:szCs w:val="20"/>
                <w:color w:val="auto"/>
              </w:rPr>
            </w:pPr>
            <w:r>
              <w:rPr>
                <w:rFonts w:ascii="Arial" w:cs="Arial" w:eastAsia="Arial" w:hAnsi="Arial"/>
                <w:sz w:val="7"/>
                <w:szCs w:val="7"/>
                <w:color w:val="auto"/>
              </w:rPr>
              <w:t>​ ​</w:t>
            </w:r>
          </w:p>
        </w:tc>
        <w:tc>
          <w:tcPr>
            <w:tcW w:w="120" w:type="dxa"/>
            <w:vAlign w:val="bottom"/>
            <w:tcBorders>
              <w:bottom w:val="single" w:sz="8" w:color="E7417A"/>
            </w:tcBorders>
          </w:tcPr>
          <w:p>
            <w:pPr>
              <w:ind w:left="40"/>
              <w:spacing w:after="0" w:line="68" w:lineRule="exact"/>
              <w:rPr>
                <w:sz w:val="20"/>
                <w:szCs w:val="20"/>
                <w:color w:val="auto"/>
              </w:rPr>
            </w:pPr>
            <w:r>
              <w:rPr>
                <w:rFonts w:ascii="Arial" w:cs="Arial" w:eastAsia="Arial" w:hAnsi="Arial"/>
                <w:sz w:val="7"/>
                <w:szCs w:val="7"/>
                <w:color w:val="auto"/>
              </w:rPr>
              <w:t>​</w:t>
            </w:r>
          </w:p>
        </w:tc>
        <w:tc>
          <w:tcPr>
            <w:tcW w:w="540" w:type="dxa"/>
            <w:vAlign w:val="bottom"/>
            <w:tcBorders>
              <w:bottom w:val="single" w:sz="8" w:color="E7417A"/>
            </w:tcBorders>
          </w:tcPr>
          <w:p>
            <w:pPr>
              <w:spacing w:after="0"/>
              <w:rPr>
                <w:sz w:val="5"/>
                <w:szCs w:val="5"/>
                <w:color w:val="auto"/>
              </w:rPr>
            </w:pPr>
          </w:p>
        </w:tc>
        <w:tc>
          <w:tcPr>
            <w:tcW w:w="560" w:type="dxa"/>
            <w:vAlign w:val="bottom"/>
            <w:tcBorders>
              <w:bottom w:val="single" w:sz="8" w:color="E7417A"/>
            </w:tcBorders>
          </w:tcPr>
          <w:p>
            <w:pPr>
              <w:jc w:val="right"/>
              <w:ind w:right="192"/>
              <w:spacing w:after="0" w:line="68" w:lineRule="exact"/>
              <w:rPr>
                <w:sz w:val="20"/>
                <w:szCs w:val="20"/>
                <w:color w:val="auto"/>
              </w:rPr>
            </w:pPr>
            <w:r>
              <w:rPr>
                <w:rFonts w:ascii="Arial" w:cs="Arial" w:eastAsia="Arial" w:hAnsi="Arial"/>
                <w:sz w:val="7"/>
                <w:szCs w:val="7"/>
                <w:color w:val="auto"/>
              </w:rPr>
              <w:t>​​ ​ ​</w:t>
            </w:r>
          </w:p>
        </w:tc>
        <w:tc>
          <w:tcPr>
            <w:tcW w:w="440" w:type="dxa"/>
            <w:vAlign w:val="bottom"/>
            <w:tcBorders>
              <w:bottom w:val="single" w:sz="8" w:color="E7417A"/>
            </w:tcBorders>
          </w:tcPr>
          <w:p>
            <w:pPr>
              <w:spacing w:after="0"/>
              <w:rPr>
                <w:sz w:val="5"/>
                <w:szCs w:val="5"/>
                <w:color w:val="auto"/>
              </w:rPr>
            </w:pPr>
          </w:p>
        </w:tc>
        <w:tc>
          <w:tcPr>
            <w:tcW w:w="100" w:type="dxa"/>
            <w:vAlign w:val="bottom"/>
            <w:tcBorders>
              <w:bottom w:val="single" w:sz="8" w:color="E7417A"/>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3100" w:type="dxa"/>
            <w:vAlign w:val="bottom"/>
            <w:tcBorders>
              <w:bottom w:val="single" w:sz="8" w:color="62259D"/>
            </w:tcBorders>
            <w:gridSpan w:val="2"/>
          </w:tcPr>
          <w:p>
            <w:pPr>
              <w:spacing w:after="0"/>
              <w:rPr>
                <w:sz w:val="20"/>
                <w:szCs w:val="20"/>
                <w:color w:val="auto"/>
              </w:rPr>
            </w:pPr>
            <w:r>
              <w:rPr>
                <w:rFonts w:ascii="Arial" w:cs="Arial" w:eastAsia="Arial" w:hAnsi="Arial"/>
                <w:sz w:val="16"/>
                <w:szCs w:val="16"/>
                <w:color w:val="auto"/>
              </w:rPr>
              <w:t>​ Dan Redington</w:t>
            </w:r>
          </w:p>
        </w:tc>
        <w:tc>
          <w:tcPr>
            <w:tcW w:w="20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 ​</w:t>
            </w:r>
          </w:p>
        </w:tc>
        <w:tc>
          <w:tcPr>
            <w:tcW w:w="1160" w:type="dxa"/>
            <w:vAlign w:val="bottom"/>
            <w:tcBorders>
              <w:bottom w:val="single" w:sz="8" w:color="62259D"/>
            </w:tcBorders>
            <w:gridSpan w:val="2"/>
          </w:tcPr>
          <w:p>
            <w:pPr>
              <w:jc w:val="right"/>
              <w:ind w:right="119"/>
              <w:spacing w:after="0"/>
              <w:rPr>
                <w:sz w:val="20"/>
                <w:szCs w:val="20"/>
                <w:color w:val="auto"/>
              </w:rPr>
            </w:pPr>
            <w:r>
              <w:rPr>
                <w:rFonts w:ascii="Arial" w:cs="Arial" w:eastAsia="Arial" w:hAnsi="Arial"/>
                <w:sz w:val="16"/>
                <w:szCs w:val="16"/>
                <w:color w:val="auto"/>
              </w:rPr>
              <w:t>​​ 112,500</w:t>
            </w:r>
          </w:p>
        </w:tc>
        <w:tc>
          <w:tcPr>
            <w:tcW w:w="440" w:type="dxa"/>
            <w:vAlign w:val="bottom"/>
            <w:tcBorders>
              <w:bottom w:val="single" w:sz="8" w:color="62259D"/>
            </w:tcBorders>
          </w:tcPr>
          <w:p>
            <w:pPr>
              <w:ind w:left="6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62259D"/>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62259D"/>
            </w:tcBorders>
          </w:tcPr>
          <w:p>
            <w:pPr>
              <w:jc w:val="right"/>
              <w:ind w:right="199"/>
              <w:spacing w:after="0"/>
              <w:rPr>
                <w:sz w:val="20"/>
                <w:szCs w:val="20"/>
                <w:color w:val="auto"/>
              </w:rPr>
            </w:pPr>
            <w:r>
              <w:rPr>
                <w:rFonts w:ascii="Arial" w:cs="Arial" w:eastAsia="Arial" w:hAnsi="Arial"/>
                <w:sz w:val="16"/>
                <w:szCs w:val="16"/>
                <w:color w:val="auto"/>
              </w:rPr>
              <w:t>48,523</w:t>
            </w:r>
          </w:p>
        </w:tc>
        <w:tc>
          <w:tcPr>
            <w:tcW w:w="1080" w:type="dxa"/>
            <w:vAlign w:val="bottom"/>
            <w:tcBorders>
              <w:bottom w:val="single" w:sz="8" w:color="62259D"/>
            </w:tcBorders>
            <w:gridSpan w:val="2"/>
          </w:tcPr>
          <w:p>
            <w:pPr>
              <w:jc w:val="right"/>
              <w:spacing w:after="0"/>
              <w:rPr>
                <w:sz w:val="20"/>
                <w:szCs w:val="20"/>
                <w:color w:val="auto"/>
              </w:rPr>
            </w:pPr>
            <w:r>
              <w:rPr>
                <w:rFonts w:ascii="Arial" w:cs="Arial" w:eastAsia="Arial" w:hAnsi="Arial"/>
                <w:sz w:val="16"/>
                <w:szCs w:val="16"/>
                <w:color w:val="auto"/>
              </w:rPr>
              <w:t>​​ ​ ​​112,500​ ​</w:t>
            </w:r>
          </w:p>
        </w:tc>
        <w:tc>
          <w:tcPr>
            <w:tcW w:w="660" w:type="dxa"/>
            <w:vAlign w:val="bottom"/>
            <w:tcBorders>
              <w:bottom w:val="single" w:sz="8" w:color="62259D"/>
            </w:tcBorders>
            <w:gridSpan w:val="2"/>
          </w:tcPr>
          <w:p>
            <w:pPr>
              <w:ind w:left="40"/>
              <w:spacing w:after="0"/>
              <w:rPr>
                <w:sz w:val="20"/>
                <w:szCs w:val="20"/>
                <w:color w:val="auto"/>
              </w:rPr>
            </w:pPr>
            <w:r>
              <w:rPr>
                <w:rFonts w:ascii="Arial" w:cs="Arial" w:eastAsia="Arial" w:hAnsi="Arial"/>
                <w:sz w:val="16"/>
                <w:szCs w:val="16"/>
                <w:color w:val="auto"/>
              </w:rPr>
              <w:t>​​ 84,388</w:t>
            </w:r>
          </w:p>
        </w:tc>
        <w:tc>
          <w:tcPr>
            <w:tcW w:w="560" w:type="dxa"/>
            <w:vAlign w:val="bottom"/>
            <w:tcBorders>
              <w:bottom w:val="single" w:sz="8" w:color="62259D"/>
            </w:tcBorders>
          </w:tcPr>
          <w:p>
            <w:pPr>
              <w:jc w:val="right"/>
              <w:ind w:right="192"/>
              <w:spacing w:after="0"/>
              <w:rPr>
                <w:sz w:val="20"/>
                <w:szCs w:val="20"/>
                <w:color w:val="auto"/>
              </w:rPr>
            </w:pPr>
            <w:r>
              <w:rPr>
                <w:rFonts w:ascii="Arial" w:cs="Arial" w:eastAsia="Arial" w:hAnsi="Arial"/>
                <w:sz w:val="16"/>
                <w:szCs w:val="16"/>
                <w:color w:val="auto"/>
              </w:rPr>
              <w:t>​​ ​ ​​</w:t>
            </w:r>
          </w:p>
        </w:tc>
        <w:tc>
          <w:tcPr>
            <w:tcW w:w="540" w:type="dxa"/>
            <w:vAlign w:val="bottom"/>
            <w:tcBorders>
              <w:bottom w:val="single" w:sz="8" w:color="62259D"/>
            </w:tcBorders>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040"/>
        <w:spacing w:after="0"/>
        <w:tabs>
          <w:tab w:leader="none" w:pos="1380" w:val="left"/>
        </w:tabs>
        <w:rPr>
          <w:sz w:val="20"/>
          <w:szCs w:val="20"/>
          <w:color w:val="auto"/>
        </w:rPr>
      </w:pPr>
      <w:r>
        <w:rPr>
          <w:rFonts w:ascii="Arial" w:cs="Arial" w:eastAsia="Arial" w:hAnsi="Arial"/>
          <w:sz w:val="16"/>
          <w:szCs w:val="16"/>
          <w:color w:val="auto"/>
        </w:rPr>
        <w:t>(1)</w:t>
        <w:tab/>
        <w:t>Comprised entirely of the McCaffery Sign-On Awards (as defined below).</w:t>
      </w:r>
    </w:p>
    <w:p>
      <w:pPr>
        <w:spacing w:after="0" w:line="214"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2025 ANNUAL EQUITY AWARDS</w:t>
      </w:r>
    </w:p>
    <w:p>
      <w:pPr>
        <w:spacing w:after="0" w:line="124" w:lineRule="exact"/>
        <w:rPr>
          <w:sz w:val="20"/>
          <w:szCs w:val="20"/>
          <w:color w:val="auto"/>
        </w:rPr>
      </w:pPr>
    </w:p>
    <w:p>
      <w:pPr>
        <w:ind w:left="920" w:right="159"/>
        <w:spacing w:after="0" w:line="259" w:lineRule="auto"/>
        <w:rPr>
          <w:sz w:val="20"/>
          <w:szCs w:val="20"/>
          <w:color w:val="auto"/>
        </w:rPr>
      </w:pPr>
      <w:r>
        <w:rPr>
          <w:rFonts w:ascii="Arial" w:cs="Arial" w:eastAsia="Arial" w:hAnsi="Arial"/>
          <w:sz w:val="18"/>
          <w:szCs w:val="18"/>
          <w:color w:val="auto"/>
        </w:rPr>
        <w:t xml:space="preserve">Generally 50% of the annual equity-based incentives granted to our executives officers are in the form of RSUs and 50% are in the form of PSUs, as described in more detail below. In light of the inducement grants made to Mr. Townsend in November 2024 in connection with his appointment as our Chief Financial Officer, and to Mr. McCaffery in October 2025, as described below under “— </w:t>
      </w:r>
      <w:r>
        <w:rPr>
          <w:rFonts w:ascii="Arial" w:cs="Arial" w:eastAsia="Arial" w:hAnsi="Arial"/>
          <w:sz w:val="18"/>
          <w:szCs w:val="18"/>
          <w:i w:val="1"/>
          <w:iCs w:val="1"/>
          <w:color w:val="auto"/>
        </w:rPr>
        <w:t>McCaffery Sign-On Awards</w:t>
      </w:r>
      <w:r>
        <w:rPr>
          <w:rFonts w:ascii="Arial" w:cs="Arial" w:eastAsia="Arial" w:hAnsi="Arial"/>
          <w:sz w:val="18"/>
          <w:szCs w:val="18"/>
          <w:color w:val="auto"/>
        </w:rPr>
        <w:t>,” no additional annual equity awards were made to Messrs. McCaffery and Townsend in 2025.</w:t>
      </w:r>
    </w:p>
    <w:p>
      <w:pPr>
        <w:spacing w:after="0" w:line="190" w:lineRule="exact"/>
        <w:rPr>
          <w:sz w:val="20"/>
          <w:szCs w:val="20"/>
          <w:color w:val="auto"/>
        </w:rPr>
      </w:pPr>
    </w:p>
    <w:p>
      <w:pPr>
        <w:ind w:left="920" w:right="379"/>
        <w:spacing w:after="0" w:line="261" w:lineRule="auto"/>
        <w:rPr>
          <w:sz w:val="20"/>
          <w:szCs w:val="20"/>
          <w:color w:val="auto"/>
        </w:rPr>
      </w:pPr>
      <w:r>
        <w:rPr>
          <w:rFonts w:ascii="Arial" w:cs="Arial" w:eastAsia="Arial" w:hAnsi="Arial"/>
          <w:sz w:val="20"/>
          <w:szCs w:val="20"/>
          <w:i w:val="1"/>
          <w:iCs w:val="1"/>
          <w:color w:val="E7417A"/>
        </w:rPr>
        <w:t xml:space="preserve">2025 ANNUAL PSUS. </w:t>
      </w:r>
      <w:r>
        <w:rPr>
          <w:rFonts w:ascii="Arial" w:cs="Arial" w:eastAsia="Arial" w:hAnsi="Arial"/>
          <w:sz w:val="20"/>
          <w:szCs w:val="20"/>
          <w:color w:val="000000"/>
        </w:rPr>
        <w:t>The annual PSU awards, including those made in 2025, typically vest</w:t>
      </w:r>
      <w:r>
        <w:rPr>
          <w:rFonts w:ascii="Arial" w:cs="Arial" w:eastAsia="Arial" w:hAnsi="Arial"/>
          <w:sz w:val="20"/>
          <w:szCs w:val="20"/>
          <w:i w:val="1"/>
          <w:iCs w:val="1"/>
          <w:color w:val="E7417A"/>
        </w:rPr>
        <w:t xml:space="preserve"> </w:t>
      </w:r>
      <w:r>
        <w:rPr>
          <w:rFonts w:ascii="Arial" w:cs="Arial" w:eastAsia="Arial" w:hAnsi="Arial"/>
          <w:sz w:val="20"/>
          <w:szCs w:val="20"/>
          <w:color w:val="000000"/>
        </w:rPr>
        <w:t>after three years and have both performance and service conditions. The portion of the annual PSUs with vesting subject to financial metrics can vest between 0% and 150% of the target amount of the award. For the portion of the annual PSUs with vesting subject to relative total stockholder return, that portion can vest between 0% and 200% of target as discussed below.</w:t>
      </w:r>
    </w:p>
    <w:p>
      <w:pPr>
        <w:spacing w:after="0" w:line="89" w:lineRule="exact"/>
        <w:rPr>
          <w:sz w:val="20"/>
          <w:szCs w:val="20"/>
          <w:color w:val="auto"/>
        </w:rPr>
      </w:pPr>
    </w:p>
    <w:p>
      <w:pPr>
        <w:ind w:left="920" w:right="459"/>
        <w:spacing w:after="0" w:line="268" w:lineRule="auto"/>
        <w:rPr>
          <w:sz w:val="20"/>
          <w:szCs w:val="20"/>
          <w:color w:val="auto"/>
        </w:rPr>
      </w:pPr>
      <w:r>
        <w:rPr>
          <w:rFonts w:ascii="Arial" w:cs="Arial" w:eastAsia="Arial" w:hAnsi="Arial"/>
          <w:sz w:val="18"/>
          <w:szCs w:val="18"/>
          <w:color w:val="auto"/>
        </w:rPr>
        <w:t>The performance conditions for the 2025 Annual PSUs were again based on key financial performance metrics (60% of the total target award amount) and relative total stockholder return over a three-year period (40% of the total target award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1751330</wp:posOffset>
            </wp:positionH>
            <wp:positionV relativeFrom="paragraph">
              <wp:posOffset>85725</wp:posOffset>
            </wp:positionV>
            <wp:extent cx="3291840" cy="11658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29184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920" w:right="139"/>
        <w:spacing w:after="0" w:line="258" w:lineRule="auto"/>
        <w:rPr>
          <w:sz w:val="20"/>
          <w:szCs w:val="20"/>
          <w:color w:val="auto"/>
        </w:rPr>
      </w:pPr>
      <w:r>
        <w:rPr>
          <w:rFonts w:ascii="Arial" w:cs="Arial" w:eastAsia="Arial" w:hAnsi="Arial"/>
          <w:sz w:val="18"/>
          <w:szCs w:val="18"/>
          <w:i w:val="1"/>
          <w:iCs w:val="1"/>
          <w:color w:val="auto"/>
        </w:rPr>
        <w:t xml:space="preserve">Performance Goals for Annual PSUs. </w:t>
      </w:r>
      <w:r>
        <w:rPr>
          <w:rFonts w:ascii="Arial" w:cs="Arial" w:eastAsia="Arial" w:hAnsi="Arial"/>
          <w:sz w:val="18"/>
          <w:szCs w:val="18"/>
          <w:color w:val="auto"/>
        </w:rPr>
        <w:t>Due to the challenge of setting multi -year goals in our industry,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establishes annual corporate performance goals at the start of each performance period covered by the annual awards (60% total weighting of the target award value for the 2025 Annual PSUs). While shares are earned at the end of each one-year performance period, they do not vest and become payable until the end of the full three-year period under the terms of the 2025 Annual PSU awards.</w:t>
      </w:r>
    </w:p>
    <w:p>
      <w:pPr>
        <w:spacing w:after="0" w:line="318" w:lineRule="exact"/>
        <w:rPr>
          <w:sz w:val="20"/>
          <w:szCs w:val="20"/>
          <w:color w:val="auto"/>
        </w:rPr>
      </w:pPr>
    </w:p>
    <w:p>
      <w:pPr>
        <w:ind w:left="920" w:right="219"/>
        <w:spacing w:after="0" w:line="257" w:lineRule="auto"/>
        <w:rPr>
          <w:sz w:val="20"/>
          <w:szCs w:val="20"/>
          <w:color w:val="auto"/>
        </w:rPr>
      </w:pPr>
      <w:r>
        <w:rPr>
          <w:rFonts w:ascii="Arial" w:cs="Arial" w:eastAsia="Arial" w:hAnsi="Arial"/>
          <w:sz w:val="18"/>
          <w:szCs w:val="18"/>
          <w:color w:val="auto"/>
        </w:rPr>
        <w:t>For the performance period beginning January 1, 2025 through December 31, 2025, the corporate performance goal established by the Compensation Committee for the 2025 Annual PSUs was consolidated revenue (50% weighting) and Adjusted EBITDA (pre-bonus) (50% weighting). The revenue and Adjusted EBITDA (pre-bonus) goals and potential payouts are set forth in the table below. These performance goals also applied to the 2024 performance period under PSUs granted to the NEOs in 2023 and 2024 (the “Previously Outstanding Annual PSUs”).</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236855</wp:posOffset>
            </wp:positionV>
            <wp:extent cx="59690" cy="5740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574040"/>
                    </a:xfrm>
                    <a:prstGeom prst="rect">
                      <a:avLst/>
                    </a:prstGeom>
                    <a:noFill/>
                  </pic:spPr>
                </pic:pic>
              </a:graphicData>
            </a:graphic>
          </wp:anchor>
        </w:drawing>
      </w: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375"/>
        </w:trPr>
        <w:tc>
          <w:tcPr>
            <w:tcW w:w="3760" w:type="dxa"/>
            <w:vAlign w:val="bottom"/>
            <w:gridSpan w:val="2"/>
            <w:shd w:val="clear" w:color="auto" w:fill="62259D"/>
          </w:tcPr>
          <w:p>
            <w:pPr>
              <w:ind w:left="60"/>
              <w:spacing w:after="0"/>
              <w:rPr>
                <w:sz w:val="20"/>
                <w:szCs w:val="20"/>
                <w:color w:val="auto"/>
              </w:rPr>
            </w:pPr>
            <w:r>
              <w:rPr>
                <w:rFonts w:ascii="Arial" w:cs="Arial" w:eastAsia="Arial" w:hAnsi="Arial"/>
                <w:sz w:val="16"/>
                <w:szCs w:val="16"/>
                <w:b w:val="1"/>
                <w:bCs w:val="1"/>
                <w:color w:val="FEFEFE"/>
              </w:rPr>
              <w:t>​​</w:t>
            </w:r>
          </w:p>
        </w:tc>
        <w:tc>
          <w:tcPr>
            <w:tcW w:w="4280" w:type="dxa"/>
            <w:vAlign w:val="bottom"/>
            <w:gridSpan w:val="7"/>
            <w:shd w:val="clear" w:color="auto" w:fill="62259D"/>
          </w:tcPr>
          <w:p>
            <w:pPr>
              <w:ind w:left="60"/>
              <w:spacing w:after="0"/>
              <w:rPr>
                <w:sz w:val="20"/>
                <w:szCs w:val="20"/>
                <w:color w:val="auto"/>
              </w:rPr>
            </w:pPr>
            <w:r>
              <w:rPr>
                <w:rFonts w:ascii="Arial" w:cs="Arial" w:eastAsia="Arial" w:hAnsi="Arial"/>
                <w:sz w:val="32"/>
                <w:szCs w:val="32"/>
                <w:b w:val="1"/>
                <w:bCs w:val="1"/>
                <w:color w:val="FEFEFE"/>
                <w:vertAlign w:val="subscript"/>
              </w:rPr>
              <w:t>​ ​</w:t>
            </w:r>
            <w:r>
              <w:rPr>
                <w:rFonts w:ascii="Arial" w:cs="Arial" w:eastAsia="Arial" w:hAnsi="Arial"/>
                <w:sz w:val="16"/>
                <w:szCs w:val="16"/>
                <w:b w:val="1"/>
                <w:bCs w:val="1"/>
                <w:color w:val="FEFEFE"/>
              </w:rPr>
              <w:t xml:space="preserve">PSU 2025 Performance Metrics (in millions) </w:t>
            </w:r>
            <w:r>
              <w:rPr>
                <w:rFonts w:ascii="Arial" w:cs="Arial" w:eastAsia="Arial" w:hAnsi="Arial"/>
                <w:sz w:val="32"/>
                <w:szCs w:val="32"/>
                <w:b w:val="1"/>
                <w:bCs w:val="1"/>
                <w:color w:val="FEFEFE"/>
                <w:vertAlign w:val="subscript"/>
              </w:rPr>
              <w:t>​ ​</w:t>
            </w:r>
          </w:p>
        </w:tc>
        <w:tc>
          <w:tcPr>
            <w:tcW w:w="600" w:type="dxa"/>
            <w:vAlign w:val="bottom"/>
            <w:shd w:val="clear" w:color="auto" w:fill="62259D"/>
          </w:tcPr>
          <w:p>
            <w:pPr>
              <w:ind w:left="180"/>
              <w:spacing w:after="0"/>
              <w:rPr>
                <w:sz w:val="20"/>
                <w:szCs w:val="20"/>
                <w:color w:val="auto"/>
              </w:rPr>
            </w:pPr>
            <w:r>
              <w:rPr>
                <w:rFonts w:ascii="Arial" w:cs="Arial" w:eastAsia="Arial" w:hAnsi="Arial"/>
                <w:sz w:val="16"/>
                <w:szCs w:val="16"/>
                <w:b w:val="1"/>
                <w:bCs w:val="1"/>
                <w:color w:val="FEFEFE"/>
              </w:rPr>
              <w:t>​  ​</w:t>
            </w:r>
          </w:p>
        </w:tc>
        <w:tc>
          <w:tcPr>
            <w:tcW w:w="22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w:t>
            </w:r>
          </w:p>
        </w:tc>
      </w:tr>
      <w:tr>
        <w:trPr>
          <w:trHeight w:val="222"/>
        </w:trPr>
        <w:tc>
          <w:tcPr>
            <w:tcW w:w="100" w:type="dxa"/>
            <w:vAlign w:val="bottom"/>
          </w:tcPr>
          <w:p>
            <w:pPr>
              <w:spacing w:after="0"/>
              <w:rPr>
                <w:sz w:val="19"/>
                <w:szCs w:val="19"/>
                <w:color w:val="auto"/>
              </w:rPr>
            </w:pPr>
          </w:p>
        </w:tc>
        <w:tc>
          <w:tcPr>
            <w:tcW w:w="3660" w:type="dxa"/>
            <w:vAlign w:val="bottom"/>
            <w:shd w:val="clear" w:color="auto" w:fill="62259D"/>
          </w:tcPr>
          <w:p>
            <w:pPr>
              <w:spacing w:after="0"/>
              <w:rPr>
                <w:sz w:val="19"/>
                <w:szCs w:val="19"/>
                <w:color w:val="auto"/>
              </w:rPr>
            </w:pPr>
          </w:p>
        </w:tc>
        <w:tc>
          <w:tcPr>
            <w:tcW w:w="220" w:type="dxa"/>
            <w:vAlign w:val="bottom"/>
            <w:shd w:val="clear" w:color="auto" w:fill="62259D"/>
          </w:tcPr>
          <w:p>
            <w:pPr>
              <w:spacing w:after="0"/>
              <w:rPr>
                <w:sz w:val="19"/>
                <w:szCs w:val="19"/>
                <w:color w:val="auto"/>
              </w:rPr>
            </w:pPr>
          </w:p>
        </w:tc>
        <w:tc>
          <w:tcPr>
            <w:tcW w:w="1120" w:type="dxa"/>
            <w:vAlign w:val="bottom"/>
            <w:shd w:val="clear" w:color="auto" w:fill="62259D"/>
          </w:tcPr>
          <w:p>
            <w:pPr>
              <w:spacing w:after="0"/>
              <w:rPr>
                <w:sz w:val="19"/>
                <w:szCs w:val="19"/>
                <w:color w:val="auto"/>
              </w:rPr>
            </w:pPr>
          </w:p>
        </w:tc>
        <w:tc>
          <w:tcPr>
            <w:tcW w:w="280" w:type="dxa"/>
            <w:vAlign w:val="bottom"/>
            <w:shd w:val="clear" w:color="auto" w:fill="62259D"/>
          </w:tcPr>
          <w:p>
            <w:pPr>
              <w:spacing w:after="0"/>
              <w:rPr>
                <w:sz w:val="19"/>
                <w:szCs w:val="19"/>
                <w:color w:val="auto"/>
              </w:rPr>
            </w:pPr>
          </w:p>
        </w:tc>
        <w:tc>
          <w:tcPr>
            <w:tcW w:w="1080" w:type="dxa"/>
            <w:vAlign w:val="bottom"/>
            <w:shd w:val="clear" w:color="auto" w:fill="62259D"/>
          </w:tcPr>
          <w:p>
            <w:pPr>
              <w:spacing w:after="0"/>
              <w:rPr>
                <w:sz w:val="19"/>
                <w:szCs w:val="19"/>
                <w:color w:val="auto"/>
              </w:rPr>
            </w:pPr>
          </w:p>
        </w:tc>
        <w:tc>
          <w:tcPr>
            <w:tcW w:w="280" w:type="dxa"/>
            <w:vAlign w:val="bottom"/>
            <w:shd w:val="clear" w:color="auto" w:fill="62259D"/>
          </w:tcPr>
          <w:p>
            <w:pPr>
              <w:spacing w:after="0"/>
              <w:rPr>
                <w:sz w:val="19"/>
                <w:szCs w:val="19"/>
                <w:color w:val="auto"/>
              </w:rPr>
            </w:pPr>
          </w:p>
        </w:tc>
        <w:tc>
          <w:tcPr>
            <w:tcW w:w="86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Maximum</w:t>
            </w:r>
          </w:p>
        </w:tc>
        <w:tc>
          <w:tcPr>
            <w:tcW w:w="440" w:type="dxa"/>
            <w:vAlign w:val="bottom"/>
            <w:shd w:val="clear" w:color="auto" w:fill="62259D"/>
          </w:tcPr>
          <w:p>
            <w:pPr>
              <w:spacing w:after="0"/>
              <w:rPr>
                <w:sz w:val="19"/>
                <w:szCs w:val="19"/>
                <w:color w:val="auto"/>
              </w:rPr>
            </w:pPr>
          </w:p>
        </w:tc>
        <w:tc>
          <w:tcPr>
            <w:tcW w:w="600" w:type="dxa"/>
            <w:vAlign w:val="bottom"/>
            <w:shd w:val="clear" w:color="auto" w:fill="62259D"/>
          </w:tcPr>
          <w:p>
            <w:pPr>
              <w:spacing w:after="0"/>
              <w:rPr>
                <w:sz w:val="19"/>
                <w:szCs w:val="19"/>
                <w:color w:val="auto"/>
              </w:rPr>
            </w:pPr>
          </w:p>
        </w:tc>
        <w:tc>
          <w:tcPr>
            <w:tcW w:w="220" w:type="dxa"/>
            <w:vAlign w:val="bottom"/>
            <w:shd w:val="clear" w:color="auto" w:fill="62259D"/>
          </w:tcPr>
          <w:p>
            <w:pPr>
              <w:spacing w:after="0"/>
              <w:rPr>
                <w:sz w:val="19"/>
                <w:szCs w:val="19"/>
                <w:color w:val="auto"/>
              </w:rPr>
            </w:pPr>
          </w:p>
        </w:tc>
      </w:tr>
      <w:tr>
        <w:trPr>
          <w:trHeight w:val="189"/>
        </w:trPr>
        <w:tc>
          <w:tcPr>
            <w:tcW w:w="100" w:type="dxa"/>
            <w:vAlign w:val="bottom"/>
          </w:tcPr>
          <w:p>
            <w:pPr>
              <w:spacing w:after="0"/>
              <w:rPr>
                <w:sz w:val="16"/>
                <w:szCs w:val="16"/>
                <w:color w:val="auto"/>
              </w:rPr>
            </w:pPr>
          </w:p>
        </w:tc>
        <w:tc>
          <w:tcPr>
            <w:tcW w:w="366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112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Minimum 0%</w:t>
            </w:r>
          </w:p>
        </w:tc>
        <w:tc>
          <w:tcPr>
            <w:tcW w:w="280" w:type="dxa"/>
            <w:vAlign w:val="bottom"/>
            <w:shd w:val="clear" w:color="auto" w:fill="62259D"/>
          </w:tcPr>
          <w:p>
            <w:pPr>
              <w:spacing w:after="0"/>
              <w:rPr>
                <w:sz w:val="16"/>
                <w:szCs w:val="16"/>
                <w:color w:val="auto"/>
              </w:rPr>
            </w:pPr>
          </w:p>
        </w:tc>
        <w:tc>
          <w:tcPr>
            <w:tcW w:w="108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Target 100%</w:t>
            </w:r>
          </w:p>
        </w:tc>
        <w:tc>
          <w:tcPr>
            <w:tcW w:w="280" w:type="dxa"/>
            <w:vAlign w:val="bottom"/>
            <w:shd w:val="clear" w:color="auto" w:fill="62259D"/>
          </w:tcPr>
          <w:p>
            <w:pPr>
              <w:spacing w:after="0"/>
              <w:rPr>
                <w:sz w:val="16"/>
                <w:szCs w:val="16"/>
                <w:color w:val="auto"/>
              </w:rPr>
            </w:pPr>
          </w:p>
        </w:tc>
        <w:tc>
          <w:tcPr>
            <w:tcW w:w="860" w:type="dxa"/>
            <w:vAlign w:val="bottom"/>
            <w:shd w:val="clear" w:color="auto" w:fill="62259D"/>
          </w:tcPr>
          <w:p>
            <w:pPr>
              <w:ind w:left="200"/>
              <w:spacing w:after="0"/>
              <w:rPr>
                <w:sz w:val="20"/>
                <w:szCs w:val="20"/>
                <w:color w:val="auto"/>
              </w:rPr>
            </w:pPr>
            <w:r>
              <w:rPr>
                <w:rFonts w:ascii="Arial" w:cs="Arial" w:eastAsia="Arial" w:hAnsi="Arial"/>
                <w:sz w:val="16"/>
                <w:szCs w:val="16"/>
                <w:b w:val="1"/>
                <w:bCs w:val="1"/>
                <w:color w:val="FEFEFE"/>
              </w:rPr>
              <w:t>150%</w:t>
            </w:r>
          </w:p>
        </w:tc>
        <w:tc>
          <w:tcPr>
            <w:tcW w:w="440" w:type="dxa"/>
            <w:vAlign w:val="bottom"/>
            <w:shd w:val="clear" w:color="auto" w:fill="62259D"/>
          </w:tcPr>
          <w:p>
            <w:pPr>
              <w:spacing w:after="0"/>
              <w:rPr>
                <w:sz w:val="16"/>
                <w:szCs w:val="16"/>
                <w:color w:val="auto"/>
              </w:rPr>
            </w:pPr>
          </w:p>
        </w:tc>
        <w:tc>
          <w:tcPr>
            <w:tcW w:w="60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r>
      <w:tr>
        <w:trPr>
          <w:trHeight w:val="230"/>
        </w:trPr>
        <w:tc>
          <w:tcPr>
            <w:tcW w:w="100" w:type="dxa"/>
            <w:vAlign w:val="bottom"/>
          </w:tcPr>
          <w:p>
            <w:pPr>
              <w:ind w:left="60"/>
              <w:spacing w:after="0"/>
              <w:rPr>
                <w:sz w:val="20"/>
                <w:szCs w:val="20"/>
                <w:color w:val="auto"/>
              </w:rPr>
            </w:pPr>
            <w:r>
              <w:rPr>
                <w:rFonts w:ascii="Arial" w:cs="Arial" w:eastAsia="Arial" w:hAnsi="Arial"/>
                <w:sz w:val="16"/>
                <w:szCs w:val="16"/>
                <w:b w:val="1"/>
                <w:bCs w:val="1"/>
                <w:color w:val="FEFEFE"/>
              </w:rPr>
              <w:t>​</w:t>
            </w:r>
          </w:p>
        </w:tc>
        <w:tc>
          <w:tcPr>
            <w:tcW w:w="366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Performance Metric</w:t>
            </w:r>
          </w:p>
        </w:tc>
        <w:tc>
          <w:tcPr>
            <w:tcW w:w="22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 ​</w:t>
            </w:r>
          </w:p>
        </w:tc>
        <w:tc>
          <w:tcPr>
            <w:tcW w:w="112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w:t>
            </w:r>
          </w:p>
        </w:tc>
        <w:tc>
          <w:tcPr>
            <w:tcW w:w="280" w:type="dxa"/>
            <w:vAlign w:val="bottom"/>
            <w:shd w:val="clear" w:color="auto" w:fill="62259D"/>
          </w:tcPr>
          <w:p>
            <w:pPr>
              <w:ind w:left="120"/>
              <w:spacing w:after="0"/>
              <w:rPr>
                <w:sz w:val="20"/>
                <w:szCs w:val="20"/>
                <w:color w:val="auto"/>
              </w:rPr>
            </w:pPr>
            <w:r>
              <w:rPr>
                <w:rFonts w:ascii="Arial" w:cs="Arial" w:eastAsia="Arial" w:hAnsi="Arial"/>
                <w:sz w:val="16"/>
                <w:szCs w:val="16"/>
                <w:b w:val="1"/>
                <w:bCs w:val="1"/>
                <w:color w:val="FEFEFE"/>
              </w:rPr>
              <w:t>​ ​</w:t>
            </w:r>
          </w:p>
        </w:tc>
        <w:tc>
          <w:tcPr>
            <w:tcW w:w="108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w:t>
            </w:r>
          </w:p>
        </w:tc>
        <w:tc>
          <w:tcPr>
            <w:tcW w:w="28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 ​</w:t>
            </w:r>
          </w:p>
        </w:tc>
        <w:tc>
          <w:tcPr>
            <w:tcW w:w="860" w:type="dxa"/>
            <w:vAlign w:val="bottom"/>
            <w:shd w:val="clear" w:color="auto" w:fill="62259D"/>
          </w:tcPr>
          <w:p>
            <w:pPr>
              <w:jc w:val="right"/>
              <w:ind w:right="220"/>
              <w:spacing w:after="0"/>
              <w:rPr>
                <w:sz w:val="20"/>
                <w:szCs w:val="20"/>
                <w:color w:val="auto"/>
              </w:rPr>
            </w:pPr>
            <w:r>
              <w:rPr>
                <w:rFonts w:ascii="Arial" w:cs="Arial" w:eastAsia="Arial" w:hAnsi="Arial"/>
                <w:sz w:val="16"/>
                <w:szCs w:val="16"/>
                <w:b w:val="1"/>
                <w:bCs w:val="1"/>
                <w:color w:val="FEFEFE"/>
              </w:rPr>
              <w:t>($)</w:t>
            </w:r>
          </w:p>
        </w:tc>
        <w:tc>
          <w:tcPr>
            <w:tcW w:w="1260" w:type="dxa"/>
            <w:vAlign w:val="bottom"/>
            <w:gridSpan w:val="3"/>
            <w:shd w:val="clear" w:color="auto" w:fill="62259D"/>
          </w:tcPr>
          <w:p>
            <w:pPr>
              <w:ind w:left="120"/>
              <w:spacing w:after="0"/>
              <w:rPr>
                <w:sz w:val="20"/>
                <w:szCs w:val="20"/>
                <w:color w:val="auto"/>
              </w:rPr>
            </w:pPr>
            <w:r>
              <w:rPr>
                <w:rFonts w:ascii="Arial" w:cs="Arial" w:eastAsia="Arial" w:hAnsi="Arial"/>
                <w:sz w:val="16"/>
                <w:szCs w:val="16"/>
                <w:b w:val="1"/>
                <w:bCs w:val="1"/>
                <w:color w:val="FEFEFE"/>
              </w:rPr>
              <w:t>​ ​Weighting ​</w:t>
            </w:r>
          </w:p>
        </w:tc>
      </w:tr>
      <w:tr>
        <w:trPr>
          <w:trHeight w:val="257"/>
        </w:trPr>
        <w:tc>
          <w:tcPr>
            <w:tcW w:w="3760" w:type="dxa"/>
            <w:vAlign w:val="bottom"/>
            <w:tcBorders>
              <w:bottom w:val="single" w:sz="8" w:color="E7417A"/>
            </w:tcBorders>
            <w:gridSpan w:val="2"/>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Revenue</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E7417A"/>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​810.0</w:t>
            </w:r>
          </w:p>
        </w:tc>
        <w:tc>
          <w:tcPr>
            <w:tcW w:w="2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E7417A"/>
            </w:tcBorders>
          </w:tcPr>
          <w:p>
            <w:pPr>
              <w:jc w:val="cente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​900.0</w:t>
            </w:r>
          </w:p>
        </w:tc>
        <w:tc>
          <w:tcPr>
            <w:tcW w:w="28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 ​</w:t>
            </w:r>
          </w:p>
        </w:tc>
        <w:tc>
          <w:tcPr>
            <w:tcW w:w="860" w:type="dxa"/>
            <w:vAlign w:val="bottom"/>
            <w:tcBorders>
              <w:bottom w:val="single" w:sz="8" w:color="E7417A"/>
            </w:tcBorders>
          </w:tcPr>
          <w:p>
            <w:pPr>
              <w:ind w:left="22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​925.0</w:t>
            </w:r>
          </w:p>
        </w:tc>
        <w:tc>
          <w:tcPr>
            <w:tcW w:w="440" w:type="dxa"/>
            <w:vAlign w:val="bottom"/>
            <w:tcBorders>
              <w:bottom w:val="single" w:sz="8" w:color="E7417A"/>
            </w:tcBorders>
          </w:tcPr>
          <w:p>
            <w:pPr>
              <w:ind w:left="40"/>
              <w:spacing w:after="0"/>
              <w:rPr>
                <w:sz w:val="20"/>
                <w:szCs w:val="20"/>
                <w:color w:val="auto"/>
              </w:rPr>
            </w:pPr>
            <w:r>
              <w:rPr>
                <w:rFonts w:ascii="Arial" w:cs="Arial" w:eastAsia="Arial" w:hAnsi="Arial"/>
                <w:sz w:val="16"/>
                <w:szCs w:val="16"/>
                <w:color w:val="auto"/>
              </w:rPr>
              <w:t>​​ ​</w:t>
            </w:r>
          </w:p>
        </w:tc>
        <w:tc>
          <w:tcPr>
            <w:tcW w:w="600" w:type="dxa"/>
            <w:vAlign w:val="bottom"/>
            <w:tcBorders>
              <w:bottom w:val="single" w:sz="8" w:color="E7417A"/>
            </w:tcBorders>
          </w:tcPr>
          <w:p>
            <w:pPr>
              <w:ind w:left="180"/>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​50%</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r>
      <w:tr>
        <w:trPr>
          <w:trHeight w:val="236"/>
        </w:trPr>
        <w:tc>
          <w:tcPr>
            <w:tcW w:w="3760" w:type="dxa"/>
            <w:vAlign w:val="bottom"/>
            <w:tcBorders>
              <w:bottom w:val="single" w:sz="8" w:color="62259D"/>
            </w:tcBorders>
            <w:gridSpan w:val="2"/>
          </w:tcPr>
          <w:p>
            <w:pPr>
              <w:spacing w:after="0"/>
              <w:rPr>
                <w:sz w:val="20"/>
                <w:szCs w:val="20"/>
                <w:color w:val="auto"/>
              </w:rPr>
            </w:pPr>
            <w:r>
              <w:rPr>
                <w:rFonts w:ascii="Arial" w:cs="Arial" w:eastAsia="Arial" w:hAnsi="Arial"/>
                <w:sz w:val="16"/>
                <w:szCs w:val="16"/>
                <w:color w:val="auto"/>
              </w:rPr>
              <w:t>​ Adjusted EBITDA (pre-bonus)</w:t>
            </w:r>
          </w:p>
        </w:tc>
        <w:tc>
          <w:tcPr>
            <w:tcW w:w="22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 ​</w:t>
            </w:r>
          </w:p>
        </w:tc>
        <w:tc>
          <w:tcPr>
            <w:tcW w:w="1120" w:type="dxa"/>
            <w:vAlign w:val="bottom"/>
            <w:tcBorders>
              <w:bottom w:val="single" w:sz="8" w:color="62259D"/>
            </w:tcBorders>
          </w:tcPr>
          <w:p>
            <w:pPr>
              <w:jc w:val="center"/>
              <w:spacing w:after="0"/>
              <w:rPr>
                <w:sz w:val="20"/>
                <w:szCs w:val="20"/>
                <w:color w:val="auto"/>
              </w:rPr>
            </w:pPr>
            <w:r>
              <w:rPr>
                <w:rFonts w:ascii="Arial" w:cs="Arial" w:eastAsia="Arial" w:hAnsi="Arial"/>
                <w:sz w:val="16"/>
                <w:szCs w:val="16"/>
                <w:color w:val="auto"/>
              </w:rPr>
              <w:t>​​ 80.0</w:t>
            </w:r>
          </w:p>
        </w:tc>
        <w:tc>
          <w:tcPr>
            <w:tcW w:w="28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62259D"/>
            </w:tcBorders>
          </w:tcPr>
          <w:p>
            <w:pPr>
              <w:jc w:val="center"/>
              <w:spacing w:after="0"/>
              <w:rPr>
                <w:sz w:val="20"/>
                <w:szCs w:val="20"/>
                <w:color w:val="auto"/>
              </w:rPr>
            </w:pPr>
            <w:r>
              <w:rPr>
                <w:rFonts w:ascii="Arial" w:cs="Arial" w:eastAsia="Arial" w:hAnsi="Arial"/>
                <w:sz w:val="16"/>
                <w:szCs w:val="16"/>
                <w:color w:val="auto"/>
              </w:rPr>
              <w:t>​​147.0</w:t>
            </w:r>
          </w:p>
        </w:tc>
        <w:tc>
          <w:tcPr>
            <w:tcW w:w="280" w:type="dxa"/>
            <w:vAlign w:val="bottom"/>
            <w:tcBorders>
              <w:bottom w:val="single" w:sz="8" w:color="62259D"/>
            </w:tcBorders>
          </w:tcPr>
          <w:p>
            <w:pPr>
              <w:ind w:left="40"/>
              <w:spacing w:after="0"/>
              <w:rPr>
                <w:sz w:val="20"/>
                <w:szCs w:val="20"/>
                <w:color w:val="auto"/>
              </w:rPr>
            </w:pPr>
            <w:r>
              <w:rPr>
                <w:rFonts w:ascii="Arial" w:cs="Arial" w:eastAsia="Arial" w:hAnsi="Arial"/>
                <w:sz w:val="16"/>
                <w:szCs w:val="16"/>
                <w:color w:val="auto"/>
              </w:rPr>
              <w:t>​​ ​</w:t>
            </w:r>
          </w:p>
        </w:tc>
        <w:tc>
          <w:tcPr>
            <w:tcW w:w="860" w:type="dxa"/>
            <w:vAlign w:val="bottom"/>
            <w:tcBorders>
              <w:bottom w:val="single" w:sz="8" w:color="62259D"/>
            </w:tcBorders>
          </w:tcPr>
          <w:p>
            <w:pPr>
              <w:ind w:left="220"/>
              <w:spacing w:after="0"/>
              <w:rPr>
                <w:sz w:val="20"/>
                <w:szCs w:val="20"/>
                <w:color w:val="auto"/>
              </w:rPr>
            </w:pPr>
            <w:r>
              <w:rPr>
                <w:rFonts w:ascii="Arial" w:cs="Arial" w:eastAsia="Arial" w:hAnsi="Arial"/>
                <w:sz w:val="16"/>
                <w:szCs w:val="16"/>
                <w:color w:val="auto"/>
              </w:rPr>
              <w:t>​​163.0</w:t>
            </w:r>
          </w:p>
        </w:tc>
        <w:tc>
          <w:tcPr>
            <w:tcW w:w="440" w:type="dxa"/>
            <w:vAlign w:val="bottom"/>
            <w:tcBorders>
              <w:bottom w:val="single" w:sz="8" w:color="62259D"/>
            </w:tcBorders>
          </w:tcPr>
          <w:p>
            <w:pPr>
              <w:ind w:left="40"/>
              <w:spacing w:after="0"/>
              <w:rPr>
                <w:sz w:val="20"/>
                <w:szCs w:val="20"/>
                <w:color w:val="auto"/>
              </w:rPr>
            </w:pPr>
            <w:r>
              <w:rPr>
                <w:rFonts w:ascii="Arial" w:cs="Arial" w:eastAsia="Arial" w:hAnsi="Arial"/>
                <w:sz w:val="16"/>
                <w:szCs w:val="16"/>
                <w:color w:val="auto"/>
              </w:rPr>
              <w:t>​​ ​</w:t>
            </w:r>
          </w:p>
        </w:tc>
        <w:tc>
          <w:tcPr>
            <w:tcW w:w="600" w:type="dxa"/>
            <w:vAlign w:val="bottom"/>
            <w:tcBorders>
              <w:bottom w:val="single" w:sz="8" w:color="62259D"/>
            </w:tcBorders>
          </w:tcPr>
          <w:p>
            <w:pPr>
              <w:ind w:left="180"/>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62259D"/>
            </w:tcBorders>
          </w:tcPr>
          <w:p>
            <w:pPr>
              <w:ind w:left="100"/>
              <w:spacing w:after="0"/>
              <w:rPr>
                <w:sz w:val="20"/>
                <w:szCs w:val="20"/>
                <w:color w:val="auto"/>
              </w:rPr>
            </w:pPr>
            <w:r>
              <w:rPr>
                <w:rFonts w:ascii="Arial" w:cs="Arial" w:eastAsia="Arial" w:hAnsi="Arial"/>
                <w:sz w:val="16"/>
                <w:szCs w:val="16"/>
                <w:color w:val="auto"/>
              </w:rPr>
              <w:t>​</w:t>
            </w:r>
          </w:p>
        </w:tc>
      </w:tr>
    </w:tbl>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2025, the Company’s full year revenue was $845 million and Adjusted EBITDA (pre-bonus) was</w:t>
      </w:r>
    </w:p>
    <w:p>
      <w:pPr>
        <w:spacing w:after="0" w:line="14" w:lineRule="exact"/>
        <w:rPr>
          <w:sz w:val="20"/>
          <w:szCs w:val="20"/>
          <w:color w:val="auto"/>
        </w:rPr>
      </w:pPr>
    </w:p>
    <w:p>
      <w:pPr>
        <w:ind w:left="920" w:right="399"/>
        <w:spacing w:after="0" w:line="250" w:lineRule="auto"/>
        <w:rPr>
          <w:sz w:val="20"/>
          <w:szCs w:val="20"/>
          <w:color w:val="auto"/>
        </w:rPr>
      </w:pPr>
      <w:r>
        <w:rPr>
          <w:rFonts w:ascii="Arial" w:cs="Arial" w:eastAsia="Arial" w:hAnsi="Arial"/>
          <w:sz w:val="18"/>
          <w:szCs w:val="18"/>
          <w:color w:val="auto"/>
        </w:rPr>
        <w:t>$112 million. The financial achievements resulted in 36% of the target shares being earned for the 2025 performance period.</w:t>
      </w:r>
    </w:p>
    <w:p>
      <w:pPr>
        <w:spacing w:after="0" w:line="183" w:lineRule="exact"/>
        <w:rPr>
          <w:sz w:val="20"/>
          <w:szCs w:val="20"/>
          <w:color w:val="auto"/>
        </w:rPr>
      </w:pPr>
    </w:p>
    <w:p>
      <w:pPr>
        <w:ind w:left="920" w:right="139"/>
        <w:spacing w:after="0" w:line="247" w:lineRule="auto"/>
        <w:rPr>
          <w:sz w:val="20"/>
          <w:szCs w:val="20"/>
          <w:color w:val="auto"/>
        </w:rPr>
      </w:pPr>
      <w:r>
        <w:rPr>
          <w:rFonts w:ascii="Arial" w:cs="Arial" w:eastAsia="Arial" w:hAnsi="Arial"/>
          <w:sz w:val="20"/>
          <w:szCs w:val="20"/>
          <w:i w:val="1"/>
          <w:iCs w:val="1"/>
          <w:color w:val="E7417A"/>
        </w:rPr>
        <w:t xml:space="preserve">RELATIVE TSR. </w:t>
      </w:r>
      <w:r>
        <w:rPr>
          <w:rFonts w:ascii="Arial" w:cs="Arial" w:eastAsia="Arial" w:hAnsi="Arial"/>
          <w:sz w:val="20"/>
          <w:szCs w:val="20"/>
          <w:color w:val="000000"/>
        </w:rPr>
        <w:t>Relative total stockholder return (“Relative TSR”), which comprises 40% of the</w:t>
      </w:r>
      <w:r>
        <w:rPr>
          <w:rFonts w:ascii="Arial" w:cs="Arial" w:eastAsia="Arial" w:hAnsi="Arial"/>
          <w:sz w:val="20"/>
          <w:szCs w:val="20"/>
          <w:i w:val="1"/>
          <w:iCs w:val="1"/>
          <w:color w:val="E7417A"/>
        </w:rPr>
        <w:t xml:space="preserve"> </w:t>
      </w:r>
      <w:r>
        <w:rPr>
          <w:rFonts w:ascii="Arial" w:cs="Arial" w:eastAsia="Arial" w:hAnsi="Arial"/>
          <w:sz w:val="20"/>
          <w:szCs w:val="20"/>
          <w:color w:val="000000"/>
        </w:rPr>
        <w:t xml:space="preserve">total target annual PSU award, is the return on the Company’s stock taking into account the change in the stock price over the three- year measurement period and assuming any dividends are reinvested. Ribbon’s stock performance over the three-year period is compared on a </w:t>
      </w:r>
      <w:r>
        <w:rPr>
          <w:rFonts w:ascii="Arial" w:cs="Arial" w:eastAsia="Arial" w:hAnsi="Arial"/>
          <w:sz w:val="20"/>
          <w:szCs w:val="20"/>
          <w:i w:val="1"/>
          <w:iCs w:val="1"/>
          <w:color w:val="000000"/>
        </w:rPr>
        <w:t>relative</w:t>
      </w:r>
      <w:r>
        <w:rPr>
          <w:rFonts w:ascii="Arial" w:cs="Arial" w:eastAsia="Arial" w:hAnsi="Arial"/>
          <w:sz w:val="20"/>
          <w:szCs w:val="20"/>
          <w:color w:val="000000"/>
        </w:rPr>
        <w:t xml:space="preserve"> basis to a peer index and measured “point-to-point,” with the starting and ending points based on the average 20-trading day closing stock prices at the end of our fiscal years to smooth out any single day volatility. The Nasdaq Telecommunications Index is the peer index used to measure Relative TSR, which is the same peer index used for the “— Pay Versus Performance Disclosures.”</w:t>
      </w:r>
    </w:p>
    <w:p>
      <w:pPr>
        <w:spacing w:after="0" w:line="337" w:lineRule="exact"/>
        <w:rPr>
          <w:sz w:val="20"/>
          <w:szCs w:val="20"/>
          <w:color w:val="auto"/>
        </w:rPr>
      </w:pPr>
    </w:p>
    <w:p>
      <w:pPr>
        <w:ind w:left="920" w:right="459"/>
        <w:spacing w:after="0" w:line="252" w:lineRule="auto"/>
        <w:rPr>
          <w:sz w:val="20"/>
          <w:szCs w:val="20"/>
          <w:color w:val="auto"/>
        </w:rPr>
      </w:pPr>
      <w:r>
        <w:rPr>
          <w:rFonts w:ascii="Arial" w:cs="Arial" w:eastAsia="Arial" w:hAnsi="Arial"/>
          <w:sz w:val="18"/>
          <w:szCs w:val="18"/>
          <w:color w:val="auto"/>
        </w:rPr>
        <w:t>The table below provides the payout range for the Relative TSR portion of the 2025 Annual PSUs. This portion of the PSU awards cliff vest at the end of the three-year performance period with linear interpolation between each performance hurdle (e.g., 40th percentile Relative TSR performance yields 80% of target payout on this metric).</w:t>
      </w:r>
    </w:p>
    <w:p>
      <w:pPr>
        <w:spacing w:after="0" w:line="135" w:lineRule="exact"/>
        <w:rPr>
          <w:sz w:val="20"/>
          <w:szCs w:val="20"/>
          <w:color w:val="auto"/>
        </w:rPr>
      </w:pPr>
    </w:p>
    <w:tbl>
      <w:tblPr>
        <w:tblLayout w:type="fixed"/>
        <w:tblInd w:w="1640" w:type="dxa"/>
        <w:tblCellMar>
          <w:top w:w="0" w:type="dxa"/>
          <w:left w:w="0" w:type="dxa"/>
          <w:bottom w:w="0" w:type="dxa"/>
          <w:right w:w="0" w:type="dxa"/>
        </w:tblCellMar>
      </w:tblPr>
      <w:tr>
        <w:trPr>
          <w:trHeight w:val="215"/>
        </w:trPr>
        <w:tc>
          <w:tcPr>
            <w:tcW w:w="460" w:type="dxa"/>
            <w:vAlign w:val="bottom"/>
            <w:shd w:val="clear" w:color="auto" w:fill="62259D"/>
          </w:tcPr>
          <w:p>
            <w:pPr>
              <w:spacing w:after="0"/>
              <w:rPr>
                <w:sz w:val="18"/>
                <w:szCs w:val="18"/>
                <w:color w:val="auto"/>
              </w:rPr>
            </w:pPr>
          </w:p>
        </w:tc>
        <w:tc>
          <w:tcPr>
            <w:tcW w:w="278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Payout for Relative TSR</w:t>
            </w:r>
          </w:p>
        </w:tc>
        <w:tc>
          <w:tcPr>
            <w:tcW w:w="880" w:type="dxa"/>
            <w:vAlign w:val="bottom"/>
            <w:shd w:val="clear" w:color="auto" w:fill="62259D"/>
          </w:tcPr>
          <w:p>
            <w:pPr>
              <w:spacing w:after="0"/>
              <w:rPr>
                <w:sz w:val="18"/>
                <w:szCs w:val="18"/>
                <w:color w:val="auto"/>
              </w:rPr>
            </w:pPr>
          </w:p>
        </w:tc>
        <w:tc>
          <w:tcPr>
            <w:tcW w:w="2880" w:type="dxa"/>
            <w:vAlign w:val="bottom"/>
            <w:shd w:val="clear" w:color="auto" w:fill="62259D"/>
          </w:tcPr>
          <w:p>
            <w:pPr>
              <w:spacing w:after="0"/>
              <w:rPr>
                <w:sz w:val="18"/>
                <w:szCs w:val="18"/>
                <w:color w:val="auto"/>
              </w:rPr>
            </w:pPr>
          </w:p>
        </w:tc>
        <w:tc>
          <w:tcPr>
            <w:tcW w:w="400" w:type="dxa"/>
            <w:vAlign w:val="bottom"/>
            <w:shd w:val="clear" w:color="auto" w:fill="62259D"/>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shd w:val="clear" w:color="auto" w:fill="62259D"/>
          </w:tcPr>
          <w:p>
            <w:pPr>
              <w:ind w:left="60"/>
              <w:spacing w:after="0"/>
              <w:rPr>
                <w:sz w:val="20"/>
                <w:szCs w:val="20"/>
                <w:color w:val="auto"/>
              </w:rPr>
            </w:pPr>
            <w:r>
              <w:rPr>
                <w:rFonts w:ascii="Arial" w:cs="Arial" w:eastAsia="Arial" w:hAnsi="Arial"/>
                <w:sz w:val="16"/>
                <w:szCs w:val="16"/>
                <w:b w:val="1"/>
                <w:bCs w:val="1"/>
                <w:color w:val="FEFEFE"/>
              </w:rPr>
              <w:t>​</w:t>
            </w:r>
          </w:p>
        </w:tc>
        <w:tc>
          <w:tcPr>
            <w:tcW w:w="278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Achievement Metric</w:t>
            </w:r>
          </w:p>
        </w:tc>
        <w:tc>
          <w:tcPr>
            <w:tcW w:w="880" w:type="dxa"/>
            <w:vAlign w:val="bottom"/>
            <w:shd w:val="clear" w:color="auto" w:fill="62259D"/>
          </w:tcPr>
          <w:p>
            <w:pPr>
              <w:ind w:left="400"/>
              <w:spacing w:after="0"/>
              <w:rPr>
                <w:sz w:val="20"/>
                <w:szCs w:val="20"/>
                <w:color w:val="auto"/>
              </w:rPr>
            </w:pPr>
            <w:r>
              <w:rPr>
                <w:rFonts w:ascii="Arial" w:cs="Arial" w:eastAsia="Arial" w:hAnsi="Arial"/>
                <w:sz w:val="16"/>
                <w:szCs w:val="16"/>
                <w:b w:val="1"/>
                <w:bCs w:val="1"/>
                <w:color w:val="FEFEFE"/>
              </w:rPr>
              <w:t>​ ​</w:t>
            </w:r>
          </w:p>
        </w:tc>
        <w:tc>
          <w:tcPr>
            <w:tcW w:w="288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Relative TSR Achievement</w:t>
            </w:r>
          </w:p>
        </w:tc>
        <w:tc>
          <w:tcPr>
            <w:tcW w:w="400" w:type="dxa"/>
            <w:vAlign w:val="bottom"/>
            <w:shd w:val="clear" w:color="auto" w:fill="62259D"/>
          </w:tcPr>
          <w:p>
            <w:pPr>
              <w:ind w:left="360"/>
              <w:spacing w:after="0"/>
              <w:rPr>
                <w:sz w:val="20"/>
                <w:szCs w:val="20"/>
                <w:color w:val="auto"/>
              </w:rPr>
            </w:pPr>
            <w:r>
              <w:rPr>
                <w:rFonts w:ascii="Arial" w:cs="Arial" w:eastAsia="Arial" w:hAnsi="Arial"/>
                <w:sz w:val="16"/>
                <w:szCs w:val="16"/>
                <w:b w:val="1"/>
                <w:bCs w:val="1"/>
                <w:color w:val="FEFEFE"/>
              </w:rPr>
              <w:t>​</w:t>
            </w:r>
          </w:p>
        </w:tc>
        <w:tc>
          <w:tcPr>
            <w:tcW w:w="0" w:type="dxa"/>
            <w:vAlign w:val="bottom"/>
          </w:tcPr>
          <w:p>
            <w:pPr>
              <w:spacing w:after="0"/>
              <w:rPr>
                <w:sz w:val="1"/>
                <w:szCs w:val="1"/>
                <w:color w:val="auto"/>
              </w:rPr>
            </w:pPr>
          </w:p>
        </w:tc>
      </w:tr>
      <w:tr>
        <w:trPr>
          <w:trHeight w:val="189"/>
        </w:trPr>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2780" w:type="dxa"/>
            <w:vAlign w:val="bottom"/>
            <w:vMerge w:val="restart"/>
          </w:tcPr>
          <w:p>
            <w:pPr>
              <w:jc w:val="center"/>
              <w:spacing w:after="0"/>
              <w:rPr>
                <w:sz w:val="20"/>
                <w:szCs w:val="20"/>
                <w:color w:val="auto"/>
              </w:rPr>
            </w:pPr>
            <w:r>
              <w:rPr>
                <w:rFonts w:ascii="Arial" w:cs="Arial" w:eastAsia="Arial" w:hAnsi="Arial"/>
                <w:sz w:val="16"/>
                <w:szCs w:val="16"/>
                <w:color w:val="auto"/>
              </w:rPr>
              <w:t>200%</w:t>
            </w:r>
          </w:p>
        </w:tc>
        <w:tc>
          <w:tcPr>
            <w:tcW w:w="880" w:type="dxa"/>
            <w:vAlign w:val="bottom"/>
          </w:tcPr>
          <w:p>
            <w:pPr>
              <w:ind w:left="400"/>
              <w:spacing w:after="0"/>
              <w:rPr>
                <w:sz w:val="20"/>
                <w:szCs w:val="20"/>
                <w:color w:val="auto"/>
              </w:rPr>
            </w:pPr>
            <w:r>
              <w:rPr>
                <w:rFonts w:ascii="Arial" w:cs="Arial" w:eastAsia="Arial" w:hAnsi="Arial"/>
                <w:sz w:val="16"/>
                <w:szCs w:val="16"/>
                <w:color w:val="auto"/>
              </w:rPr>
              <w:t>​ ​</w:t>
            </w:r>
          </w:p>
        </w:tc>
        <w:tc>
          <w:tcPr>
            <w:tcW w:w="2880" w:type="dxa"/>
            <w:vAlign w:val="bottom"/>
            <w:vMerge w:val="restart"/>
          </w:tcPr>
          <w:p>
            <w:pPr>
              <w:jc w:val="center"/>
              <w:spacing w:after="0"/>
              <w:rPr>
                <w:sz w:val="20"/>
                <w:szCs w:val="20"/>
                <w:color w:val="auto"/>
              </w:rPr>
            </w:pPr>
            <w:r>
              <w:rPr>
                <w:rFonts w:ascii="Arial" w:cs="Arial" w:eastAsia="Arial" w:hAnsi="Arial"/>
                <w:sz w:val="16"/>
                <w:szCs w:val="16"/>
                <w:color w:val="auto"/>
              </w:rPr>
              <w:t>75th percentile</w:t>
            </w:r>
          </w:p>
        </w:tc>
        <w:tc>
          <w:tcPr>
            <w:tcW w:w="40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460" w:type="dxa"/>
            <w:vAlign w:val="bottom"/>
            <w:tcBorders>
              <w:bottom w:val="single" w:sz="8" w:color="E7417A"/>
            </w:tcBorders>
          </w:tcPr>
          <w:p>
            <w:pPr>
              <w:spacing w:after="0"/>
              <w:rPr>
                <w:sz w:val="5"/>
                <w:szCs w:val="5"/>
                <w:color w:val="auto"/>
              </w:rPr>
            </w:pPr>
          </w:p>
        </w:tc>
        <w:tc>
          <w:tcPr>
            <w:tcW w:w="2780" w:type="dxa"/>
            <w:vAlign w:val="bottom"/>
            <w:tcBorders>
              <w:bottom w:val="single" w:sz="8" w:color="E7417A"/>
            </w:tcBorders>
            <w:vMerge w:val="continue"/>
          </w:tcPr>
          <w:p>
            <w:pPr>
              <w:spacing w:after="0"/>
              <w:rPr>
                <w:sz w:val="5"/>
                <w:szCs w:val="5"/>
                <w:color w:val="auto"/>
              </w:rPr>
            </w:pPr>
          </w:p>
        </w:tc>
        <w:tc>
          <w:tcPr>
            <w:tcW w:w="880" w:type="dxa"/>
            <w:vAlign w:val="bottom"/>
            <w:tcBorders>
              <w:bottom w:val="single" w:sz="8" w:color="E7417A"/>
            </w:tcBorders>
          </w:tcPr>
          <w:p>
            <w:pPr>
              <w:spacing w:after="0"/>
              <w:rPr>
                <w:sz w:val="5"/>
                <w:szCs w:val="5"/>
                <w:color w:val="auto"/>
              </w:rPr>
            </w:pPr>
          </w:p>
        </w:tc>
        <w:tc>
          <w:tcPr>
            <w:tcW w:w="2880" w:type="dxa"/>
            <w:vAlign w:val="bottom"/>
            <w:tcBorders>
              <w:bottom w:val="single" w:sz="8" w:color="E7417A"/>
            </w:tcBorders>
            <w:vMerge w:val="continue"/>
          </w:tcPr>
          <w:p>
            <w:pPr>
              <w:spacing w:after="0"/>
              <w:rPr>
                <w:sz w:val="5"/>
                <w:szCs w:val="5"/>
                <w:color w:val="auto"/>
              </w:rPr>
            </w:pPr>
          </w:p>
        </w:tc>
        <w:tc>
          <w:tcPr>
            <w:tcW w:w="400" w:type="dxa"/>
            <w:vAlign w:val="bottom"/>
            <w:tcBorders>
              <w:bottom w:val="single" w:sz="8" w:color="E7417A"/>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2780" w:type="dxa"/>
            <w:vAlign w:val="bottom"/>
            <w:vMerge w:val="restart"/>
          </w:tcPr>
          <w:p>
            <w:pPr>
              <w:jc w:val="center"/>
              <w:spacing w:after="0"/>
              <w:rPr>
                <w:sz w:val="20"/>
                <w:szCs w:val="20"/>
                <w:color w:val="auto"/>
              </w:rPr>
            </w:pPr>
            <w:r>
              <w:rPr>
                <w:rFonts w:ascii="Arial" w:cs="Arial" w:eastAsia="Arial" w:hAnsi="Arial"/>
                <w:sz w:val="16"/>
                <w:szCs w:val="16"/>
                <w:color w:val="auto"/>
              </w:rPr>
              <w:t>100%</w:t>
            </w:r>
          </w:p>
        </w:tc>
        <w:tc>
          <w:tcPr>
            <w:tcW w:w="880" w:type="dxa"/>
            <w:vAlign w:val="bottom"/>
          </w:tcPr>
          <w:p>
            <w:pPr>
              <w:ind w:left="400"/>
              <w:spacing w:after="0"/>
              <w:rPr>
                <w:sz w:val="20"/>
                <w:szCs w:val="20"/>
                <w:color w:val="auto"/>
              </w:rPr>
            </w:pPr>
            <w:r>
              <w:rPr>
                <w:rFonts w:ascii="Arial" w:cs="Arial" w:eastAsia="Arial" w:hAnsi="Arial"/>
                <w:sz w:val="16"/>
                <w:szCs w:val="16"/>
                <w:color w:val="auto"/>
              </w:rPr>
              <w:t>​ ​</w:t>
            </w:r>
          </w:p>
        </w:tc>
        <w:tc>
          <w:tcPr>
            <w:tcW w:w="2880" w:type="dxa"/>
            <w:vAlign w:val="bottom"/>
            <w:vMerge w:val="restart"/>
          </w:tcPr>
          <w:p>
            <w:pPr>
              <w:jc w:val="center"/>
              <w:spacing w:after="0"/>
              <w:rPr>
                <w:sz w:val="20"/>
                <w:szCs w:val="20"/>
                <w:color w:val="auto"/>
              </w:rPr>
            </w:pPr>
            <w:r>
              <w:rPr>
                <w:rFonts w:ascii="Arial" w:cs="Arial" w:eastAsia="Arial" w:hAnsi="Arial"/>
                <w:sz w:val="16"/>
                <w:szCs w:val="16"/>
                <w:color w:val="auto"/>
              </w:rPr>
              <w:t>50th percentile</w:t>
            </w:r>
          </w:p>
        </w:tc>
        <w:tc>
          <w:tcPr>
            <w:tcW w:w="40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460" w:type="dxa"/>
            <w:vAlign w:val="bottom"/>
            <w:tcBorders>
              <w:bottom w:val="single" w:sz="8" w:color="E7417A"/>
            </w:tcBorders>
          </w:tcPr>
          <w:p>
            <w:pPr>
              <w:spacing w:after="0"/>
              <w:rPr>
                <w:sz w:val="5"/>
                <w:szCs w:val="5"/>
                <w:color w:val="auto"/>
              </w:rPr>
            </w:pPr>
          </w:p>
        </w:tc>
        <w:tc>
          <w:tcPr>
            <w:tcW w:w="2780" w:type="dxa"/>
            <w:vAlign w:val="bottom"/>
            <w:tcBorders>
              <w:bottom w:val="single" w:sz="8" w:color="E7417A"/>
            </w:tcBorders>
            <w:vMerge w:val="continue"/>
          </w:tcPr>
          <w:p>
            <w:pPr>
              <w:spacing w:after="0"/>
              <w:rPr>
                <w:sz w:val="5"/>
                <w:szCs w:val="5"/>
                <w:color w:val="auto"/>
              </w:rPr>
            </w:pPr>
          </w:p>
        </w:tc>
        <w:tc>
          <w:tcPr>
            <w:tcW w:w="880" w:type="dxa"/>
            <w:vAlign w:val="bottom"/>
            <w:tcBorders>
              <w:bottom w:val="single" w:sz="8" w:color="E7417A"/>
            </w:tcBorders>
          </w:tcPr>
          <w:p>
            <w:pPr>
              <w:spacing w:after="0"/>
              <w:rPr>
                <w:sz w:val="5"/>
                <w:szCs w:val="5"/>
                <w:color w:val="auto"/>
              </w:rPr>
            </w:pPr>
          </w:p>
        </w:tc>
        <w:tc>
          <w:tcPr>
            <w:tcW w:w="2880" w:type="dxa"/>
            <w:vAlign w:val="bottom"/>
            <w:tcBorders>
              <w:bottom w:val="single" w:sz="8" w:color="E7417A"/>
            </w:tcBorders>
            <w:vMerge w:val="continue"/>
          </w:tcPr>
          <w:p>
            <w:pPr>
              <w:spacing w:after="0"/>
              <w:rPr>
                <w:sz w:val="5"/>
                <w:szCs w:val="5"/>
                <w:color w:val="auto"/>
              </w:rPr>
            </w:pPr>
          </w:p>
        </w:tc>
        <w:tc>
          <w:tcPr>
            <w:tcW w:w="400" w:type="dxa"/>
            <w:vAlign w:val="bottom"/>
            <w:tcBorders>
              <w:bottom w:val="single" w:sz="8" w:color="E7417A"/>
            </w:tcBorders>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60" w:type="dxa"/>
            <w:vAlign w:val="bottom"/>
          </w:tcPr>
          <w:p>
            <w:pPr>
              <w:ind w:left="60"/>
              <w:spacing w:after="0"/>
              <w:rPr>
                <w:sz w:val="20"/>
                <w:szCs w:val="20"/>
                <w:color w:val="auto"/>
              </w:rPr>
            </w:pPr>
            <w:r>
              <w:rPr>
                <w:rFonts w:ascii="Arial" w:cs="Arial" w:eastAsia="Arial" w:hAnsi="Arial"/>
                <w:sz w:val="16"/>
                <w:szCs w:val="16"/>
                <w:color w:val="auto"/>
              </w:rPr>
              <w:t>​</w:t>
            </w:r>
          </w:p>
        </w:tc>
        <w:tc>
          <w:tcPr>
            <w:tcW w:w="2780" w:type="dxa"/>
            <w:vAlign w:val="bottom"/>
            <w:vMerge w:val="restart"/>
          </w:tcPr>
          <w:p>
            <w:pPr>
              <w:jc w:val="center"/>
              <w:spacing w:after="0"/>
              <w:rPr>
                <w:sz w:val="20"/>
                <w:szCs w:val="20"/>
                <w:color w:val="auto"/>
              </w:rPr>
            </w:pPr>
            <w:r>
              <w:rPr>
                <w:rFonts w:ascii="Arial" w:cs="Arial" w:eastAsia="Arial" w:hAnsi="Arial"/>
                <w:sz w:val="16"/>
                <w:szCs w:val="16"/>
                <w:color w:val="auto"/>
              </w:rPr>
              <w:t>50%</w:t>
            </w:r>
          </w:p>
        </w:tc>
        <w:tc>
          <w:tcPr>
            <w:tcW w:w="880" w:type="dxa"/>
            <w:vAlign w:val="bottom"/>
          </w:tcPr>
          <w:p>
            <w:pPr>
              <w:ind w:left="400"/>
              <w:spacing w:after="0"/>
              <w:rPr>
                <w:sz w:val="20"/>
                <w:szCs w:val="20"/>
                <w:color w:val="auto"/>
              </w:rPr>
            </w:pPr>
            <w:r>
              <w:rPr>
                <w:rFonts w:ascii="Arial" w:cs="Arial" w:eastAsia="Arial" w:hAnsi="Arial"/>
                <w:sz w:val="16"/>
                <w:szCs w:val="16"/>
                <w:color w:val="auto"/>
              </w:rPr>
              <w:t>​ ​</w:t>
            </w:r>
          </w:p>
        </w:tc>
        <w:tc>
          <w:tcPr>
            <w:tcW w:w="2880" w:type="dxa"/>
            <w:vAlign w:val="bottom"/>
            <w:vMerge w:val="restart"/>
          </w:tcPr>
          <w:p>
            <w:pPr>
              <w:jc w:val="center"/>
              <w:spacing w:after="0"/>
              <w:rPr>
                <w:sz w:val="20"/>
                <w:szCs w:val="20"/>
                <w:color w:val="auto"/>
              </w:rPr>
            </w:pPr>
            <w:r>
              <w:rPr>
                <w:rFonts w:ascii="Arial" w:cs="Arial" w:eastAsia="Arial" w:hAnsi="Arial"/>
                <w:sz w:val="16"/>
                <w:szCs w:val="16"/>
                <w:color w:val="auto"/>
              </w:rPr>
              <w:t>25th percentile</w:t>
            </w:r>
          </w:p>
        </w:tc>
        <w:tc>
          <w:tcPr>
            <w:tcW w:w="40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3"/>
        </w:trPr>
        <w:tc>
          <w:tcPr>
            <w:tcW w:w="460" w:type="dxa"/>
            <w:vAlign w:val="bottom"/>
            <w:tcBorders>
              <w:bottom w:val="single" w:sz="8" w:color="62259D"/>
            </w:tcBorders>
          </w:tcPr>
          <w:p>
            <w:pPr>
              <w:spacing w:after="0"/>
              <w:rPr>
                <w:sz w:val="4"/>
                <w:szCs w:val="4"/>
                <w:color w:val="auto"/>
              </w:rPr>
            </w:pPr>
          </w:p>
        </w:tc>
        <w:tc>
          <w:tcPr>
            <w:tcW w:w="2780" w:type="dxa"/>
            <w:vAlign w:val="bottom"/>
            <w:tcBorders>
              <w:bottom w:val="single" w:sz="8" w:color="62259D"/>
            </w:tcBorders>
            <w:vMerge w:val="continue"/>
          </w:tcPr>
          <w:p>
            <w:pPr>
              <w:spacing w:after="0"/>
              <w:rPr>
                <w:sz w:val="4"/>
                <w:szCs w:val="4"/>
                <w:color w:val="auto"/>
              </w:rPr>
            </w:pPr>
          </w:p>
        </w:tc>
        <w:tc>
          <w:tcPr>
            <w:tcW w:w="880" w:type="dxa"/>
            <w:vAlign w:val="bottom"/>
            <w:tcBorders>
              <w:bottom w:val="single" w:sz="8" w:color="62259D"/>
            </w:tcBorders>
          </w:tcPr>
          <w:p>
            <w:pPr>
              <w:spacing w:after="0"/>
              <w:rPr>
                <w:sz w:val="4"/>
                <w:szCs w:val="4"/>
                <w:color w:val="auto"/>
              </w:rPr>
            </w:pPr>
          </w:p>
        </w:tc>
        <w:tc>
          <w:tcPr>
            <w:tcW w:w="2880" w:type="dxa"/>
            <w:vAlign w:val="bottom"/>
            <w:tcBorders>
              <w:bottom w:val="single" w:sz="8" w:color="62259D"/>
            </w:tcBorders>
            <w:vMerge w:val="continue"/>
          </w:tcPr>
          <w:p>
            <w:pPr>
              <w:spacing w:after="0"/>
              <w:rPr>
                <w:sz w:val="4"/>
                <w:szCs w:val="4"/>
                <w:color w:val="auto"/>
              </w:rPr>
            </w:pPr>
          </w:p>
        </w:tc>
        <w:tc>
          <w:tcPr>
            <w:tcW w:w="400" w:type="dxa"/>
            <w:vAlign w:val="bottom"/>
            <w:tcBorders>
              <w:bottom w:val="single" w:sz="8" w:color="62259D"/>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2025 ANNUAL RSUS</w:t>
      </w:r>
    </w:p>
    <w:p>
      <w:pPr>
        <w:spacing w:after="0" w:line="137" w:lineRule="exact"/>
        <w:rPr>
          <w:sz w:val="20"/>
          <w:szCs w:val="20"/>
          <w:color w:val="auto"/>
        </w:rPr>
      </w:pPr>
    </w:p>
    <w:p>
      <w:pPr>
        <w:ind w:left="920" w:right="359"/>
        <w:spacing w:after="0" w:line="253" w:lineRule="auto"/>
        <w:rPr>
          <w:sz w:val="20"/>
          <w:szCs w:val="20"/>
          <w:color w:val="auto"/>
        </w:rPr>
      </w:pPr>
      <w:r>
        <w:rPr>
          <w:rFonts w:ascii="Arial" w:cs="Arial" w:eastAsia="Arial" w:hAnsi="Arial"/>
          <w:sz w:val="18"/>
          <w:szCs w:val="18"/>
          <w:color w:val="auto"/>
        </w:rPr>
        <w:t>The annual RSUs granted to the NEOs in 2025 vest over a three-year period with one-third of the award vesting on the first anniversary of the grant date and one-sixth of the RSUs vesting every six months thereafter, subject to the NEO’s continued employment with the Company.</w:t>
      </w:r>
    </w:p>
    <w:p>
      <w:pPr>
        <w:spacing w:after="0" w:line="180"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2025 TRUE-UP AWARDS</w:t>
      </w:r>
    </w:p>
    <w:p>
      <w:pPr>
        <w:spacing w:after="0" w:line="124" w:lineRule="exact"/>
        <w:rPr>
          <w:sz w:val="20"/>
          <w:szCs w:val="20"/>
          <w:color w:val="auto"/>
        </w:rPr>
      </w:pPr>
    </w:p>
    <w:p>
      <w:pPr>
        <w:ind w:left="920" w:right="99"/>
        <w:spacing w:after="0" w:line="245" w:lineRule="auto"/>
        <w:rPr>
          <w:sz w:val="20"/>
          <w:szCs w:val="20"/>
          <w:color w:val="auto"/>
        </w:rPr>
      </w:pPr>
      <w:r>
        <w:rPr>
          <w:rFonts w:ascii="Arial" w:cs="Arial" w:eastAsia="Arial" w:hAnsi="Arial"/>
          <w:sz w:val="18"/>
          <w:szCs w:val="18"/>
          <w:color w:val="auto"/>
        </w:rPr>
        <w:t>As previously discussed, because of the limited number of shares available under our prior incentive award plan at the time grants were made to our NEOs in 2024, the size of the awards made at that time was smaller and the vesting periods were shortened. For example, the annual RSUs granted in 2024 vested in full on the first anniversary of the grant date, compared to the usual three years for full vesting of our typical annual RSU awards. Similarly, for the PSU awards made in 2024, they provided for shares to be earned based on two annual financial periods rather than the usual three. Following the adoption of the 2025 Plan, the Compensation Committee believed that it was in the Company’s best interests to grant True-Up Awards to the NEOs, other than Mr. Townsend (who did not receive any annual awards in 2024) and McCaffery (who was not with Ribbon in 2024).</w:t>
      </w:r>
    </w:p>
    <w:p>
      <w:pPr>
        <w:spacing w:after="0" w:line="96" w:lineRule="exact"/>
        <w:rPr>
          <w:sz w:val="20"/>
          <w:szCs w:val="20"/>
          <w:color w:val="auto"/>
        </w:rPr>
      </w:pPr>
    </w:p>
    <w:p>
      <w:pPr>
        <w:ind w:left="920" w:right="219"/>
        <w:spacing w:after="0" w:line="245" w:lineRule="auto"/>
        <w:rPr>
          <w:sz w:val="20"/>
          <w:szCs w:val="20"/>
          <w:color w:val="auto"/>
        </w:rPr>
      </w:pPr>
      <w:r>
        <w:rPr>
          <w:rFonts w:ascii="Arial" w:cs="Arial" w:eastAsia="Arial" w:hAnsi="Arial"/>
          <w:sz w:val="18"/>
          <w:szCs w:val="18"/>
          <w:color w:val="auto"/>
        </w:rPr>
        <w:t>The purpose and structure of the True-Up awards were designed, both in size and vesting structure to place the NEO’s receiving them in approximately the same position as they would have been if the annual awards made in 2024 had the Company’s typical size and vesting structure. The True-Up Awards consisted of both RSUs (the “True-Up RSUs”) and PSUs (the “True -Up PSUs”). For the True-Up RSUs, 50% of such awards vest on the first anniversary of the grant date, with the remaining 50% vesting in two equal semi-annual installments thereafter. As a result, the True-Up RSUs will be</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48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139"/>
        <w:spacing w:after="0" w:line="248" w:lineRule="auto"/>
        <w:rPr>
          <w:sz w:val="20"/>
          <w:szCs w:val="20"/>
          <w:color w:val="auto"/>
        </w:rPr>
      </w:pPr>
      <w:r>
        <w:rPr>
          <w:rFonts w:ascii="Arial" w:cs="Arial" w:eastAsia="Arial" w:hAnsi="Arial"/>
          <w:sz w:val="18"/>
          <w:szCs w:val="18"/>
          <w:color w:val="auto"/>
        </w:rPr>
        <w:t>fully vested approximately three years after the date the annual grants were made in 2024. The True-Up PSUs vest subject to the achievement of financial metrics for only the 2026 fiscal year. This aligns with the PSU awards made to the NEOs in 2024 which have vesting for financial performance based on the metrics determined for the 2024 and 2025 fiscal years. Given that annual PSUs awards granted in 2024 with vesting based on Relative TSR measured such performance over the three- year period ending December 31, 2026, no True-Up PSUs were granted with vesting subject to achievement of Relative TSR.</w:t>
      </w:r>
    </w:p>
    <w:p>
      <w:pPr>
        <w:spacing w:after="0" w:line="172"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MCCLELLAND STRATEGIC ACHIEVEMENT AWARD</w:t>
      </w:r>
    </w:p>
    <w:p>
      <w:pPr>
        <w:spacing w:after="0" w:line="137" w:lineRule="exact"/>
        <w:rPr>
          <w:sz w:val="20"/>
          <w:szCs w:val="20"/>
          <w:color w:val="auto"/>
        </w:rPr>
      </w:pPr>
    </w:p>
    <w:p>
      <w:pPr>
        <w:ind w:left="920" w:right="199"/>
        <w:spacing w:after="0"/>
        <w:rPr>
          <w:sz w:val="20"/>
          <w:szCs w:val="20"/>
          <w:color w:val="auto"/>
        </w:rPr>
      </w:pPr>
      <w:r>
        <w:rPr>
          <w:rFonts w:ascii="Arial" w:cs="Arial" w:eastAsia="Arial" w:hAnsi="Arial"/>
          <w:sz w:val="18"/>
          <w:szCs w:val="18"/>
          <w:color w:val="auto"/>
        </w:rPr>
        <w:t xml:space="preserve">In early 2025, the Compensation Committee conducted its annual review of the compensation of our CEO and the other executive officers. As part of this review, FW Cook provided the Compensation Committee with, among other things, benchmark information comparing our executive officer’s target cash compensation and target long-term incentives to that of our compensation peer companies. It was noted that Mr. McClelland’s target long-term incentive compensation was significantly (37%) below the 25 </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of the peer group at that time. This was, in part, the result of the inducement grant made to Mr. McClelland in 2020, in connection with his appointment as CEO, and the decision not to provide, or provide smaller, additional equity awards to Mr. McClelland while the inducement grant was outstanding. The inducement award expired in late 2024 with less than 30% of the shares subject to that award vesting before expiration.</w:t>
      </w:r>
    </w:p>
    <w:p>
      <w:pPr>
        <w:spacing w:after="0" w:line="246" w:lineRule="exact"/>
        <w:rPr>
          <w:sz w:val="20"/>
          <w:szCs w:val="20"/>
          <w:color w:val="auto"/>
        </w:rPr>
      </w:pPr>
    </w:p>
    <w:p>
      <w:pPr>
        <w:ind w:left="920" w:right="159"/>
        <w:spacing w:after="0" w:line="244" w:lineRule="auto"/>
        <w:rPr>
          <w:sz w:val="20"/>
          <w:szCs w:val="20"/>
          <w:color w:val="auto"/>
        </w:rPr>
      </w:pPr>
      <w:r>
        <w:rPr>
          <w:rFonts w:ascii="Arial" w:cs="Arial" w:eastAsia="Arial" w:hAnsi="Arial"/>
          <w:sz w:val="18"/>
          <w:szCs w:val="18"/>
          <w:color w:val="auto"/>
        </w:rPr>
        <w:t>The Compensation Committee reviewed Mr. McClelland’s achievements during the five years he had served as CEO at that time, including, among other achievements, the integration of the ECI Telecom business acquired in 2020, the divestiture of non-key business assets, the significant enhancements to the IP Optical Networks product portfolio, the strengthening of the Company’s balance sheet and the strategic network transformation project with one of our largest customers. Based on these achievements and in consideration of the benchmark information reviewed by the Committee, the Compensation Committee determined that it would be in the Company’s best interests to provide Mr. McClelland an additional equity award in 2025 (the “Strategic Achievement Award”). The Strategic Achievement Award was made in the form of 3,125,000 RSUs, with 50% of the Strategic Achievement Award vesting on the first anniversary of the grant date and the remaining 50% vesting in two equal installments every six months thereafter.</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20"/>
          <w:szCs w:val="20"/>
          <w:color w:val="E7417A"/>
        </w:rPr>
        <w:t>MCCAFFERY SIGN-ON AWARDS</w:t>
      </w:r>
    </w:p>
    <w:p>
      <w:pPr>
        <w:spacing w:after="0" w:line="124" w:lineRule="exact"/>
        <w:rPr>
          <w:sz w:val="20"/>
          <w:szCs w:val="20"/>
          <w:color w:val="auto"/>
        </w:rPr>
      </w:pPr>
    </w:p>
    <w:p>
      <w:pPr>
        <w:ind w:left="920" w:right="179"/>
        <w:spacing w:after="0" w:line="243" w:lineRule="auto"/>
        <w:rPr>
          <w:sz w:val="20"/>
          <w:szCs w:val="20"/>
          <w:color w:val="auto"/>
        </w:rPr>
      </w:pPr>
      <w:r>
        <w:rPr>
          <w:rFonts w:ascii="Arial" w:cs="Arial" w:eastAsia="Arial" w:hAnsi="Arial"/>
          <w:sz w:val="18"/>
          <w:szCs w:val="18"/>
          <w:color w:val="auto"/>
        </w:rPr>
        <w:t>In connection with his appointment as our Executive Vice President, Global Sales in October 2025, Mr. McCaffery was awarded Performance Share Units (the “Sign-On PSUs”) that are subject to vesting similar to the 2025 Annual PSUs, provided that the time period used to determine the Relative TSR for the McCaffery Sign-on PSUs runs from October 31, 2025 through December 31, 2028. Mr. McCaffery also received two RSU awards in connection with his appointment (together with the Sign- on PSUs, the “McCaffery Sign-on Awards”). Under the terms of the first RSU award, approximately 14% of the shares subject to the award are eligible to vest on October 31, 2026, with the remaining approximately 86% vesting in six equal semi-annual instalments through October 31, 2029. Under the terms of the second RSU award provide to Mr. McCaffery in connection with his appointment, approximately 22% of the shares subject to the award are eligible to vest on October 31, 2026, with the remaining approximately 78% vesting in four equal semi-annual instalments through October 31, 2029.</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Benefits and Other Compensation</w:t>
      </w:r>
    </w:p>
    <w:p>
      <w:pPr>
        <w:spacing w:after="0" w:line="125" w:lineRule="exact"/>
        <w:rPr>
          <w:sz w:val="20"/>
          <w:szCs w:val="20"/>
          <w:color w:val="auto"/>
        </w:rPr>
      </w:pPr>
    </w:p>
    <w:p>
      <w:pPr>
        <w:ind w:left="920" w:right="359"/>
        <w:spacing w:after="0" w:line="271" w:lineRule="auto"/>
        <w:rPr>
          <w:sz w:val="20"/>
          <w:szCs w:val="20"/>
          <w:color w:val="auto"/>
        </w:rPr>
      </w:pPr>
      <w:r>
        <w:rPr>
          <w:rFonts w:ascii="Arial" w:cs="Arial" w:eastAsia="Arial" w:hAnsi="Arial"/>
          <w:sz w:val="18"/>
          <w:szCs w:val="18"/>
          <w:color w:val="auto"/>
        </w:rPr>
        <w:t>We have various broad-based employee benefit plans. We do not typically offer perquisites or employee benefits to executive officers that are not also made available to employees on a broad basis.</w:t>
      </w:r>
    </w:p>
    <w:p>
      <w:pPr>
        <w:spacing w:after="0" w:line="73" w:lineRule="exact"/>
        <w:rPr>
          <w:sz w:val="20"/>
          <w:szCs w:val="20"/>
          <w:color w:val="auto"/>
        </w:rPr>
      </w:pPr>
    </w:p>
    <w:p>
      <w:pPr>
        <w:ind w:left="920" w:right="99"/>
        <w:spacing w:after="0" w:line="252" w:lineRule="auto"/>
        <w:rPr>
          <w:sz w:val="20"/>
          <w:szCs w:val="20"/>
          <w:color w:val="auto"/>
        </w:rPr>
      </w:pPr>
      <w:r>
        <w:rPr>
          <w:rFonts w:ascii="Arial" w:cs="Arial" w:eastAsia="Arial" w:hAnsi="Arial"/>
          <w:sz w:val="18"/>
          <w:szCs w:val="18"/>
          <w:color w:val="auto"/>
        </w:rPr>
        <w:t>Our executive officers generally are eligible for the same benefits that are available to all employees, which include group health, dental and vision insurance, life and disability insurance, discretionary 401(k) matching contributions and paid holidays. We offer a 401(k) plan, which allows our employees to invest in a wide array of funds. Except for certain post-termination benefits in connection with</w:t>
      </w:r>
    </w:p>
    <w:p>
      <w:pPr>
        <w:spacing w:after="0" w:line="157"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179"/>
        <w:spacing w:after="0" w:line="271" w:lineRule="auto"/>
        <w:rPr>
          <w:sz w:val="20"/>
          <w:szCs w:val="20"/>
          <w:color w:val="auto"/>
        </w:rPr>
      </w:pPr>
      <w:r>
        <w:rPr>
          <w:rFonts w:ascii="Arial" w:cs="Arial" w:eastAsia="Arial" w:hAnsi="Arial"/>
          <w:sz w:val="18"/>
          <w:szCs w:val="18"/>
          <w:color w:val="auto"/>
        </w:rPr>
        <w:t>severance, we do not provide pension arrangements or post-retirement health coverage for our NEOs. We have entered into indemnification agreements with our executive officers and directors.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Severance and Separation Arrangements</w:t>
      </w:r>
    </w:p>
    <w:p>
      <w:pPr>
        <w:spacing w:after="0" w:line="125" w:lineRule="exact"/>
        <w:rPr>
          <w:sz w:val="20"/>
          <w:szCs w:val="20"/>
          <w:color w:val="auto"/>
        </w:rPr>
      </w:pPr>
    </w:p>
    <w:p>
      <w:pPr>
        <w:ind w:left="920" w:right="119"/>
        <w:spacing w:after="0" w:line="246" w:lineRule="auto"/>
        <w:rPr>
          <w:sz w:val="20"/>
          <w:szCs w:val="20"/>
          <w:color w:val="auto"/>
        </w:rPr>
      </w:pPr>
      <w:r>
        <w:rPr>
          <w:rFonts w:ascii="Arial" w:cs="Arial" w:eastAsia="Arial" w:hAnsi="Arial"/>
          <w:sz w:val="18"/>
          <w:szCs w:val="18"/>
          <w:color w:val="auto"/>
        </w:rPr>
        <w:t>We are party to agreements with each of our NEOs, which generally provide that, upon a termination of the NEO’s employment by the Company without “cause” (as​ defined in the applicable NEO’s employment agreement), due to a resignation by the NEO for “good reason” (as​ defined in the applicable NEO’s employment agreement) or due to death or disability of the NEO, the NEO is entitled to certain severance payments and benefits. We believe the entry into such severance arrangements by Ribbon (or our predecessors) is generally consistent with market practice and allows our executives to remain focused on the Company’s objectives in times of potential uncertainty.</w:t>
      </w:r>
    </w:p>
    <w:p>
      <w:pPr>
        <w:spacing w:after="0" w:line="94" w:lineRule="exact"/>
        <w:rPr>
          <w:sz w:val="20"/>
          <w:szCs w:val="20"/>
          <w:color w:val="auto"/>
        </w:rPr>
      </w:pPr>
    </w:p>
    <w:p>
      <w:pPr>
        <w:ind w:left="920" w:right="799"/>
        <w:spacing w:after="0" w:line="271" w:lineRule="auto"/>
        <w:rPr>
          <w:sz w:val="20"/>
          <w:szCs w:val="20"/>
          <w:color w:val="auto"/>
        </w:rPr>
      </w:pPr>
      <w:r>
        <w:rPr>
          <w:rFonts w:ascii="Arial" w:cs="Arial" w:eastAsia="Arial" w:hAnsi="Arial"/>
          <w:sz w:val="18"/>
          <w:szCs w:val="18"/>
          <w:color w:val="auto"/>
        </w:rPr>
        <w:t>For further discussion regarding the severance and separation agreements and arrangements, see “</w:t>
      </w:r>
      <w:r>
        <w:rPr>
          <w:rFonts w:ascii="Arial" w:cs="Arial" w:eastAsia="Arial" w:hAnsi="Arial"/>
          <w:sz w:val="18"/>
          <w:szCs w:val="18"/>
          <w:i w:val="1"/>
          <w:iCs w:val="1"/>
          <w:color w:val="auto"/>
        </w:rPr>
        <w:t>Severance and Change in Control Benefits</w:t>
      </w:r>
      <w:r>
        <w:rPr>
          <w:rFonts w:ascii="Arial" w:cs="Arial" w:eastAsia="Arial" w:hAnsi="Arial"/>
          <w:sz w:val="18"/>
          <w:szCs w:val="18"/>
          <w:color w:val="auto"/>
        </w:rPr>
        <w:t>” below.</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Compensation Policies and Practices</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Stock Ownership Requirements</w:t>
      </w:r>
    </w:p>
    <w:p>
      <w:pPr>
        <w:spacing w:after="0" w:line="135" w:lineRule="exact"/>
        <w:rPr>
          <w:sz w:val="20"/>
          <w:szCs w:val="20"/>
          <w:color w:val="auto"/>
        </w:rPr>
      </w:pPr>
    </w:p>
    <w:p>
      <w:pPr>
        <w:ind w:left="920" w:right="179"/>
        <w:spacing w:after="0" w:line="244" w:lineRule="auto"/>
        <w:rPr>
          <w:sz w:val="20"/>
          <w:szCs w:val="20"/>
          <w:color w:val="auto"/>
        </w:rPr>
      </w:pPr>
      <w:r>
        <w:rPr>
          <w:rFonts w:ascii="Arial" w:cs="Arial" w:eastAsia="Arial" w:hAnsi="Arial"/>
          <w:sz w:val="18"/>
          <w:szCs w:val="18"/>
          <w:color w:val="auto"/>
        </w:rPr>
        <w:t>The Board believes that it is important to link the interests of our NEOs, among others, to those of our stockholders. Our stock ownership guidelines require our Chief Executive Officer and other Section 16 reporting officers to accumulate and hold a minimum amount of Company common stock within a certain number of years of joining the Company. Any Section 16 reporting officer who is subject to our stock ownership guidelines must satisfy these ownership guidelines within five years from the date he or she is appointed as a Section 16 reporting officer. Further, our non -employee directors, other than those who elect not to receive the cash retainer or annual equity grant, must maintain an amount of common stock equal to at least five times the amount of the annual cash retainer provided to the non-employee directors. In determining compliance with this requirement, the following are included in the determination of shares owned:</w:t>
      </w:r>
    </w:p>
    <w:p>
      <w:pPr>
        <w:spacing w:after="0" w:line="293" w:lineRule="exact"/>
        <w:rPr>
          <w:sz w:val="20"/>
          <w:szCs w:val="20"/>
          <w:color w:val="auto"/>
        </w:rPr>
      </w:pPr>
    </w:p>
    <w:p>
      <w:pPr>
        <w:ind w:left="1280" w:hanging="356"/>
        <w:spacing w:after="0"/>
        <w:tabs>
          <w:tab w:leader="none" w:pos="1280" w:val="left"/>
        </w:tabs>
        <w:numPr>
          <w:ilvl w:val="0"/>
          <w:numId w:val="118"/>
        </w:numPr>
        <w:rPr>
          <w:rFonts w:ascii="Arial" w:cs="Arial" w:eastAsia="Arial" w:hAnsi="Arial"/>
          <w:sz w:val="18"/>
          <w:szCs w:val="18"/>
          <w:color w:val="62259D"/>
        </w:rPr>
      </w:pPr>
      <w:r>
        <w:rPr>
          <w:rFonts w:ascii="Arial" w:cs="Arial" w:eastAsia="Arial" w:hAnsi="Arial"/>
          <w:sz w:val="18"/>
          <w:szCs w:val="18"/>
          <w:color w:val="auto"/>
        </w:rPr>
        <w:t>shares directly owned by the director or NEO;</w:t>
      </w:r>
    </w:p>
    <w:p>
      <w:pPr>
        <w:spacing w:after="0" w:line="76" w:lineRule="exact"/>
        <w:rPr>
          <w:rFonts w:ascii="Arial" w:cs="Arial" w:eastAsia="Arial" w:hAnsi="Arial"/>
          <w:sz w:val="18"/>
          <w:szCs w:val="18"/>
          <w:color w:val="62259D"/>
        </w:rPr>
      </w:pPr>
    </w:p>
    <w:p>
      <w:pPr>
        <w:ind w:left="1280" w:right="459" w:hanging="356"/>
        <w:spacing w:after="0" w:line="271" w:lineRule="auto"/>
        <w:tabs>
          <w:tab w:leader="none" w:pos="1280" w:val="left"/>
        </w:tabs>
        <w:numPr>
          <w:ilvl w:val="0"/>
          <w:numId w:val="118"/>
        </w:numPr>
        <w:rPr>
          <w:rFonts w:ascii="Arial" w:cs="Arial" w:eastAsia="Arial" w:hAnsi="Arial"/>
          <w:sz w:val="18"/>
          <w:szCs w:val="18"/>
          <w:color w:val="62259D"/>
        </w:rPr>
      </w:pPr>
      <w:r>
        <w:rPr>
          <w:rFonts w:ascii="Arial" w:cs="Arial" w:eastAsia="Arial" w:hAnsi="Arial"/>
          <w:sz w:val="18"/>
          <w:szCs w:val="18"/>
          <w:color w:val="auto"/>
        </w:rPr>
        <w:t>shares held in trust, limited partnerships, or similar entities for the benefit of the director or NEO or shares held by immediate family members of the director or NEO;</w:t>
      </w:r>
    </w:p>
    <w:p>
      <w:pPr>
        <w:spacing w:after="0" w:line="18" w:lineRule="exact"/>
        <w:rPr>
          <w:rFonts w:ascii="Arial" w:cs="Arial" w:eastAsia="Arial" w:hAnsi="Arial"/>
          <w:sz w:val="18"/>
          <w:szCs w:val="18"/>
          <w:color w:val="62259D"/>
        </w:rPr>
      </w:pPr>
    </w:p>
    <w:p>
      <w:pPr>
        <w:ind w:left="1280" w:hanging="356"/>
        <w:spacing w:after="0"/>
        <w:tabs>
          <w:tab w:leader="none" w:pos="1280" w:val="left"/>
        </w:tabs>
        <w:numPr>
          <w:ilvl w:val="0"/>
          <w:numId w:val="118"/>
        </w:numPr>
        <w:rPr>
          <w:rFonts w:ascii="Arial" w:cs="Arial" w:eastAsia="Arial" w:hAnsi="Arial"/>
          <w:sz w:val="18"/>
          <w:szCs w:val="18"/>
          <w:color w:val="62259D"/>
        </w:rPr>
      </w:pPr>
      <w:r>
        <w:rPr>
          <w:rFonts w:ascii="Arial" w:cs="Arial" w:eastAsia="Arial" w:hAnsi="Arial"/>
          <w:sz w:val="18"/>
          <w:szCs w:val="18"/>
          <w:color w:val="auto"/>
        </w:rPr>
        <w:t>shares underlying unvested RSUs subject to only time-based vesting;</w:t>
      </w:r>
    </w:p>
    <w:p>
      <w:pPr>
        <w:spacing w:after="0" w:line="63" w:lineRule="exact"/>
        <w:rPr>
          <w:rFonts w:ascii="Arial" w:cs="Arial" w:eastAsia="Arial" w:hAnsi="Arial"/>
          <w:sz w:val="18"/>
          <w:szCs w:val="18"/>
          <w:color w:val="62259D"/>
        </w:rPr>
      </w:pPr>
    </w:p>
    <w:p>
      <w:pPr>
        <w:ind w:left="1280" w:right="279" w:hanging="356"/>
        <w:spacing w:after="0" w:line="281" w:lineRule="auto"/>
        <w:tabs>
          <w:tab w:leader="none" w:pos="1280" w:val="left"/>
        </w:tabs>
        <w:numPr>
          <w:ilvl w:val="0"/>
          <w:numId w:val="118"/>
        </w:numPr>
        <w:rPr>
          <w:rFonts w:ascii="Arial" w:cs="Arial" w:eastAsia="Arial" w:hAnsi="Arial"/>
          <w:sz w:val="18"/>
          <w:szCs w:val="18"/>
          <w:color w:val="62259D"/>
        </w:rPr>
      </w:pPr>
      <w:r>
        <w:rPr>
          <w:rFonts w:ascii="Arial" w:cs="Arial" w:eastAsia="Arial" w:hAnsi="Arial"/>
          <w:sz w:val="18"/>
          <w:szCs w:val="18"/>
          <w:color w:val="auto"/>
        </w:rPr>
        <w:t>shares “earned” under PSUs or subject to stock performance conditions that will vest at a future date subject to continued employment (and any unearned or unvested PSUs are not counted); and</w:t>
      </w:r>
    </w:p>
    <w:p>
      <w:pPr>
        <w:spacing w:after="0" w:line="1" w:lineRule="exact"/>
        <w:rPr>
          <w:rFonts w:ascii="Arial" w:cs="Arial" w:eastAsia="Arial" w:hAnsi="Arial"/>
          <w:sz w:val="18"/>
          <w:szCs w:val="18"/>
          <w:color w:val="62259D"/>
        </w:rPr>
      </w:pPr>
    </w:p>
    <w:p>
      <w:pPr>
        <w:ind w:left="1280" w:hanging="356"/>
        <w:spacing w:after="0"/>
        <w:tabs>
          <w:tab w:leader="none" w:pos="1280" w:val="left"/>
        </w:tabs>
        <w:numPr>
          <w:ilvl w:val="0"/>
          <w:numId w:val="118"/>
        </w:numPr>
        <w:rPr>
          <w:rFonts w:ascii="Arial" w:cs="Arial" w:eastAsia="Arial" w:hAnsi="Arial"/>
          <w:sz w:val="18"/>
          <w:szCs w:val="18"/>
          <w:color w:val="62259D"/>
        </w:rPr>
      </w:pPr>
      <w:r>
        <w:rPr>
          <w:rFonts w:ascii="Arial" w:cs="Arial" w:eastAsia="Arial" w:hAnsi="Arial"/>
          <w:sz w:val="18"/>
          <w:szCs w:val="18"/>
          <w:color w:val="auto"/>
        </w:rPr>
        <w:t>any other vested grants or account balances under share-based Company compensation plans.</w:t>
      </w:r>
    </w:p>
    <w:p>
      <w:pPr>
        <w:spacing w:after="0" w:line="131" w:lineRule="exact"/>
        <w:rPr>
          <w:sz w:val="20"/>
          <w:szCs w:val="20"/>
          <w:color w:val="auto"/>
        </w:rPr>
      </w:pPr>
    </w:p>
    <w:p>
      <w:pPr>
        <w:jc w:val="both"/>
        <w:ind w:left="920" w:right="459"/>
        <w:spacing w:after="0" w:line="252" w:lineRule="auto"/>
        <w:rPr>
          <w:sz w:val="20"/>
          <w:szCs w:val="20"/>
          <w:color w:val="auto"/>
        </w:rPr>
      </w:pPr>
      <w:r>
        <w:rPr>
          <w:rFonts w:ascii="Arial" w:cs="Arial" w:eastAsia="Arial" w:hAnsi="Arial"/>
          <w:sz w:val="18"/>
          <w:szCs w:val="18"/>
          <w:color w:val="auto"/>
        </w:rPr>
        <w:t>As of the last measurement date under the policy, each of our non -employee directors, Chief Executive Officer and the other Section 16 reporting officers of the Company has either satisfied these ownership guidelines or were on track to satisfy the requirement in the time remaining to do so. The specific stock ownership requirements are as follows:</w:t>
      </w:r>
    </w:p>
    <w:p>
      <w:pPr>
        <w:spacing w:after="0" w:line="24" w:lineRule="exact"/>
        <w:rPr>
          <w:sz w:val="20"/>
          <w:szCs w:val="20"/>
          <w:color w:val="auto"/>
        </w:rPr>
      </w:pPr>
    </w:p>
    <w:tbl>
      <w:tblPr>
        <w:tblLayout w:type="fixed"/>
        <w:tblInd w:w="920" w:type="dxa"/>
        <w:tblCellMar>
          <w:top w:w="0" w:type="dxa"/>
          <w:left w:w="0" w:type="dxa"/>
          <w:bottom w:w="0" w:type="dxa"/>
          <w:right w:w="0" w:type="dxa"/>
        </w:tblCellMar>
      </w:tblPr>
      <w:tr>
        <w:trPr>
          <w:trHeight w:val="368"/>
        </w:trPr>
        <w:tc>
          <w:tcPr>
            <w:tcW w:w="2680" w:type="dxa"/>
            <w:vAlign w:val="bottom"/>
            <w:shd w:val="clear" w:color="auto" w:fill="62259D"/>
          </w:tcPr>
          <w:p>
            <w:pPr>
              <w:ind w:left="60"/>
              <w:spacing w:after="0"/>
              <w:rPr>
                <w:sz w:val="20"/>
                <w:szCs w:val="20"/>
                <w:color w:val="auto"/>
              </w:rPr>
            </w:pPr>
            <w:r>
              <w:rPr>
                <w:rFonts w:ascii="Arial" w:cs="Arial" w:eastAsia="Arial" w:hAnsi="Arial"/>
                <w:sz w:val="32"/>
                <w:szCs w:val="32"/>
                <w:b w:val="1"/>
                <w:bCs w:val="1"/>
                <w:color w:val="FEFEFE"/>
                <w:vertAlign w:val="subscript"/>
              </w:rPr>
              <w:t>​</w:t>
            </w:r>
            <w:r>
              <w:rPr>
                <w:rFonts w:ascii="Arial" w:cs="Arial" w:eastAsia="Arial" w:hAnsi="Arial"/>
                <w:sz w:val="16"/>
                <w:szCs w:val="16"/>
                <w:b w:val="1"/>
                <w:bCs w:val="1"/>
                <w:color w:val="FEFEFE"/>
              </w:rPr>
              <w:t>Title</w:t>
            </w:r>
          </w:p>
        </w:tc>
        <w:tc>
          <w:tcPr>
            <w:tcW w:w="840" w:type="dxa"/>
            <w:vAlign w:val="bottom"/>
            <w:shd w:val="clear" w:color="auto" w:fill="62259D"/>
          </w:tcPr>
          <w:p>
            <w:pPr>
              <w:ind w:left="420"/>
              <w:spacing w:after="0"/>
              <w:rPr>
                <w:sz w:val="20"/>
                <w:szCs w:val="20"/>
                <w:color w:val="auto"/>
              </w:rPr>
            </w:pPr>
            <w:r>
              <w:rPr>
                <w:rFonts w:ascii="Arial" w:cs="Arial" w:eastAsia="Arial" w:hAnsi="Arial"/>
                <w:sz w:val="16"/>
                <w:szCs w:val="16"/>
                <w:b w:val="1"/>
                <w:bCs w:val="1"/>
                <w:color w:val="FEFEFE"/>
              </w:rPr>
              <w:t>​ ​</w:t>
            </w:r>
          </w:p>
        </w:tc>
        <w:tc>
          <w:tcPr>
            <w:tcW w:w="2820" w:type="dxa"/>
            <w:vAlign w:val="bottom"/>
            <w:shd w:val="clear" w:color="auto" w:fill="62259D"/>
          </w:tcPr>
          <w:p>
            <w:pPr>
              <w:ind w:left="20"/>
              <w:spacing w:after="0"/>
              <w:rPr>
                <w:sz w:val="20"/>
                <w:szCs w:val="20"/>
                <w:color w:val="auto"/>
              </w:rPr>
            </w:pPr>
            <w:r>
              <w:rPr>
                <w:rFonts w:ascii="Arial" w:cs="Arial" w:eastAsia="Arial" w:hAnsi="Arial"/>
                <w:sz w:val="16"/>
                <w:szCs w:val="16"/>
                <w:b w:val="1"/>
                <w:bCs w:val="1"/>
                <w:color w:val="FEFEFE"/>
              </w:rPr>
              <w:t>Stock Ownership Requirement</w:t>
            </w:r>
          </w:p>
        </w:tc>
        <w:tc>
          <w:tcPr>
            <w:tcW w:w="28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 ​</w:t>
            </w:r>
          </w:p>
        </w:tc>
        <w:tc>
          <w:tcPr>
            <w:tcW w:w="2040" w:type="dxa"/>
            <w:vAlign w:val="bottom"/>
            <w:shd w:val="clear" w:color="auto" w:fill="62259D"/>
          </w:tcPr>
          <w:p>
            <w:pPr>
              <w:ind w:left="260"/>
              <w:spacing w:after="0"/>
              <w:rPr>
                <w:sz w:val="20"/>
                <w:szCs w:val="20"/>
                <w:color w:val="auto"/>
              </w:rPr>
            </w:pPr>
            <w:r>
              <w:rPr>
                <w:rFonts w:ascii="Arial" w:cs="Arial" w:eastAsia="Arial" w:hAnsi="Arial"/>
                <w:sz w:val="16"/>
                <w:szCs w:val="16"/>
                <w:b w:val="1"/>
                <w:bCs w:val="1"/>
                <w:color w:val="FEFEFE"/>
              </w:rPr>
              <w:t>Compliance Period</w:t>
            </w:r>
          </w:p>
        </w:tc>
        <w:tc>
          <w:tcPr>
            <w:tcW w:w="200" w:type="dxa"/>
            <w:vAlign w:val="bottom"/>
            <w:shd w:val="clear" w:color="auto" w:fill="62259D"/>
          </w:tcPr>
          <w:p>
            <w:pPr>
              <w:ind w:left="140"/>
              <w:spacing w:after="0"/>
              <w:rPr>
                <w:sz w:val="20"/>
                <w:szCs w:val="20"/>
                <w:color w:val="auto"/>
              </w:rPr>
            </w:pPr>
            <w:r>
              <w:rPr>
                <w:rFonts w:ascii="Arial" w:cs="Arial" w:eastAsia="Arial" w:hAnsi="Arial"/>
                <w:sz w:val="16"/>
                <w:szCs w:val="16"/>
                <w:b w:val="1"/>
                <w:bCs w:val="1"/>
                <w:color w:val="FEFEFE"/>
              </w:rPr>
              <w:t>​</w:t>
            </w:r>
          </w:p>
        </w:tc>
      </w:tr>
      <w:tr>
        <w:trPr>
          <w:trHeight w:val="284"/>
        </w:trPr>
        <w:tc>
          <w:tcPr>
            <w:tcW w:w="2680" w:type="dxa"/>
            <w:vAlign w:val="bottom"/>
          </w:tcPr>
          <w:p>
            <w:pPr>
              <w:spacing w:after="0"/>
              <w:rPr>
                <w:sz w:val="20"/>
                <w:szCs w:val="20"/>
                <w:color w:val="auto"/>
              </w:rPr>
            </w:pPr>
            <w:r>
              <w:rPr>
                <w:rFonts w:ascii="Arial" w:cs="Arial" w:eastAsia="Arial" w:hAnsi="Arial"/>
                <w:sz w:val="16"/>
                <w:szCs w:val="16"/>
                <w:color w:val="auto"/>
              </w:rPr>
              <w:t>​ Chief Executive Officer</w:t>
            </w:r>
          </w:p>
        </w:tc>
        <w:tc>
          <w:tcPr>
            <w:tcW w:w="3660" w:type="dxa"/>
            <w:vAlign w:val="bottom"/>
            <w:gridSpan w:val="2"/>
          </w:tcPr>
          <w:p>
            <w:pPr>
              <w:ind w:left="360"/>
              <w:spacing w:after="0"/>
              <w:rPr>
                <w:sz w:val="20"/>
                <w:szCs w:val="20"/>
                <w:color w:val="auto"/>
              </w:rPr>
            </w:pPr>
            <w:r>
              <w:rPr>
                <w:rFonts w:ascii="Arial" w:cs="Arial" w:eastAsia="Arial" w:hAnsi="Arial"/>
                <w:sz w:val="16"/>
                <w:szCs w:val="16"/>
                <w:color w:val="auto"/>
              </w:rPr>
              <w:t xml:space="preserve">​ ​                   ​ ​ </w:t>
            </w:r>
            <w:r>
              <w:rPr>
                <w:rFonts w:ascii="Arial" w:cs="Arial" w:eastAsia="Arial" w:hAnsi="Arial"/>
                <w:sz w:val="21"/>
                <w:szCs w:val="21"/>
                <w:b w:val="1"/>
                <w:bCs w:val="1"/>
                <w:color w:val="62259D"/>
              </w:rPr>
              <w:t>6x</w:t>
            </w:r>
            <w:r>
              <w:rPr>
                <w:rFonts w:ascii="Arial" w:cs="Arial" w:eastAsia="Arial" w:hAnsi="Arial"/>
                <w:sz w:val="16"/>
                <w:szCs w:val="16"/>
                <w:color w:val="auto"/>
              </w:rPr>
              <w:t xml:space="preserve"> </w:t>
            </w:r>
            <w:r>
              <w:rPr>
                <w:rFonts w:ascii="Arial" w:cs="Arial" w:eastAsia="Arial" w:hAnsi="Arial"/>
                <w:sz w:val="16"/>
                <w:szCs w:val="16"/>
                <w:color w:val="62259D"/>
              </w:rPr>
              <w:t>annual base salary</w:t>
            </w:r>
          </w:p>
        </w:tc>
        <w:tc>
          <w:tcPr>
            <w:tcW w:w="280" w:type="dxa"/>
            <w:vAlign w:val="bottom"/>
          </w:tcPr>
          <w:p>
            <w:pPr>
              <w:jc w:val="right"/>
              <w:spacing w:after="0"/>
              <w:rPr>
                <w:sz w:val="20"/>
                <w:szCs w:val="20"/>
                <w:color w:val="auto"/>
              </w:rPr>
            </w:pPr>
            <w:r>
              <w:rPr>
                <w:rFonts w:ascii="Arial" w:cs="Arial" w:eastAsia="Arial" w:hAnsi="Arial"/>
                <w:sz w:val="16"/>
                <w:szCs w:val="16"/>
                <w:color w:val="auto"/>
              </w:rPr>
              <w:t>​ ​</w:t>
            </w:r>
          </w:p>
        </w:tc>
        <w:tc>
          <w:tcPr>
            <w:tcW w:w="2040" w:type="dxa"/>
            <w:vAlign w:val="bottom"/>
          </w:tcPr>
          <w:p>
            <w:pPr>
              <w:ind w:left="20"/>
              <w:spacing w:after="0"/>
              <w:rPr>
                <w:sz w:val="20"/>
                <w:szCs w:val="20"/>
                <w:color w:val="auto"/>
              </w:rPr>
            </w:pPr>
            <w:r>
              <w:rPr>
                <w:rFonts w:ascii="Arial" w:cs="Arial" w:eastAsia="Arial" w:hAnsi="Arial"/>
                <w:sz w:val="16"/>
                <w:szCs w:val="16"/>
                <w:color w:val="auto"/>
              </w:rPr>
              <w:t>5 years from appointment,</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162"/>
        </w:trPr>
        <w:tc>
          <w:tcPr>
            <w:tcW w:w="2680" w:type="dxa"/>
            <w:vAlign w:val="bottom"/>
            <w:tcBorders>
              <w:bottom w:val="single" w:sz="8" w:color="E7417A"/>
            </w:tcBorders>
          </w:tcPr>
          <w:p>
            <w:pPr>
              <w:spacing w:after="0"/>
              <w:rPr>
                <w:sz w:val="14"/>
                <w:szCs w:val="14"/>
                <w:color w:val="auto"/>
              </w:rPr>
            </w:pPr>
          </w:p>
        </w:tc>
        <w:tc>
          <w:tcPr>
            <w:tcW w:w="840" w:type="dxa"/>
            <w:vAlign w:val="bottom"/>
            <w:tcBorders>
              <w:bottom w:val="single" w:sz="8" w:color="E7417A"/>
            </w:tcBorders>
          </w:tcPr>
          <w:p>
            <w:pPr>
              <w:spacing w:after="0"/>
              <w:rPr>
                <w:sz w:val="14"/>
                <w:szCs w:val="14"/>
                <w:color w:val="auto"/>
              </w:rPr>
            </w:pPr>
          </w:p>
        </w:tc>
        <w:tc>
          <w:tcPr>
            <w:tcW w:w="2820" w:type="dxa"/>
            <w:vAlign w:val="bottom"/>
            <w:tcBorders>
              <w:bottom w:val="single" w:sz="8" w:color="E7417A"/>
            </w:tcBorders>
          </w:tcPr>
          <w:p>
            <w:pPr>
              <w:spacing w:after="0"/>
              <w:rPr>
                <w:sz w:val="14"/>
                <w:szCs w:val="14"/>
                <w:color w:val="auto"/>
              </w:rPr>
            </w:pPr>
          </w:p>
        </w:tc>
        <w:tc>
          <w:tcPr>
            <w:tcW w:w="280" w:type="dxa"/>
            <w:vAlign w:val="bottom"/>
            <w:tcBorders>
              <w:bottom w:val="single" w:sz="8" w:color="E7417A"/>
            </w:tcBorders>
          </w:tcPr>
          <w:p>
            <w:pPr>
              <w:spacing w:after="0"/>
              <w:rPr>
                <w:sz w:val="14"/>
                <w:szCs w:val="14"/>
                <w:color w:val="auto"/>
              </w:rPr>
            </w:pPr>
          </w:p>
        </w:tc>
        <w:tc>
          <w:tcPr>
            <w:tcW w:w="2040" w:type="dxa"/>
            <w:vAlign w:val="bottom"/>
            <w:tcBorders>
              <w:bottom w:val="single" w:sz="8" w:color="E7417A"/>
            </w:tcBorders>
          </w:tcPr>
          <w:p>
            <w:pPr>
              <w:ind w:left="20"/>
              <w:spacing w:after="0" w:line="162" w:lineRule="exact"/>
              <w:rPr>
                <w:sz w:val="20"/>
                <w:szCs w:val="20"/>
                <w:color w:val="auto"/>
              </w:rPr>
            </w:pPr>
            <w:r>
              <w:rPr>
                <w:rFonts w:ascii="Arial" w:cs="Arial" w:eastAsia="Arial" w:hAnsi="Arial"/>
                <w:sz w:val="16"/>
                <w:szCs w:val="16"/>
                <w:color w:val="auto"/>
              </w:rPr>
              <w:t>subject to the guidelines</w:t>
            </w:r>
          </w:p>
        </w:tc>
        <w:tc>
          <w:tcPr>
            <w:tcW w:w="200" w:type="dxa"/>
            <w:vAlign w:val="bottom"/>
            <w:tcBorders>
              <w:bottom w:val="single" w:sz="8" w:color="E7417A"/>
            </w:tcBorders>
          </w:tcPr>
          <w:p>
            <w:pPr>
              <w:spacing w:after="0"/>
              <w:rPr>
                <w:sz w:val="14"/>
                <w:szCs w:val="14"/>
                <w:color w:val="auto"/>
              </w:rPr>
            </w:pPr>
          </w:p>
        </w:tc>
      </w:tr>
      <w:tr>
        <w:trPr>
          <w:trHeight w:val="277"/>
        </w:trPr>
        <w:tc>
          <w:tcPr>
            <w:tcW w:w="2680" w:type="dxa"/>
            <w:vAlign w:val="bottom"/>
          </w:tcPr>
          <w:p>
            <w:pPr>
              <w:spacing w:after="0"/>
              <w:rPr>
                <w:sz w:val="20"/>
                <w:szCs w:val="20"/>
                <w:color w:val="auto"/>
              </w:rPr>
            </w:pPr>
            <w:r>
              <w:rPr>
                <w:rFonts w:ascii="Arial" w:cs="Arial" w:eastAsia="Arial" w:hAnsi="Arial"/>
                <w:sz w:val="16"/>
                <w:szCs w:val="16"/>
                <w:color w:val="auto"/>
              </w:rPr>
              <w:t>​ Section 16 Reporting Officers</w:t>
            </w:r>
          </w:p>
        </w:tc>
        <w:tc>
          <w:tcPr>
            <w:tcW w:w="840" w:type="dxa"/>
            <w:vAlign w:val="bottom"/>
          </w:tcPr>
          <w:p>
            <w:pPr>
              <w:ind w:left="360"/>
              <w:spacing w:after="0"/>
              <w:rPr>
                <w:sz w:val="20"/>
                <w:szCs w:val="20"/>
                <w:color w:val="auto"/>
              </w:rPr>
            </w:pPr>
            <w:r>
              <w:rPr>
                <w:rFonts w:ascii="Arial" w:cs="Arial" w:eastAsia="Arial" w:hAnsi="Arial"/>
                <w:sz w:val="16"/>
                <w:szCs w:val="16"/>
                <w:color w:val="auto"/>
              </w:rPr>
              <w:t xml:space="preserve">​ ​     </w:t>
            </w:r>
          </w:p>
        </w:tc>
        <w:tc>
          <w:tcPr>
            <w:tcW w:w="2820" w:type="dxa"/>
            <w:vAlign w:val="bottom"/>
          </w:tcPr>
          <w:p>
            <w:pPr>
              <w:ind w:left="780"/>
              <w:spacing w:after="0"/>
              <w:rPr>
                <w:sz w:val="20"/>
                <w:szCs w:val="20"/>
                <w:color w:val="auto"/>
              </w:rPr>
            </w:pPr>
            <w:r>
              <w:rPr>
                <w:rFonts w:ascii="Arial" w:cs="Arial" w:eastAsia="Arial" w:hAnsi="Arial"/>
                <w:sz w:val="16"/>
                <w:szCs w:val="16"/>
                <w:color w:val="auto"/>
              </w:rPr>
              <w:t xml:space="preserve">​ ​ </w:t>
            </w:r>
            <w:r>
              <w:rPr>
                <w:rFonts w:ascii="Arial" w:cs="Arial" w:eastAsia="Arial" w:hAnsi="Arial"/>
                <w:sz w:val="21"/>
                <w:szCs w:val="21"/>
                <w:b w:val="1"/>
                <w:bCs w:val="1"/>
                <w:color w:val="62259D"/>
              </w:rPr>
              <w:t>2x</w:t>
            </w:r>
            <w:r>
              <w:rPr>
                <w:rFonts w:ascii="Arial" w:cs="Arial" w:eastAsia="Arial" w:hAnsi="Arial"/>
                <w:sz w:val="16"/>
                <w:szCs w:val="16"/>
                <w:color w:val="auto"/>
              </w:rPr>
              <w:t xml:space="preserve"> </w:t>
            </w:r>
            <w:r>
              <w:rPr>
                <w:rFonts w:ascii="Arial" w:cs="Arial" w:eastAsia="Arial" w:hAnsi="Arial"/>
                <w:sz w:val="16"/>
                <w:szCs w:val="16"/>
                <w:color w:val="62259D"/>
              </w:rPr>
              <w:t>annual base salary</w:t>
            </w:r>
          </w:p>
        </w:tc>
        <w:tc>
          <w:tcPr>
            <w:tcW w:w="280" w:type="dxa"/>
            <w:vAlign w:val="bottom"/>
          </w:tcPr>
          <w:p>
            <w:pPr>
              <w:jc w:val="right"/>
              <w:spacing w:after="0"/>
              <w:rPr>
                <w:sz w:val="20"/>
                <w:szCs w:val="20"/>
                <w:color w:val="auto"/>
              </w:rPr>
            </w:pPr>
            <w:r>
              <w:rPr>
                <w:rFonts w:ascii="Arial" w:cs="Arial" w:eastAsia="Arial" w:hAnsi="Arial"/>
                <w:sz w:val="16"/>
                <w:szCs w:val="16"/>
                <w:color w:val="auto"/>
              </w:rPr>
              <w:t>​ ​</w:t>
            </w:r>
          </w:p>
        </w:tc>
        <w:tc>
          <w:tcPr>
            <w:tcW w:w="2040" w:type="dxa"/>
            <w:vAlign w:val="bottom"/>
          </w:tcPr>
          <w:p>
            <w:pPr>
              <w:ind w:left="20"/>
              <w:spacing w:after="0"/>
              <w:rPr>
                <w:sz w:val="20"/>
                <w:szCs w:val="20"/>
                <w:color w:val="auto"/>
              </w:rPr>
            </w:pPr>
            <w:r>
              <w:rPr>
                <w:rFonts w:ascii="Arial" w:cs="Arial" w:eastAsia="Arial" w:hAnsi="Arial"/>
                <w:sz w:val="16"/>
                <w:szCs w:val="16"/>
                <w:color w:val="auto"/>
              </w:rPr>
              <w:t>5 years from appointment,</w:t>
            </w:r>
          </w:p>
        </w:tc>
        <w:tc>
          <w:tcPr>
            <w:tcW w:w="20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149"/>
        </w:trPr>
        <w:tc>
          <w:tcPr>
            <w:tcW w:w="2680" w:type="dxa"/>
            <w:vAlign w:val="bottom"/>
            <w:tcBorders>
              <w:bottom w:val="single" w:sz="8" w:color="E7417A"/>
            </w:tcBorders>
          </w:tcPr>
          <w:p>
            <w:pPr>
              <w:spacing w:after="0"/>
              <w:rPr>
                <w:sz w:val="12"/>
                <w:szCs w:val="12"/>
                <w:color w:val="auto"/>
              </w:rPr>
            </w:pPr>
          </w:p>
        </w:tc>
        <w:tc>
          <w:tcPr>
            <w:tcW w:w="840" w:type="dxa"/>
            <w:vAlign w:val="bottom"/>
            <w:tcBorders>
              <w:bottom w:val="single" w:sz="8" w:color="E7417A"/>
            </w:tcBorders>
          </w:tcPr>
          <w:p>
            <w:pPr>
              <w:spacing w:after="0"/>
              <w:rPr>
                <w:sz w:val="12"/>
                <w:szCs w:val="12"/>
                <w:color w:val="auto"/>
              </w:rPr>
            </w:pPr>
          </w:p>
        </w:tc>
        <w:tc>
          <w:tcPr>
            <w:tcW w:w="2820" w:type="dxa"/>
            <w:vAlign w:val="bottom"/>
            <w:tcBorders>
              <w:bottom w:val="single" w:sz="8" w:color="E7417A"/>
            </w:tcBorders>
          </w:tcPr>
          <w:p>
            <w:pPr>
              <w:spacing w:after="0"/>
              <w:rPr>
                <w:sz w:val="12"/>
                <w:szCs w:val="12"/>
                <w:color w:val="auto"/>
              </w:rPr>
            </w:pPr>
          </w:p>
        </w:tc>
        <w:tc>
          <w:tcPr>
            <w:tcW w:w="280" w:type="dxa"/>
            <w:vAlign w:val="bottom"/>
            <w:tcBorders>
              <w:bottom w:val="single" w:sz="8" w:color="E7417A"/>
            </w:tcBorders>
          </w:tcPr>
          <w:p>
            <w:pPr>
              <w:spacing w:after="0"/>
              <w:rPr>
                <w:sz w:val="12"/>
                <w:szCs w:val="12"/>
                <w:color w:val="auto"/>
              </w:rPr>
            </w:pPr>
          </w:p>
        </w:tc>
        <w:tc>
          <w:tcPr>
            <w:tcW w:w="2040" w:type="dxa"/>
            <w:vAlign w:val="bottom"/>
            <w:tcBorders>
              <w:bottom w:val="single" w:sz="8" w:color="E7417A"/>
            </w:tcBorders>
          </w:tcPr>
          <w:p>
            <w:pPr>
              <w:ind w:left="20"/>
              <w:spacing w:after="0" w:line="148" w:lineRule="exact"/>
              <w:rPr>
                <w:sz w:val="20"/>
                <w:szCs w:val="20"/>
                <w:color w:val="auto"/>
              </w:rPr>
            </w:pPr>
            <w:r>
              <w:rPr>
                <w:rFonts w:ascii="Arial" w:cs="Arial" w:eastAsia="Arial" w:hAnsi="Arial"/>
                <w:sz w:val="16"/>
                <w:szCs w:val="16"/>
                <w:color w:val="auto"/>
              </w:rPr>
              <w:t>subject to the guidelines</w:t>
            </w:r>
          </w:p>
        </w:tc>
        <w:tc>
          <w:tcPr>
            <w:tcW w:w="200" w:type="dxa"/>
            <w:vAlign w:val="bottom"/>
            <w:tcBorders>
              <w:bottom w:val="single" w:sz="8" w:color="E7417A"/>
            </w:tcBorders>
          </w:tcPr>
          <w:p>
            <w:pPr>
              <w:spacing w:after="0"/>
              <w:rPr>
                <w:sz w:val="12"/>
                <w:szCs w:val="12"/>
                <w:color w:val="auto"/>
              </w:rPr>
            </w:pPr>
          </w:p>
        </w:tc>
      </w:tr>
      <w:tr>
        <w:trPr>
          <w:trHeight w:val="277"/>
        </w:trPr>
        <w:tc>
          <w:tcPr>
            <w:tcW w:w="268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 Non-Employee Directors</w:t>
            </w:r>
          </w:p>
        </w:tc>
        <w:tc>
          <w:tcPr>
            <w:tcW w:w="3940" w:type="dxa"/>
            <w:vAlign w:val="bottom"/>
            <w:tcBorders>
              <w:bottom w:val="single" w:sz="8" w:color="62259D"/>
            </w:tcBorders>
            <w:gridSpan w:val="3"/>
          </w:tcPr>
          <w:p>
            <w:pPr>
              <w:jc w:val="right"/>
              <w:spacing w:after="0" w:line="276" w:lineRule="exact"/>
              <w:rPr>
                <w:sz w:val="20"/>
                <w:szCs w:val="20"/>
                <w:color w:val="auto"/>
              </w:rPr>
            </w:pPr>
            <w:r>
              <w:rPr>
                <w:rFonts w:ascii="Arial" w:cs="Arial" w:eastAsia="Arial" w:hAnsi="Arial"/>
                <w:sz w:val="32"/>
                <w:szCs w:val="32"/>
                <w:color w:val="000000"/>
                <w:vertAlign w:val="superscript"/>
              </w:rPr>
              <w:t>​ ​                   ​ ​</w:t>
            </w:r>
            <w:r>
              <w:rPr>
                <w:rFonts w:ascii="Arial" w:cs="Arial" w:eastAsia="Arial" w:hAnsi="Arial"/>
                <w:sz w:val="22"/>
                <w:szCs w:val="22"/>
                <w:b w:val="1"/>
                <w:bCs w:val="1"/>
                <w:color w:val="62259D"/>
              </w:rPr>
              <w:t xml:space="preserve"> 5x </w:t>
            </w:r>
            <w:r>
              <w:rPr>
                <w:rFonts w:ascii="Arial" w:cs="Arial" w:eastAsia="Arial" w:hAnsi="Arial"/>
                <w:sz w:val="16"/>
                <w:szCs w:val="16"/>
                <w:color w:val="62259D"/>
              </w:rPr>
              <w:t>annual cash retainer</w:t>
            </w:r>
            <w:r>
              <w:rPr>
                <w:rFonts w:ascii="Arial" w:cs="Arial" w:eastAsia="Arial" w:hAnsi="Arial"/>
                <w:sz w:val="22"/>
                <w:szCs w:val="22"/>
                <w:b w:val="1"/>
                <w:bCs w:val="1"/>
                <w:color w:val="62259D"/>
              </w:rPr>
              <w:t xml:space="preserve"> </w:t>
            </w:r>
            <w:r>
              <w:rPr>
                <w:rFonts w:ascii="Arial" w:cs="Arial" w:eastAsia="Arial" w:hAnsi="Arial"/>
                <w:sz w:val="32"/>
                <w:szCs w:val="32"/>
                <w:color w:val="000000"/>
                <w:vertAlign w:val="superscript"/>
              </w:rPr>
              <w:t>​ ​</w:t>
            </w:r>
          </w:p>
        </w:tc>
        <w:tc>
          <w:tcPr>
            <w:tcW w:w="2040" w:type="dxa"/>
            <w:vAlign w:val="bottom"/>
            <w:tcBorders>
              <w:bottom w:val="single" w:sz="8" w:color="62259D"/>
            </w:tcBorders>
          </w:tcPr>
          <w:p>
            <w:pPr>
              <w:ind w:left="20"/>
              <w:spacing w:after="0"/>
              <w:rPr>
                <w:sz w:val="20"/>
                <w:szCs w:val="20"/>
                <w:color w:val="auto"/>
              </w:rPr>
            </w:pPr>
            <w:r>
              <w:rPr>
                <w:rFonts w:ascii="Arial" w:cs="Arial" w:eastAsia="Arial" w:hAnsi="Arial"/>
                <w:sz w:val="16"/>
                <w:szCs w:val="16"/>
                <w:color w:val="auto"/>
              </w:rPr>
              <w:t>5 years from appointment</w:t>
            </w:r>
          </w:p>
        </w:tc>
        <w:tc>
          <w:tcPr>
            <w:tcW w:w="200" w:type="dxa"/>
            <w:vAlign w:val="bottom"/>
            <w:tcBorders>
              <w:bottom w:val="single" w:sz="8" w:color="62259D"/>
            </w:tcBorders>
          </w:tcPr>
          <w:p>
            <w:pPr>
              <w:ind w:left="10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-676910</wp:posOffset>
            </wp:positionV>
            <wp:extent cx="643255" cy="857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43255" cy="8572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-385445</wp:posOffset>
            </wp:positionV>
            <wp:extent cx="222885" cy="857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2885" cy="85725"/>
                    </a:xfrm>
                    <a:prstGeom prst="rect">
                      <a:avLst/>
                    </a:prstGeom>
                    <a:noFill/>
                  </pic:spPr>
                </pic:pic>
              </a:graphicData>
            </a:graphic>
          </wp:anchor>
        </w:drawing>
        <w:drawing>
          <wp:anchor simplePos="0" relativeHeight="251657728" behindDoc="1" locked="0" layoutInCell="0" allowOverlap="1">
            <wp:simplePos x="0" y="0"/>
            <wp:positionH relativeFrom="column">
              <wp:posOffset>2660015</wp:posOffset>
            </wp:positionH>
            <wp:positionV relativeFrom="paragraph">
              <wp:posOffset>-153670</wp:posOffset>
            </wp:positionV>
            <wp:extent cx="643255" cy="857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43255" cy="85725"/>
                    </a:xfrm>
                    <a:prstGeom prst="rect">
                      <a:avLst/>
                    </a:prstGeom>
                    <a:noFill/>
                  </pic:spPr>
                </pic:pic>
              </a:graphicData>
            </a:graphic>
          </wp:anchor>
        </w:drawing>
      </w:r>
    </w:p>
    <w:p>
      <w:pPr>
        <w:spacing w:after="0" w:line="177" w:lineRule="exact"/>
        <w:rPr>
          <w:sz w:val="20"/>
          <w:szCs w:val="20"/>
          <w:color w:val="auto"/>
        </w:rPr>
      </w:pPr>
    </w:p>
    <w:p>
      <w:pPr>
        <w:ind w:left="920" w:right="1099"/>
        <w:spacing w:after="0" w:line="287" w:lineRule="auto"/>
        <w:rPr>
          <w:sz w:val="20"/>
          <w:szCs w:val="20"/>
          <w:color w:val="auto"/>
        </w:rPr>
      </w:pPr>
      <w:r>
        <w:rPr>
          <w:rFonts w:ascii="Arial" w:cs="Arial" w:eastAsia="Arial" w:hAnsi="Arial"/>
          <w:sz w:val="18"/>
          <w:szCs w:val="18"/>
          <w:color w:val="auto"/>
        </w:rPr>
        <w:t>The value of each such individual’s stock ownership is measured annually as of April 1st by the Compensation Committee.</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Clawback Policy</w:t>
      </w:r>
    </w:p>
    <w:p>
      <w:pPr>
        <w:spacing w:after="0" w:line="135" w:lineRule="exact"/>
        <w:rPr>
          <w:sz w:val="20"/>
          <w:szCs w:val="20"/>
          <w:color w:val="auto"/>
        </w:rPr>
      </w:pPr>
    </w:p>
    <w:p>
      <w:pPr>
        <w:ind w:left="920" w:right="199"/>
        <w:spacing w:after="0" w:line="259" w:lineRule="auto"/>
        <w:rPr>
          <w:sz w:val="20"/>
          <w:szCs w:val="20"/>
          <w:color w:val="auto"/>
        </w:rPr>
      </w:pPr>
      <w:r>
        <w:rPr>
          <w:rFonts w:ascii="Arial" w:cs="Arial" w:eastAsia="Arial" w:hAnsi="Arial"/>
          <w:sz w:val="18"/>
          <w:szCs w:val="18"/>
          <w:color w:val="auto"/>
        </w:rPr>
        <w:t>All awards granted under our equity plans are subject to clawback pursuant to the Company’s Clawback Policy and any other clawback policy that the Company may adopt in the future. The Clawback Policy was amended in 2023 by the Board to comply with the final rule adopted by the SEC that implements the applicable provision of the Dodd-Frank Wall Street Reform and Consumer Protection Act and Nasdaq’s related listing standard, in each case relating to recoupment of incentive-based compensation.</w:t>
      </w:r>
    </w:p>
    <w:p>
      <w:pPr>
        <w:spacing w:after="0" w:line="183" w:lineRule="exact"/>
        <w:rPr>
          <w:sz w:val="20"/>
          <w:szCs w:val="20"/>
          <w:color w:val="auto"/>
        </w:rPr>
      </w:pPr>
    </w:p>
    <w:p>
      <w:pPr>
        <w:ind w:left="920" w:right="259"/>
        <w:spacing w:after="0" w:line="285" w:lineRule="auto"/>
        <w:rPr>
          <w:sz w:val="20"/>
          <w:szCs w:val="20"/>
          <w:color w:val="auto"/>
        </w:rPr>
      </w:pPr>
      <w:r>
        <w:rPr>
          <w:rFonts w:ascii="Arial" w:cs="Arial" w:eastAsia="Arial" w:hAnsi="Arial"/>
          <w:sz w:val="22"/>
          <w:szCs w:val="22"/>
          <w:b w:val="1"/>
          <w:bCs w:val="1"/>
          <w:color w:val="auto"/>
        </w:rPr>
        <w:t>Insider Trading Policy and Policy Regarding Transactions Involving Hedging, Monetization, Margin Accounts and Pledges</w:t>
      </w:r>
    </w:p>
    <w:p>
      <w:pPr>
        <w:spacing w:after="0" w:line="151" w:lineRule="exact"/>
        <w:rPr>
          <w:sz w:val="20"/>
          <w:szCs w:val="20"/>
          <w:color w:val="auto"/>
        </w:rPr>
      </w:pPr>
    </w:p>
    <w:p>
      <w:pPr>
        <w:ind w:left="920" w:right="239"/>
        <w:spacing w:after="0" w:line="259" w:lineRule="auto"/>
        <w:rPr>
          <w:sz w:val="20"/>
          <w:szCs w:val="20"/>
          <w:color w:val="auto"/>
        </w:rPr>
      </w:pPr>
      <w:r>
        <w:rPr>
          <w:rFonts w:ascii="Arial" w:cs="Arial" w:eastAsia="Arial" w:hAnsi="Arial"/>
          <w:sz w:val="18"/>
          <w:szCs w:val="18"/>
          <w:color w:val="auto"/>
        </w:rPr>
        <w:t>Our Board has adopted insider trading policies and procedures governing the purchase, sale and/or other dispositions of our directors, officers and employees that are reasonably designed to promote compliance with insider trading laws, rules and regulations, and any listing standards applicable to us (the “Insider Trading Policy”). It is also our policy to comply with all applicable securities laws when transacting in our own securities.</w:t>
      </w:r>
    </w:p>
    <w:p>
      <w:pPr>
        <w:spacing w:after="0" w:line="85" w:lineRule="exact"/>
        <w:rPr>
          <w:sz w:val="20"/>
          <w:szCs w:val="20"/>
          <w:color w:val="auto"/>
        </w:rPr>
      </w:pPr>
    </w:p>
    <w:p>
      <w:pPr>
        <w:ind w:left="920" w:right="119"/>
        <w:spacing w:after="0" w:line="259" w:lineRule="auto"/>
        <w:rPr>
          <w:sz w:val="20"/>
          <w:szCs w:val="20"/>
          <w:color w:val="auto"/>
        </w:rPr>
      </w:pPr>
      <w:r>
        <w:rPr>
          <w:rFonts w:ascii="Arial" w:cs="Arial" w:eastAsia="Arial" w:hAnsi="Arial"/>
          <w:sz w:val="18"/>
          <w:szCs w:val="18"/>
          <w:color w:val="auto"/>
        </w:rPr>
        <w:t>The Company’s Insider Trading Policy contains stringent restrictions on transactions in Company common stock by directors and officers. All trades by directors and officers must be pre-approved by the Chief Legal Officer. In addition, our Insider Trading Policy prohibits all executive officers and directors from engaging in transactions involving hedging, monetization, margin accounts, pledges, puts, calls and other derivative securities.</w:t>
      </w:r>
    </w:p>
    <w:p>
      <w:pPr>
        <w:spacing w:after="0" w:line="98" w:lineRule="exact"/>
        <w:rPr>
          <w:sz w:val="20"/>
          <w:szCs w:val="20"/>
          <w:color w:val="auto"/>
        </w:rPr>
      </w:pPr>
    </w:p>
    <w:p>
      <w:pPr>
        <w:ind w:left="920" w:right="1099"/>
        <w:spacing w:after="0" w:line="287" w:lineRule="auto"/>
        <w:rPr>
          <w:sz w:val="20"/>
          <w:szCs w:val="20"/>
          <w:color w:val="auto"/>
        </w:rPr>
      </w:pPr>
      <w:r>
        <w:rPr>
          <w:rFonts w:ascii="Arial" w:cs="Arial" w:eastAsia="Arial" w:hAnsi="Arial"/>
          <w:sz w:val="18"/>
          <w:szCs w:val="18"/>
          <w:color w:val="auto"/>
        </w:rPr>
        <w:t>Our Insider Trading Policy was filed as Exhibit 19.1 to our Annual Report on Form 10-K filed on February 27, 2025.</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Timing of Stock Options and Other Equity Awards</w:t>
      </w:r>
    </w:p>
    <w:p>
      <w:pPr>
        <w:spacing w:after="0" w:line="189" w:lineRule="exact"/>
        <w:rPr>
          <w:sz w:val="20"/>
          <w:szCs w:val="20"/>
          <w:color w:val="auto"/>
        </w:rPr>
      </w:pPr>
    </w:p>
    <w:p>
      <w:pPr>
        <w:ind w:left="920" w:right="259"/>
        <w:spacing w:after="0" w:line="257" w:lineRule="auto"/>
        <w:rPr>
          <w:sz w:val="20"/>
          <w:szCs w:val="20"/>
          <w:color w:val="auto"/>
        </w:rPr>
      </w:pPr>
      <w:r>
        <w:rPr>
          <w:rFonts w:ascii="Arial" w:cs="Arial" w:eastAsia="Arial" w:hAnsi="Arial"/>
          <w:sz w:val="18"/>
          <w:szCs w:val="18"/>
          <w:color w:val="auto"/>
        </w:rPr>
        <w:t>Although we do not have a formal policy regarding the timing of awards of stock options, SARs and/or similar option-like instruments granted to our NEOs, we do not make these awards or any other form of equity compensation in anticipation of the release of material, non-public information. Similarly, we do not time the release of material, non-public information based on stock option, SARs or other equity award grant dates for the purpose of affecting the value of any NEO award. In 2025, none of our NEOs were granted any options to purchase shares of our common stock, SARs or similar option-like instruments.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Tax and Accounting Considerations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Accounting for Stock-Based Compensation</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account for stock-based compensation in accordance with ASC 718.</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Policy on Deductibility of Executive Compensation</w:t>
      </w:r>
    </w:p>
    <w:p>
      <w:pPr>
        <w:spacing w:after="0" w:line="135" w:lineRule="exact"/>
        <w:rPr>
          <w:sz w:val="20"/>
          <w:szCs w:val="20"/>
          <w:color w:val="auto"/>
        </w:rPr>
      </w:pPr>
    </w:p>
    <w:p>
      <w:pPr>
        <w:ind w:left="920" w:right="119"/>
        <w:spacing w:after="0" w:line="254" w:lineRule="auto"/>
        <w:rPr>
          <w:sz w:val="20"/>
          <w:szCs w:val="20"/>
          <w:color w:val="auto"/>
        </w:rPr>
      </w:pPr>
      <w:r>
        <w:rPr>
          <w:rFonts w:ascii="Arial" w:cs="Arial" w:eastAsia="Arial" w:hAnsi="Arial"/>
          <w:sz w:val="18"/>
          <w:szCs w:val="18"/>
          <w:color w:val="auto"/>
        </w:rPr>
        <w:t>Section 162(m) of the Internal Revenue Code of 1986, as amended (the “Code”), generally disallows a tax deduction for annual compensation in excess of $ 1.0 million paid to certain executive officers of the Company. The Compensation Committee reviews the potential effect of Section 162(m) of the Code on the Company’s compensation practices periodically. However, the Compensation Committee has no obligation to limit compensation to that which is deductible under Section 162(m) of the Code and may use its judgment to authorize compensation programs and payments (or the modification of existing compensation programs or payments) that may not be deductible when it believes such programs and payments are appropriate and in the Company’s and our stockholders’ best interests. Further, there is no guarantee that deductions claimed under Section 162(m) of the Code will not be challenged by the Internal Revenue Service and our ability to deduct compensation under Section 162(m) of the Code may be restricted.</w:t>
      </w:r>
    </w:p>
    <w:p>
      <w:pPr>
        <w:spacing w:after="0" w:line="172"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4C4C4C"/>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Risk Management and Our Executive Compensation Program</w:t>
      </w:r>
    </w:p>
    <w:p>
      <w:pPr>
        <w:spacing w:after="0" w:line="125" w:lineRule="exact"/>
        <w:rPr>
          <w:sz w:val="20"/>
          <w:szCs w:val="20"/>
          <w:color w:val="auto"/>
        </w:rPr>
      </w:pPr>
    </w:p>
    <w:p>
      <w:pPr>
        <w:ind w:left="920" w:right="119"/>
        <w:spacing w:after="0" w:line="252" w:lineRule="auto"/>
        <w:rPr>
          <w:sz w:val="20"/>
          <w:szCs w:val="20"/>
          <w:color w:val="auto"/>
        </w:rPr>
      </w:pPr>
      <w:r>
        <w:rPr>
          <w:rFonts w:ascii="Arial" w:cs="Arial" w:eastAsia="Arial" w:hAnsi="Arial"/>
          <w:sz w:val="18"/>
          <w:szCs w:val="18"/>
          <w:color w:val="auto"/>
        </w:rPr>
        <w:t>The Compensation Committee monitors and manages our executive compensation program to help ensure that it does not encourage excessive risk taking. The Compensation Committee reviewed, analyzed and considered whether the Company’s compensation policies and practices create risks that are reasonably likely to have a material adverse effect on us, and concluded that no such material risks exist.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Compensation Committee Report</w:t>
      </w:r>
    </w:p>
    <w:p>
      <w:pPr>
        <w:spacing w:after="0" w:line="147" w:lineRule="exact"/>
        <w:rPr>
          <w:sz w:val="20"/>
          <w:szCs w:val="20"/>
          <w:color w:val="auto"/>
        </w:rPr>
      </w:pPr>
    </w:p>
    <w:p>
      <w:pPr>
        <w:ind w:left="920" w:right="139"/>
        <w:spacing w:after="0" w:line="247" w:lineRule="auto"/>
        <w:rPr>
          <w:sz w:val="20"/>
          <w:szCs w:val="20"/>
          <w:color w:val="auto"/>
        </w:rPr>
      </w:pPr>
      <w:r>
        <w:rPr>
          <w:rFonts w:ascii="Arial" w:cs="Arial" w:eastAsia="Arial" w:hAnsi="Arial"/>
          <w:sz w:val="18"/>
          <w:szCs w:val="18"/>
          <w:i w:val="1"/>
          <w:iCs w:val="1"/>
          <w:color w:val="auto"/>
        </w:rPr>
        <w:t>The information contained in this report shall not be deemed to be “soliciting material” or “filed” or incorporated by reference in future filings with the SEC, or subject to the liabilities of Section 18 of the Exchange Act, except to the extent that we specifically request that it be treated as soliciting material or specifically incorporate it by reference into a document filed under the Securities Act of 1933, as amended, or the Exchange Act</w:t>
      </w:r>
      <w:r>
        <w:rPr>
          <w:rFonts w:ascii="Arial" w:cs="Arial" w:eastAsia="Arial" w:hAnsi="Arial"/>
          <w:sz w:val="18"/>
          <w:szCs w:val="18"/>
          <w:color w:val="auto"/>
        </w:rPr>
        <w:t>.</w:t>
      </w:r>
    </w:p>
    <w:p>
      <w:pPr>
        <w:spacing w:after="0" w:line="307" w:lineRule="exact"/>
        <w:rPr>
          <w:sz w:val="20"/>
          <w:szCs w:val="20"/>
          <w:color w:val="auto"/>
        </w:rPr>
      </w:pPr>
    </w:p>
    <w:p>
      <w:pPr>
        <w:ind w:left="920" w:right="259"/>
        <w:spacing w:after="0" w:line="247" w:lineRule="auto"/>
        <w:rPr>
          <w:sz w:val="20"/>
          <w:szCs w:val="20"/>
          <w:color w:val="auto"/>
        </w:rPr>
      </w:pPr>
      <w:r>
        <w:rPr>
          <w:rFonts w:ascii="Arial" w:cs="Arial" w:eastAsia="Arial" w:hAnsi="Arial"/>
          <w:sz w:val="18"/>
          <w:szCs w:val="18"/>
          <w:color w:val="auto"/>
        </w:rPr>
        <w:t>The Compensation Committee currently consists of Beatriz V. Infante, Bruns H. Grayson and Tanya Tamone. The Compensation Committee has reviewed and discussed the Compensation Discussion and Analysis required by Item 402(b) of Regulation S-K with our management. Based on this review and discussion, the Compensation Committee recommended to our Board of Directors that the Compensation Discussion and Analysis be included in this Proxy Statement.</w:t>
      </w:r>
    </w:p>
    <w:p>
      <w:pPr>
        <w:spacing w:after="0" w:line="96"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Submitted by,</w:t>
      </w:r>
    </w:p>
    <w:p>
      <w:pPr>
        <w:spacing w:after="0" w:line="1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THE COMPENSATION COMMITTEE</w:t>
      </w:r>
    </w:p>
    <w:p>
      <w:pPr>
        <w:spacing w:after="0" w:line="168" w:lineRule="exact"/>
        <w:rPr>
          <w:sz w:val="20"/>
          <w:szCs w:val="20"/>
          <w:color w:val="auto"/>
        </w:rPr>
      </w:pPr>
    </w:p>
    <w:p>
      <w:pPr>
        <w:ind w:left="2320"/>
        <w:spacing w:after="0"/>
        <w:tabs>
          <w:tab w:leader="none" w:pos="4680" w:val="left"/>
          <w:tab w:leader="none" w:pos="6740" w:val="left"/>
          <w:tab w:leader="none" w:pos="83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1442720</wp:posOffset>
            </wp:positionH>
            <wp:positionV relativeFrom="paragraph">
              <wp:posOffset>-118110</wp:posOffset>
            </wp:positionV>
            <wp:extent cx="3909060" cy="7029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90906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320"/>
        <w:spacing w:after="0"/>
        <w:tabs>
          <w:tab w:leader="none" w:pos="6740" w:val="left"/>
        </w:tabs>
        <w:rPr>
          <w:sz w:val="20"/>
          <w:szCs w:val="20"/>
          <w:color w:val="auto"/>
        </w:rPr>
      </w:pPr>
      <w:r>
        <w:rPr>
          <w:rFonts w:ascii="Arial" w:cs="Arial" w:eastAsia="Arial" w:hAnsi="Arial"/>
          <w:sz w:val="17"/>
          <w:szCs w:val="17"/>
          <w:b w:val="1"/>
          <w:bCs w:val="1"/>
          <w:color w:val="auto"/>
        </w:rPr>
        <w:t xml:space="preserve">​ Beatriz V. Infante </w:t>
      </w:r>
      <w:r>
        <w:rPr>
          <w:rFonts w:ascii="Arial" w:cs="Arial" w:eastAsia="Arial" w:hAnsi="Arial"/>
          <w:sz w:val="17"/>
          <w:szCs w:val="17"/>
          <w:b w:val="1"/>
          <w:bCs w:val="1"/>
          <w:i w:val="1"/>
          <w:iCs w:val="1"/>
          <w:color w:val="auto"/>
        </w:rPr>
        <w:t>(Chair)</w:t>
      </w:r>
      <w:r>
        <w:rPr>
          <w:rFonts w:ascii="Arial" w:cs="Arial" w:eastAsia="Arial" w:hAnsi="Arial"/>
          <w:sz w:val="17"/>
          <w:szCs w:val="17"/>
          <w:b w:val="1"/>
          <w:bCs w:val="1"/>
          <w:color w:val="auto"/>
        </w:rPr>
        <w:t xml:space="preserve">  ​ ​ Bruns H. Grayson</w:t>
        <w:tab/>
        <w:t>​ ​ Tanya Tamone ​</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Executive Compensation Tables</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2025 Summary Compensation Table</w:t>
      </w:r>
    </w:p>
    <w:p>
      <w:pPr>
        <w:spacing w:after="0" w:line="139" w:lineRule="exact"/>
        <w:rPr>
          <w:sz w:val="20"/>
          <w:szCs w:val="20"/>
          <w:color w:val="auto"/>
        </w:rPr>
      </w:pPr>
    </w:p>
    <w:p>
      <w:pPr>
        <w:ind w:left="920" w:right="179"/>
        <w:spacing w:after="0" w:line="237" w:lineRule="auto"/>
        <w:rPr>
          <w:sz w:val="20"/>
          <w:szCs w:val="20"/>
          <w:color w:val="auto"/>
        </w:rPr>
      </w:pPr>
      <w:r>
        <w:rPr>
          <w:rFonts w:ascii="Arial" w:cs="Arial" w:eastAsia="Arial" w:hAnsi="Arial"/>
          <w:sz w:val="18"/>
          <w:szCs w:val="18"/>
          <w:color w:val="auto"/>
        </w:rPr>
        <w:t>The following table sets forth, for the year ended December 31, 2025 and for the two years prior thereto (if applicable), the compensation earned by our Chief Executive Officer, Chief Financial Officer, the three</w:t>
      </w:r>
    </w:p>
    <w:p>
      <w:pPr>
        <w:spacing w:after="0" w:line="1" w:lineRule="exact"/>
        <w:rPr>
          <w:sz w:val="20"/>
          <w:szCs w:val="20"/>
          <w:color w:val="auto"/>
        </w:rPr>
      </w:pPr>
    </w:p>
    <w:p>
      <w:pPr>
        <w:ind w:left="920" w:right="299"/>
        <w:spacing w:after="0" w:line="250" w:lineRule="auto"/>
        <w:rPr>
          <w:sz w:val="20"/>
          <w:szCs w:val="20"/>
          <w:color w:val="auto"/>
        </w:rPr>
      </w:pPr>
      <w:r>
        <w:rPr>
          <w:rFonts w:ascii="Arial" w:cs="Arial" w:eastAsia="Arial" w:hAnsi="Arial"/>
          <w:sz w:val="18"/>
          <w:szCs w:val="18"/>
          <w:color w:val="auto"/>
        </w:rPr>
        <w:t>most highly compensated executive officers serving as executive officers at December 31, 2025, and our former Executive Vice President, Global Sales, who left the Company effective September 30, 2025.</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60" w:type="dxa"/>
            <w:vAlign w:val="bottom"/>
            <w:shd w:val="clear" w:color="auto" w:fill="62259D"/>
          </w:tcPr>
          <w:p>
            <w:pPr>
              <w:spacing w:after="0"/>
              <w:rPr>
                <w:sz w:val="16"/>
                <w:szCs w:val="16"/>
                <w:color w:val="auto"/>
              </w:rPr>
            </w:pPr>
          </w:p>
        </w:tc>
        <w:tc>
          <w:tcPr>
            <w:tcW w:w="2060" w:type="dxa"/>
            <w:vAlign w:val="bottom"/>
            <w:shd w:val="clear" w:color="auto" w:fill="62259D"/>
          </w:tcPr>
          <w:p>
            <w:pPr>
              <w:spacing w:after="0"/>
              <w:rPr>
                <w:sz w:val="16"/>
                <w:szCs w:val="16"/>
                <w:color w:val="auto"/>
              </w:rPr>
            </w:pPr>
          </w:p>
        </w:tc>
        <w:tc>
          <w:tcPr>
            <w:tcW w:w="100" w:type="dxa"/>
            <w:vAlign w:val="bottom"/>
            <w:shd w:val="clear" w:color="auto" w:fill="62259D"/>
          </w:tcPr>
          <w:p>
            <w:pPr>
              <w:spacing w:after="0"/>
              <w:rPr>
                <w:sz w:val="16"/>
                <w:szCs w:val="16"/>
                <w:color w:val="auto"/>
              </w:rPr>
            </w:pPr>
          </w:p>
        </w:tc>
        <w:tc>
          <w:tcPr>
            <w:tcW w:w="1120" w:type="dxa"/>
            <w:vAlign w:val="bottom"/>
            <w:shd w:val="clear" w:color="auto" w:fill="62259D"/>
          </w:tcPr>
          <w:p>
            <w:pPr>
              <w:spacing w:after="0"/>
              <w:rPr>
                <w:sz w:val="16"/>
                <w:szCs w:val="16"/>
                <w:color w:val="auto"/>
              </w:rPr>
            </w:pPr>
          </w:p>
        </w:tc>
        <w:tc>
          <w:tcPr>
            <w:tcW w:w="160" w:type="dxa"/>
            <w:vAlign w:val="bottom"/>
            <w:shd w:val="clear" w:color="auto" w:fill="62259D"/>
          </w:tcPr>
          <w:p>
            <w:pPr>
              <w:spacing w:after="0"/>
              <w:rPr>
                <w:sz w:val="16"/>
                <w:szCs w:val="16"/>
                <w:color w:val="auto"/>
              </w:rPr>
            </w:pPr>
          </w:p>
        </w:tc>
        <w:tc>
          <w:tcPr>
            <w:tcW w:w="400" w:type="dxa"/>
            <w:vAlign w:val="bottom"/>
            <w:shd w:val="clear" w:color="auto" w:fill="62259D"/>
          </w:tcPr>
          <w:p>
            <w:pPr>
              <w:spacing w:after="0"/>
              <w:rPr>
                <w:sz w:val="16"/>
                <w:szCs w:val="16"/>
                <w:color w:val="auto"/>
              </w:rPr>
            </w:pPr>
          </w:p>
        </w:tc>
        <w:tc>
          <w:tcPr>
            <w:tcW w:w="200" w:type="dxa"/>
            <w:vAlign w:val="bottom"/>
            <w:shd w:val="clear" w:color="auto" w:fill="62259D"/>
          </w:tcPr>
          <w:p>
            <w:pPr>
              <w:spacing w:after="0"/>
              <w:rPr>
                <w:sz w:val="16"/>
                <w:szCs w:val="16"/>
                <w:color w:val="auto"/>
              </w:rPr>
            </w:pPr>
          </w:p>
        </w:tc>
        <w:tc>
          <w:tcPr>
            <w:tcW w:w="160" w:type="dxa"/>
            <w:vAlign w:val="bottom"/>
            <w:shd w:val="clear" w:color="auto" w:fill="62259D"/>
          </w:tcPr>
          <w:p>
            <w:pPr>
              <w:spacing w:after="0"/>
              <w:rPr>
                <w:sz w:val="16"/>
                <w:szCs w:val="16"/>
                <w:color w:val="auto"/>
              </w:rPr>
            </w:pPr>
          </w:p>
        </w:tc>
        <w:tc>
          <w:tcPr>
            <w:tcW w:w="100" w:type="dxa"/>
            <w:vAlign w:val="bottom"/>
            <w:shd w:val="clear" w:color="auto" w:fill="62259D"/>
          </w:tcPr>
          <w:p>
            <w:pPr>
              <w:spacing w:after="0"/>
              <w:rPr>
                <w:sz w:val="16"/>
                <w:szCs w:val="16"/>
                <w:color w:val="auto"/>
              </w:rPr>
            </w:pPr>
          </w:p>
        </w:tc>
        <w:tc>
          <w:tcPr>
            <w:tcW w:w="500" w:type="dxa"/>
            <w:vAlign w:val="bottom"/>
            <w:shd w:val="clear" w:color="auto" w:fill="62259D"/>
          </w:tcPr>
          <w:p>
            <w:pPr>
              <w:spacing w:after="0"/>
              <w:rPr>
                <w:sz w:val="16"/>
                <w:szCs w:val="16"/>
                <w:color w:val="auto"/>
              </w:rPr>
            </w:pPr>
          </w:p>
        </w:tc>
        <w:tc>
          <w:tcPr>
            <w:tcW w:w="300" w:type="dxa"/>
            <w:vAlign w:val="bottom"/>
            <w:shd w:val="clear" w:color="auto" w:fill="62259D"/>
          </w:tcPr>
          <w:p>
            <w:pPr>
              <w:spacing w:after="0"/>
              <w:rPr>
                <w:sz w:val="16"/>
                <w:szCs w:val="16"/>
                <w:color w:val="auto"/>
              </w:rPr>
            </w:pPr>
          </w:p>
        </w:tc>
        <w:tc>
          <w:tcPr>
            <w:tcW w:w="1220" w:type="dxa"/>
            <w:vAlign w:val="bottom"/>
            <w:gridSpan w:val="2"/>
            <w:shd w:val="clear" w:color="auto" w:fill="62259D"/>
          </w:tcPr>
          <w:p>
            <w:pPr>
              <w:jc w:val="center"/>
              <w:spacing w:after="0"/>
              <w:rPr>
                <w:sz w:val="20"/>
                <w:szCs w:val="20"/>
                <w:color w:val="auto"/>
              </w:rPr>
            </w:pPr>
            <w:r>
              <w:rPr>
                <w:rFonts w:ascii="Arial" w:cs="Arial" w:eastAsia="Arial" w:hAnsi="Arial"/>
                <w:sz w:val="14"/>
                <w:szCs w:val="14"/>
                <w:b w:val="1"/>
                <w:bCs w:val="1"/>
                <w:color w:val="FEFEFE"/>
              </w:rPr>
              <w:t>Non-Equity</w:t>
            </w:r>
          </w:p>
        </w:tc>
        <w:tc>
          <w:tcPr>
            <w:tcW w:w="180" w:type="dxa"/>
            <w:vAlign w:val="bottom"/>
            <w:shd w:val="clear" w:color="auto" w:fill="62259D"/>
          </w:tcPr>
          <w:p>
            <w:pPr>
              <w:spacing w:after="0"/>
              <w:rPr>
                <w:sz w:val="16"/>
                <w:szCs w:val="16"/>
                <w:color w:val="auto"/>
              </w:rPr>
            </w:pPr>
          </w:p>
        </w:tc>
        <w:tc>
          <w:tcPr>
            <w:tcW w:w="420" w:type="dxa"/>
            <w:vAlign w:val="bottom"/>
            <w:shd w:val="clear" w:color="auto" w:fill="62259D"/>
          </w:tcPr>
          <w:p>
            <w:pPr>
              <w:spacing w:after="0"/>
              <w:rPr>
                <w:sz w:val="16"/>
                <w:szCs w:val="16"/>
                <w:color w:val="auto"/>
              </w:rPr>
            </w:pPr>
          </w:p>
        </w:tc>
        <w:tc>
          <w:tcPr>
            <w:tcW w:w="800" w:type="dxa"/>
            <w:vAlign w:val="bottom"/>
            <w:shd w:val="clear" w:color="auto" w:fill="62259D"/>
          </w:tcPr>
          <w:p>
            <w:pPr>
              <w:spacing w:after="0"/>
              <w:rPr>
                <w:sz w:val="16"/>
                <w:szCs w:val="16"/>
                <w:color w:val="auto"/>
              </w:rPr>
            </w:pPr>
          </w:p>
        </w:tc>
        <w:tc>
          <w:tcPr>
            <w:tcW w:w="280" w:type="dxa"/>
            <w:vAlign w:val="bottom"/>
            <w:shd w:val="clear" w:color="auto" w:fill="62259D"/>
          </w:tcPr>
          <w:p>
            <w:pPr>
              <w:spacing w:after="0"/>
              <w:rPr>
                <w:sz w:val="16"/>
                <w:szCs w:val="16"/>
                <w:color w:val="auto"/>
              </w:rPr>
            </w:pPr>
          </w:p>
        </w:tc>
        <w:tc>
          <w:tcPr>
            <w:tcW w:w="740" w:type="dxa"/>
            <w:vAlign w:val="bottom"/>
            <w:shd w:val="clear" w:color="auto" w:fill="62259D"/>
          </w:tcPr>
          <w:p>
            <w:pPr>
              <w:spacing w:after="0"/>
              <w:rPr>
                <w:sz w:val="16"/>
                <w:szCs w:val="16"/>
                <w:color w:val="auto"/>
              </w:rPr>
            </w:pPr>
          </w:p>
        </w:tc>
        <w:tc>
          <w:tcPr>
            <w:tcW w:w="60" w:type="dxa"/>
            <w:vAlign w:val="bottom"/>
            <w:shd w:val="clear" w:color="auto" w:fill="62259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0" w:type="dxa"/>
            <w:vAlign w:val="bottom"/>
            <w:shd w:val="clear" w:color="auto" w:fill="62259D"/>
          </w:tcPr>
          <w:p>
            <w:pPr>
              <w:spacing w:after="0"/>
              <w:rPr>
                <w:sz w:val="14"/>
                <w:szCs w:val="14"/>
                <w:color w:val="auto"/>
              </w:rPr>
            </w:pPr>
          </w:p>
        </w:tc>
        <w:tc>
          <w:tcPr>
            <w:tcW w:w="2060" w:type="dxa"/>
            <w:vAlign w:val="bottom"/>
            <w:shd w:val="clear" w:color="auto" w:fill="62259D"/>
          </w:tcPr>
          <w:p>
            <w:pPr>
              <w:spacing w:after="0"/>
              <w:rPr>
                <w:sz w:val="14"/>
                <w:szCs w:val="14"/>
                <w:color w:val="auto"/>
              </w:rPr>
            </w:pPr>
          </w:p>
        </w:tc>
        <w:tc>
          <w:tcPr>
            <w:tcW w:w="100" w:type="dxa"/>
            <w:vAlign w:val="bottom"/>
            <w:shd w:val="clear" w:color="auto" w:fill="62259D"/>
          </w:tcPr>
          <w:p>
            <w:pPr>
              <w:spacing w:after="0"/>
              <w:rPr>
                <w:sz w:val="14"/>
                <w:szCs w:val="14"/>
                <w:color w:val="auto"/>
              </w:rPr>
            </w:pPr>
          </w:p>
        </w:tc>
        <w:tc>
          <w:tcPr>
            <w:tcW w:w="1120" w:type="dxa"/>
            <w:vAlign w:val="bottom"/>
            <w:shd w:val="clear" w:color="auto" w:fill="62259D"/>
          </w:tcPr>
          <w:p>
            <w:pPr>
              <w:spacing w:after="0"/>
              <w:rPr>
                <w:sz w:val="14"/>
                <w:szCs w:val="14"/>
                <w:color w:val="auto"/>
              </w:rPr>
            </w:pPr>
          </w:p>
        </w:tc>
        <w:tc>
          <w:tcPr>
            <w:tcW w:w="160" w:type="dxa"/>
            <w:vAlign w:val="bottom"/>
            <w:shd w:val="clear" w:color="auto" w:fill="62259D"/>
          </w:tcPr>
          <w:p>
            <w:pPr>
              <w:spacing w:after="0"/>
              <w:rPr>
                <w:sz w:val="14"/>
                <w:szCs w:val="14"/>
                <w:color w:val="auto"/>
              </w:rPr>
            </w:pPr>
          </w:p>
        </w:tc>
        <w:tc>
          <w:tcPr>
            <w:tcW w:w="400" w:type="dxa"/>
            <w:vAlign w:val="bottom"/>
            <w:shd w:val="clear" w:color="auto" w:fill="62259D"/>
          </w:tcPr>
          <w:p>
            <w:pPr>
              <w:spacing w:after="0"/>
              <w:rPr>
                <w:sz w:val="14"/>
                <w:szCs w:val="14"/>
                <w:color w:val="auto"/>
              </w:rPr>
            </w:pPr>
          </w:p>
        </w:tc>
        <w:tc>
          <w:tcPr>
            <w:tcW w:w="200" w:type="dxa"/>
            <w:vAlign w:val="bottom"/>
            <w:shd w:val="clear" w:color="auto" w:fill="62259D"/>
          </w:tcPr>
          <w:p>
            <w:pPr>
              <w:spacing w:after="0"/>
              <w:rPr>
                <w:sz w:val="14"/>
                <w:szCs w:val="14"/>
                <w:color w:val="auto"/>
              </w:rPr>
            </w:pPr>
          </w:p>
        </w:tc>
        <w:tc>
          <w:tcPr>
            <w:tcW w:w="160" w:type="dxa"/>
            <w:vAlign w:val="bottom"/>
            <w:shd w:val="clear" w:color="auto" w:fill="62259D"/>
          </w:tcPr>
          <w:p>
            <w:pPr>
              <w:spacing w:after="0"/>
              <w:rPr>
                <w:sz w:val="14"/>
                <w:szCs w:val="14"/>
                <w:color w:val="auto"/>
              </w:rPr>
            </w:pPr>
          </w:p>
        </w:tc>
        <w:tc>
          <w:tcPr>
            <w:tcW w:w="100" w:type="dxa"/>
            <w:vAlign w:val="bottom"/>
            <w:shd w:val="clear" w:color="auto" w:fill="62259D"/>
          </w:tcPr>
          <w:p>
            <w:pPr>
              <w:spacing w:after="0"/>
              <w:rPr>
                <w:sz w:val="14"/>
                <w:szCs w:val="14"/>
                <w:color w:val="auto"/>
              </w:rPr>
            </w:pPr>
          </w:p>
        </w:tc>
        <w:tc>
          <w:tcPr>
            <w:tcW w:w="500" w:type="dxa"/>
            <w:vAlign w:val="bottom"/>
            <w:shd w:val="clear" w:color="auto" w:fill="62259D"/>
          </w:tcPr>
          <w:p>
            <w:pPr>
              <w:jc w:val="center"/>
              <w:spacing w:after="0"/>
              <w:rPr>
                <w:sz w:val="20"/>
                <w:szCs w:val="20"/>
                <w:color w:val="auto"/>
              </w:rPr>
            </w:pPr>
            <w:r>
              <w:rPr>
                <w:rFonts w:ascii="Arial" w:cs="Arial" w:eastAsia="Arial" w:hAnsi="Arial"/>
                <w:sz w:val="14"/>
                <w:szCs w:val="14"/>
                <w:b w:val="1"/>
                <w:bCs w:val="1"/>
                <w:color w:val="FEFEFE"/>
              </w:rPr>
              <w:t>Stock</w:t>
            </w:r>
          </w:p>
        </w:tc>
        <w:tc>
          <w:tcPr>
            <w:tcW w:w="300" w:type="dxa"/>
            <w:vAlign w:val="bottom"/>
            <w:shd w:val="clear" w:color="auto" w:fill="62259D"/>
          </w:tcPr>
          <w:p>
            <w:pPr>
              <w:spacing w:after="0"/>
              <w:rPr>
                <w:sz w:val="14"/>
                <w:szCs w:val="14"/>
                <w:color w:val="auto"/>
              </w:rPr>
            </w:pPr>
          </w:p>
        </w:tc>
        <w:tc>
          <w:tcPr>
            <w:tcW w:w="1220" w:type="dxa"/>
            <w:vAlign w:val="bottom"/>
            <w:gridSpan w:val="2"/>
            <w:shd w:val="clear" w:color="auto" w:fill="62259D"/>
          </w:tcPr>
          <w:p>
            <w:pPr>
              <w:jc w:val="center"/>
              <w:spacing w:after="0"/>
              <w:rPr>
                <w:sz w:val="20"/>
                <w:szCs w:val="20"/>
                <w:color w:val="auto"/>
              </w:rPr>
            </w:pPr>
            <w:r>
              <w:rPr>
                <w:rFonts w:ascii="Arial" w:cs="Arial" w:eastAsia="Arial" w:hAnsi="Arial"/>
                <w:sz w:val="14"/>
                <w:szCs w:val="14"/>
                <w:b w:val="1"/>
                <w:bCs w:val="1"/>
                <w:color w:val="FEFEFE"/>
              </w:rPr>
              <w:t>Incentive Plan</w:t>
            </w:r>
          </w:p>
        </w:tc>
        <w:tc>
          <w:tcPr>
            <w:tcW w:w="180" w:type="dxa"/>
            <w:vAlign w:val="bottom"/>
            <w:shd w:val="clear" w:color="auto" w:fill="62259D"/>
          </w:tcPr>
          <w:p>
            <w:pPr>
              <w:spacing w:after="0"/>
              <w:rPr>
                <w:sz w:val="14"/>
                <w:szCs w:val="14"/>
                <w:color w:val="auto"/>
              </w:rPr>
            </w:pPr>
          </w:p>
        </w:tc>
        <w:tc>
          <w:tcPr>
            <w:tcW w:w="1220" w:type="dxa"/>
            <w:vAlign w:val="bottom"/>
            <w:gridSpan w:val="2"/>
            <w:shd w:val="clear" w:color="auto" w:fill="62259D"/>
          </w:tcPr>
          <w:p>
            <w:pPr>
              <w:jc w:val="right"/>
              <w:ind w:right="212"/>
              <w:spacing w:after="0"/>
              <w:rPr>
                <w:sz w:val="20"/>
                <w:szCs w:val="20"/>
                <w:color w:val="auto"/>
              </w:rPr>
            </w:pPr>
            <w:r>
              <w:rPr>
                <w:rFonts w:ascii="Arial" w:cs="Arial" w:eastAsia="Arial" w:hAnsi="Arial"/>
                <w:sz w:val="14"/>
                <w:szCs w:val="14"/>
                <w:b w:val="1"/>
                <w:bCs w:val="1"/>
                <w:color w:val="FEFEFE"/>
              </w:rPr>
              <w:t>All Other</w:t>
            </w:r>
          </w:p>
        </w:tc>
        <w:tc>
          <w:tcPr>
            <w:tcW w:w="280" w:type="dxa"/>
            <w:vAlign w:val="bottom"/>
            <w:shd w:val="clear" w:color="auto" w:fill="62259D"/>
          </w:tcPr>
          <w:p>
            <w:pPr>
              <w:spacing w:after="0"/>
              <w:rPr>
                <w:sz w:val="14"/>
                <w:szCs w:val="14"/>
                <w:color w:val="auto"/>
              </w:rPr>
            </w:pPr>
          </w:p>
        </w:tc>
        <w:tc>
          <w:tcPr>
            <w:tcW w:w="740" w:type="dxa"/>
            <w:vAlign w:val="bottom"/>
            <w:shd w:val="clear" w:color="auto" w:fill="62259D"/>
          </w:tcPr>
          <w:p>
            <w:pPr>
              <w:spacing w:after="0"/>
              <w:rPr>
                <w:sz w:val="14"/>
                <w:szCs w:val="14"/>
                <w:color w:val="auto"/>
              </w:rPr>
            </w:pPr>
          </w:p>
        </w:tc>
        <w:tc>
          <w:tcPr>
            <w:tcW w:w="60" w:type="dxa"/>
            <w:vAlign w:val="bottom"/>
            <w:shd w:val="clear" w:color="auto" w:fill="62259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shd w:val="clear" w:color="auto" w:fill="62259D"/>
          </w:tcPr>
          <w:p>
            <w:pPr>
              <w:spacing w:after="0"/>
              <w:rPr>
                <w:sz w:val="15"/>
                <w:szCs w:val="15"/>
                <w:color w:val="auto"/>
              </w:rPr>
            </w:pPr>
          </w:p>
        </w:tc>
        <w:tc>
          <w:tcPr>
            <w:tcW w:w="2060" w:type="dxa"/>
            <w:vAlign w:val="bottom"/>
            <w:shd w:val="clear" w:color="auto" w:fill="62259D"/>
          </w:tcPr>
          <w:p>
            <w:pPr>
              <w:spacing w:after="0"/>
              <w:rPr>
                <w:sz w:val="15"/>
                <w:szCs w:val="15"/>
                <w:color w:val="auto"/>
              </w:rPr>
            </w:pPr>
          </w:p>
        </w:tc>
        <w:tc>
          <w:tcPr>
            <w:tcW w:w="100" w:type="dxa"/>
            <w:vAlign w:val="bottom"/>
            <w:shd w:val="clear" w:color="auto" w:fill="62259D"/>
          </w:tcPr>
          <w:p>
            <w:pPr>
              <w:spacing w:after="0"/>
              <w:rPr>
                <w:sz w:val="15"/>
                <w:szCs w:val="15"/>
                <w:color w:val="auto"/>
              </w:rPr>
            </w:pPr>
          </w:p>
        </w:tc>
        <w:tc>
          <w:tcPr>
            <w:tcW w:w="1120" w:type="dxa"/>
            <w:vAlign w:val="bottom"/>
            <w:shd w:val="clear" w:color="auto" w:fill="62259D"/>
          </w:tcPr>
          <w:p>
            <w:pPr>
              <w:jc w:val="right"/>
              <w:ind w:right="46"/>
              <w:spacing w:after="0"/>
              <w:rPr>
                <w:sz w:val="20"/>
                <w:szCs w:val="20"/>
                <w:color w:val="auto"/>
              </w:rPr>
            </w:pPr>
            <w:r>
              <w:rPr>
                <w:rFonts w:ascii="Arial" w:cs="Arial" w:eastAsia="Arial" w:hAnsi="Arial"/>
                <w:sz w:val="14"/>
                <w:szCs w:val="14"/>
                <w:b w:val="1"/>
                <w:bCs w:val="1"/>
                <w:color w:val="FEFEFE"/>
              </w:rPr>
              <w:t>Salary</w:t>
            </w:r>
          </w:p>
        </w:tc>
        <w:tc>
          <w:tcPr>
            <w:tcW w:w="160" w:type="dxa"/>
            <w:vAlign w:val="bottom"/>
            <w:shd w:val="clear" w:color="auto" w:fill="62259D"/>
          </w:tcPr>
          <w:p>
            <w:pPr>
              <w:spacing w:after="0"/>
              <w:rPr>
                <w:sz w:val="15"/>
                <w:szCs w:val="15"/>
                <w:color w:val="auto"/>
              </w:rPr>
            </w:pPr>
          </w:p>
        </w:tc>
        <w:tc>
          <w:tcPr>
            <w:tcW w:w="600" w:type="dxa"/>
            <w:vAlign w:val="bottom"/>
            <w:gridSpan w:val="2"/>
            <w:shd w:val="clear" w:color="auto" w:fill="62259D"/>
          </w:tcPr>
          <w:p>
            <w:pPr>
              <w:ind w:left="20"/>
              <w:spacing w:after="0"/>
              <w:rPr>
                <w:sz w:val="20"/>
                <w:szCs w:val="20"/>
                <w:color w:val="auto"/>
              </w:rPr>
            </w:pPr>
            <w:r>
              <w:rPr>
                <w:rFonts w:ascii="Arial" w:cs="Arial" w:eastAsia="Arial" w:hAnsi="Arial"/>
                <w:sz w:val="14"/>
                <w:szCs w:val="14"/>
                <w:b w:val="1"/>
                <w:bCs w:val="1"/>
                <w:color w:val="FEFEFE"/>
              </w:rPr>
              <w:t>Bonus</w:t>
            </w:r>
          </w:p>
        </w:tc>
        <w:tc>
          <w:tcPr>
            <w:tcW w:w="160" w:type="dxa"/>
            <w:vAlign w:val="bottom"/>
            <w:shd w:val="clear" w:color="auto" w:fill="62259D"/>
          </w:tcPr>
          <w:p>
            <w:pPr>
              <w:spacing w:after="0"/>
              <w:rPr>
                <w:sz w:val="15"/>
                <w:szCs w:val="15"/>
                <w:color w:val="auto"/>
              </w:rPr>
            </w:pPr>
          </w:p>
        </w:tc>
        <w:tc>
          <w:tcPr>
            <w:tcW w:w="900" w:type="dxa"/>
            <w:vAlign w:val="bottom"/>
            <w:gridSpan w:val="3"/>
            <w:shd w:val="clear" w:color="auto" w:fill="62259D"/>
          </w:tcPr>
          <w:p>
            <w:pPr>
              <w:jc w:val="center"/>
              <w:ind w:right="97"/>
              <w:spacing w:after="0" w:line="175" w:lineRule="exact"/>
              <w:rPr>
                <w:sz w:val="20"/>
                <w:szCs w:val="20"/>
                <w:color w:val="auto"/>
              </w:rPr>
            </w:pPr>
            <w:r>
              <w:rPr>
                <w:rFonts w:ascii="Arial" w:cs="Arial" w:eastAsia="Arial" w:hAnsi="Arial"/>
                <w:sz w:val="14"/>
                <w:szCs w:val="14"/>
                <w:b w:val="1"/>
                <w:bCs w:val="1"/>
                <w:color w:val="FEFEFE"/>
              </w:rPr>
              <w:t>Awards</w:t>
            </w:r>
            <w:r>
              <w:rPr>
                <w:rFonts w:ascii="Arial" w:cs="Arial" w:eastAsia="Arial" w:hAnsi="Arial"/>
                <w:sz w:val="17"/>
                <w:szCs w:val="17"/>
                <w:b w:val="1"/>
                <w:bCs w:val="1"/>
                <w:color w:val="FEFEFE"/>
                <w:vertAlign w:val="superscript"/>
              </w:rPr>
              <w:t>(1)</w:t>
            </w:r>
          </w:p>
        </w:tc>
        <w:tc>
          <w:tcPr>
            <w:tcW w:w="1220" w:type="dxa"/>
            <w:vAlign w:val="bottom"/>
            <w:gridSpan w:val="2"/>
            <w:shd w:val="clear" w:color="auto" w:fill="62259D"/>
          </w:tcPr>
          <w:p>
            <w:pPr>
              <w:jc w:val="center"/>
              <w:spacing w:after="0" w:line="175" w:lineRule="exact"/>
              <w:rPr>
                <w:sz w:val="20"/>
                <w:szCs w:val="20"/>
                <w:color w:val="auto"/>
              </w:rPr>
            </w:pPr>
            <w:r>
              <w:rPr>
                <w:rFonts w:ascii="Arial" w:cs="Arial" w:eastAsia="Arial" w:hAnsi="Arial"/>
                <w:sz w:val="14"/>
                <w:szCs w:val="14"/>
                <w:b w:val="1"/>
                <w:bCs w:val="1"/>
                <w:color w:val="FEFEFE"/>
              </w:rPr>
              <w:t>Compensation</w:t>
            </w:r>
            <w:r>
              <w:rPr>
                <w:rFonts w:ascii="Arial" w:cs="Arial" w:eastAsia="Arial" w:hAnsi="Arial"/>
                <w:sz w:val="17"/>
                <w:szCs w:val="17"/>
                <w:b w:val="1"/>
                <w:bCs w:val="1"/>
                <w:color w:val="FEFEFE"/>
                <w:vertAlign w:val="superscript"/>
              </w:rPr>
              <w:t>(2)</w:t>
            </w:r>
          </w:p>
        </w:tc>
        <w:tc>
          <w:tcPr>
            <w:tcW w:w="180" w:type="dxa"/>
            <w:vAlign w:val="bottom"/>
            <w:shd w:val="clear" w:color="auto" w:fill="62259D"/>
          </w:tcPr>
          <w:p>
            <w:pPr>
              <w:spacing w:after="0"/>
              <w:rPr>
                <w:sz w:val="15"/>
                <w:szCs w:val="15"/>
                <w:color w:val="auto"/>
              </w:rPr>
            </w:pPr>
          </w:p>
        </w:tc>
        <w:tc>
          <w:tcPr>
            <w:tcW w:w="1220" w:type="dxa"/>
            <w:vAlign w:val="bottom"/>
            <w:gridSpan w:val="2"/>
            <w:shd w:val="clear" w:color="auto" w:fill="62259D"/>
          </w:tcPr>
          <w:p>
            <w:pPr>
              <w:jc w:val="right"/>
              <w:spacing w:after="0" w:line="175" w:lineRule="exact"/>
              <w:rPr>
                <w:sz w:val="20"/>
                <w:szCs w:val="20"/>
                <w:color w:val="auto"/>
              </w:rPr>
            </w:pPr>
            <w:r>
              <w:rPr>
                <w:rFonts w:ascii="Arial" w:cs="Arial" w:eastAsia="Arial" w:hAnsi="Arial"/>
                <w:sz w:val="14"/>
                <w:szCs w:val="14"/>
                <w:b w:val="1"/>
                <w:bCs w:val="1"/>
                <w:color w:val="FEFEFE"/>
              </w:rPr>
              <w:t>Compensation</w:t>
            </w:r>
            <w:r>
              <w:rPr>
                <w:rFonts w:ascii="Arial" w:cs="Arial" w:eastAsia="Arial" w:hAnsi="Arial"/>
                <w:sz w:val="17"/>
                <w:szCs w:val="17"/>
                <w:b w:val="1"/>
                <w:bCs w:val="1"/>
                <w:color w:val="FEFEFE"/>
                <w:vertAlign w:val="superscript"/>
              </w:rPr>
              <w:t>(3)</w:t>
            </w:r>
          </w:p>
        </w:tc>
        <w:tc>
          <w:tcPr>
            <w:tcW w:w="280" w:type="dxa"/>
            <w:vAlign w:val="bottom"/>
            <w:shd w:val="clear" w:color="auto" w:fill="62259D"/>
          </w:tcPr>
          <w:p>
            <w:pPr>
              <w:spacing w:after="0"/>
              <w:rPr>
                <w:sz w:val="15"/>
                <w:szCs w:val="15"/>
                <w:color w:val="auto"/>
              </w:rPr>
            </w:pPr>
          </w:p>
        </w:tc>
        <w:tc>
          <w:tcPr>
            <w:tcW w:w="740" w:type="dxa"/>
            <w:vAlign w:val="bottom"/>
            <w:shd w:val="clear" w:color="auto" w:fill="62259D"/>
          </w:tcPr>
          <w:p>
            <w:pPr>
              <w:jc w:val="right"/>
              <w:ind w:right="227"/>
              <w:spacing w:after="0"/>
              <w:rPr>
                <w:sz w:val="20"/>
                <w:szCs w:val="20"/>
                <w:color w:val="auto"/>
              </w:rPr>
            </w:pPr>
            <w:r>
              <w:rPr>
                <w:rFonts w:ascii="Arial" w:cs="Arial" w:eastAsia="Arial" w:hAnsi="Arial"/>
                <w:sz w:val="14"/>
                <w:szCs w:val="14"/>
                <w:b w:val="1"/>
                <w:bCs w:val="1"/>
                <w:color w:val="FEFEFE"/>
              </w:rPr>
              <w:t>Total</w:t>
            </w:r>
          </w:p>
        </w:tc>
        <w:tc>
          <w:tcPr>
            <w:tcW w:w="60" w:type="dxa"/>
            <w:vAlign w:val="bottom"/>
            <w:shd w:val="clear" w:color="auto" w:fill="62259D"/>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 w:type="dxa"/>
            <w:vAlign w:val="bottom"/>
            <w:shd w:val="clear" w:color="auto" w:fill="62259D"/>
          </w:tcPr>
          <w:p>
            <w:pPr>
              <w:spacing w:after="0"/>
              <w:rPr>
                <w:sz w:val="16"/>
                <w:szCs w:val="16"/>
                <w:color w:val="auto"/>
              </w:rPr>
            </w:pPr>
          </w:p>
        </w:tc>
        <w:tc>
          <w:tcPr>
            <w:tcW w:w="2060" w:type="dxa"/>
            <w:vAlign w:val="bottom"/>
            <w:shd w:val="clear" w:color="auto" w:fill="62259D"/>
          </w:tcPr>
          <w:p>
            <w:pPr>
              <w:spacing w:after="0"/>
              <w:rPr>
                <w:sz w:val="20"/>
                <w:szCs w:val="20"/>
                <w:color w:val="auto"/>
              </w:rPr>
            </w:pPr>
            <w:r>
              <w:rPr>
                <w:rFonts w:ascii="Arial" w:cs="Arial" w:eastAsia="Arial" w:hAnsi="Arial"/>
                <w:sz w:val="14"/>
                <w:szCs w:val="14"/>
                <w:b w:val="1"/>
                <w:bCs w:val="1"/>
                <w:color w:val="FEFEFE"/>
              </w:rPr>
              <w:t>​Name &amp; Principal Position</w:t>
            </w:r>
          </w:p>
        </w:tc>
        <w:tc>
          <w:tcPr>
            <w:tcW w:w="1220" w:type="dxa"/>
            <w:vAlign w:val="bottom"/>
            <w:gridSpan w:val="2"/>
            <w:shd w:val="clear" w:color="auto" w:fill="62259D"/>
          </w:tcPr>
          <w:p>
            <w:pPr>
              <w:jc w:val="right"/>
              <w:ind w:right="166"/>
              <w:spacing w:after="0"/>
              <w:rPr>
                <w:sz w:val="20"/>
                <w:szCs w:val="20"/>
                <w:color w:val="auto"/>
              </w:rPr>
            </w:pPr>
            <w:r>
              <w:rPr>
                <w:rFonts w:ascii="Arial" w:cs="Arial" w:eastAsia="Arial" w:hAnsi="Arial"/>
                <w:sz w:val="14"/>
                <w:szCs w:val="14"/>
                <w:b w:val="1"/>
                <w:bCs w:val="1"/>
                <w:color w:val="FEFEFE"/>
              </w:rPr>
              <w:t>​ ​Year ​ ​  ($)</w:t>
            </w:r>
          </w:p>
        </w:tc>
        <w:tc>
          <w:tcPr>
            <w:tcW w:w="160" w:type="dxa"/>
            <w:vAlign w:val="bottom"/>
            <w:shd w:val="clear" w:color="auto" w:fill="62259D"/>
          </w:tcPr>
          <w:p>
            <w:pPr>
              <w:jc w:val="right"/>
              <w:spacing w:after="0"/>
              <w:rPr>
                <w:sz w:val="20"/>
                <w:szCs w:val="20"/>
                <w:color w:val="auto"/>
              </w:rPr>
            </w:pPr>
            <w:r>
              <w:rPr>
                <w:rFonts w:ascii="Arial" w:cs="Arial" w:eastAsia="Arial" w:hAnsi="Arial"/>
                <w:sz w:val="14"/>
                <w:szCs w:val="14"/>
                <w:b w:val="1"/>
                <w:bCs w:val="1"/>
                <w:color w:val="FEFEFE"/>
              </w:rPr>
              <w:t>​ ​</w:t>
            </w:r>
          </w:p>
        </w:tc>
        <w:tc>
          <w:tcPr>
            <w:tcW w:w="400" w:type="dxa"/>
            <w:vAlign w:val="bottom"/>
            <w:shd w:val="clear" w:color="auto" w:fill="62259D"/>
          </w:tcPr>
          <w:p>
            <w:pPr>
              <w:ind w:left="180"/>
              <w:spacing w:after="0"/>
              <w:rPr>
                <w:sz w:val="20"/>
                <w:szCs w:val="20"/>
                <w:color w:val="auto"/>
              </w:rPr>
            </w:pPr>
            <w:r>
              <w:rPr>
                <w:rFonts w:ascii="Arial" w:cs="Arial" w:eastAsia="Arial" w:hAnsi="Arial"/>
                <w:sz w:val="14"/>
                <w:szCs w:val="14"/>
                <w:b w:val="1"/>
                <w:bCs w:val="1"/>
                <w:color w:val="FEFEFE"/>
              </w:rPr>
              <w:t>($)</w:t>
            </w:r>
          </w:p>
        </w:tc>
        <w:tc>
          <w:tcPr>
            <w:tcW w:w="200" w:type="dxa"/>
            <w:vAlign w:val="bottom"/>
            <w:shd w:val="clear" w:color="auto" w:fill="62259D"/>
          </w:tcPr>
          <w:p>
            <w:pPr>
              <w:spacing w:after="0"/>
              <w:rPr>
                <w:sz w:val="16"/>
                <w:szCs w:val="16"/>
                <w:color w:val="auto"/>
              </w:rPr>
            </w:pPr>
          </w:p>
        </w:tc>
        <w:tc>
          <w:tcPr>
            <w:tcW w:w="160" w:type="dxa"/>
            <w:vAlign w:val="bottom"/>
            <w:shd w:val="clear" w:color="auto" w:fill="62259D"/>
          </w:tcPr>
          <w:p>
            <w:pPr>
              <w:jc w:val="right"/>
              <w:spacing w:after="0"/>
              <w:rPr>
                <w:sz w:val="20"/>
                <w:szCs w:val="20"/>
                <w:color w:val="auto"/>
              </w:rPr>
            </w:pPr>
            <w:r>
              <w:rPr>
                <w:rFonts w:ascii="Arial" w:cs="Arial" w:eastAsia="Arial" w:hAnsi="Arial"/>
                <w:sz w:val="14"/>
                <w:szCs w:val="14"/>
                <w:b w:val="1"/>
                <w:bCs w:val="1"/>
                <w:color w:val="FEFEFE"/>
              </w:rPr>
              <w:t>​ ​</w:t>
            </w:r>
          </w:p>
        </w:tc>
        <w:tc>
          <w:tcPr>
            <w:tcW w:w="100" w:type="dxa"/>
            <w:vAlign w:val="bottom"/>
            <w:shd w:val="clear" w:color="auto" w:fill="62259D"/>
          </w:tcPr>
          <w:p>
            <w:pPr>
              <w:spacing w:after="0"/>
              <w:rPr>
                <w:sz w:val="16"/>
                <w:szCs w:val="16"/>
                <w:color w:val="auto"/>
              </w:rPr>
            </w:pPr>
          </w:p>
        </w:tc>
        <w:tc>
          <w:tcPr>
            <w:tcW w:w="500" w:type="dxa"/>
            <w:vAlign w:val="bottom"/>
            <w:shd w:val="clear" w:color="auto" w:fill="62259D"/>
          </w:tcPr>
          <w:p>
            <w:pPr>
              <w:jc w:val="center"/>
              <w:spacing w:after="0"/>
              <w:rPr>
                <w:sz w:val="20"/>
                <w:szCs w:val="20"/>
                <w:color w:val="auto"/>
              </w:rPr>
            </w:pPr>
            <w:r>
              <w:rPr>
                <w:rFonts w:ascii="Arial" w:cs="Arial" w:eastAsia="Arial" w:hAnsi="Arial"/>
                <w:sz w:val="14"/>
                <w:szCs w:val="14"/>
                <w:b w:val="1"/>
                <w:bCs w:val="1"/>
                <w:color w:val="FEFEFE"/>
              </w:rPr>
              <w:t>($)</w:t>
            </w:r>
          </w:p>
        </w:tc>
        <w:tc>
          <w:tcPr>
            <w:tcW w:w="300" w:type="dxa"/>
            <w:vAlign w:val="bottom"/>
            <w:shd w:val="clear" w:color="auto" w:fill="62259D"/>
          </w:tcPr>
          <w:p>
            <w:pPr>
              <w:jc w:val="right"/>
              <w:spacing w:after="0"/>
              <w:rPr>
                <w:sz w:val="20"/>
                <w:szCs w:val="20"/>
                <w:color w:val="auto"/>
              </w:rPr>
            </w:pPr>
            <w:r>
              <w:rPr>
                <w:rFonts w:ascii="Arial" w:cs="Arial" w:eastAsia="Arial" w:hAnsi="Arial"/>
                <w:sz w:val="14"/>
                <w:szCs w:val="14"/>
                <w:b w:val="1"/>
                <w:bCs w:val="1"/>
                <w:color w:val="FEFEFE"/>
              </w:rPr>
              <w:t>​ ​</w:t>
            </w:r>
          </w:p>
        </w:tc>
        <w:tc>
          <w:tcPr>
            <w:tcW w:w="420" w:type="dxa"/>
            <w:vAlign w:val="bottom"/>
            <w:shd w:val="clear" w:color="auto" w:fill="62259D"/>
          </w:tcPr>
          <w:p>
            <w:pPr>
              <w:spacing w:after="0"/>
              <w:rPr>
                <w:sz w:val="16"/>
                <w:szCs w:val="16"/>
                <w:color w:val="auto"/>
              </w:rPr>
            </w:pPr>
          </w:p>
        </w:tc>
        <w:tc>
          <w:tcPr>
            <w:tcW w:w="800" w:type="dxa"/>
            <w:vAlign w:val="bottom"/>
            <w:shd w:val="clear" w:color="auto" w:fill="62259D"/>
          </w:tcPr>
          <w:p>
            <w:pPr>
              <w:jc w:val="right"/>
              <w:ind w:right="436"/>
              <w:spacing w:after="0"/>
              <w:rPr>
                <w:sz w:val="20"/>
                <w:szCs w:val="20"/>
                <w:color w:val="auto"/>
              </w:rPr>
            </w:pPr>
            <w:r>
              <w:rPr>
                <w:rFonts w:ascii="Arial" w:cs="Arial" w:eastAsia="Arial" w:hAnsi="Arial"/>
                <w:sz w:val="14"/>
                <w:szCs w:val="14"/>
                <w:b w:val="1"/>
                <w:bCs w:val="1"/>
                <w:color w:val="FEFEFE"/>
              </w:rPr>
              <w:t>($)</w:t>
            </w:r>
          </w:p>
        </w:tc>
        <w:tc>
          <w:tcPr>
            <w:tcW w:w="180" w:type="dxa"/>
            <w:vAlign w:val="bottom"/>
            <w:shd w:val="clear" w:color="auto" w:fill="62259D"/>
          </w:tcPr>
          <w:p>
            <w:pPr>
              <w:ind w:left="80"/>
              <w:spacing w:after="0"/>
              <w:rPr>
                <w:sz w:val="20"/>
                <w:szCs w:val="20"/>
                <w:color w:val="auto"/>
              </w:rPr>
            </w:pPr>
            <w:r>
              <w:rPr>
                <w:rFonts w:ascii="Arial" w:cs="Arial" w:eastAsia="Arial" w:hAnsi="Arial"/>
                <w:sz w:val="14"/>
                <w:szCs w:val="14"/>
                <w:b w:val="1"/>
                <w:bCs w:val="1"/>
                <w:color w:val="FEFEFE"/>
              </w:rPr>
              <w:t>​ ​</w:t>
            </w:r>
          </w:p>
        </w:tc>
        <w:tc>
          <w:tcPr>
            <w:tcW w:w="420" w:type="dxa"/>
            <w:vAlign w:val="bottom"/>
            <w:shd w:val="clear" w:color="auto" w:fill="62259D"/>
          </w:tcPr>
          <w:p>
            <w:pPr>
              <w:spacing w:after="0"/>
              <w:rPr>
                <w:sz w:val="16"/>
                <w:szCs w:val="16"/>
                <w:color w:val="auto"/>
              </w:rPr>
            </w:pPr>
          </w:p>
        </w:tc>
        <w:tc>
          <w:tcPr>
            <w:tcW w:w="800" w:type="dxa"/>
            <w:vAlign w:val="bottom"/>
            <w:shd w:val="clear" w:color="auto" w:fill="62259D"/>
          </w:tcPr>
          <w:p>
            <w:pPr>
              <w:jc w:val="right"/>
              <w:ind w:right="432"/>
              <w:spacing w:after="0"/>
              <w:rPr>
                <w:sz w:val="20"/>
                <w:szCs w:val="20"/>
                <w:color w:val="auto"/>
              </w:rPr>
            </w:pPr>
            <w:r>
              <w:rPr>
                <w:rFonts w:ascii="Arial" w:cs="Arial" w:eastAsia="Arial" w:hAnsi="Arial"/>
                <w:sz w:val="14"/>
                <w:szCs w:val="14"/>
                <w:b w:val="1"/>
                <w:bCs w:val="1"/>
                <w:color w:val="FEFEFE"/>
              </w:rPr>
              <w:t>($)</w:t>
            </w:r>
          </w:p>
        </w:tc>
        <w:tc>
          <w:tcPr>
            <w:tcW w:w="280" w:type="dxa"/>
            <w:vAlign w:val="bottom"/>
            <w:shd w:val="clear" w:color="auto" w:fill="62259D"/>
          </w:tcPr>
          <w:p>
            <w:pPr>
              <w:jc w:val="center"/>
              <w:spacing w:after="0"/>
              <w:rPr>
                <w:sz w:val="20"/>
                <w:szCs w:val="20"/>
                <w:color w:val="auto"/>
              </w:rPr>
            </w:pPr>
            <w:r>
              <w:rPr>
                <w:rFonts w:ascii="Arial" w:cs="Arial" w:eastAsia="Arial" w:hAnsi="Arial"/>
                <w:sz w:val="14"/>
                <w:szCs w:val="14"/>
                <w:b w:val="1"/>
                <w:bCs w:val="1"/>
                <w:color w:val="FEFEFE"/>
              </w:rPr>
              <w:t>​ ​</w:t>
            </w:r>
          </w:p>
        </w:tc>
        <w:tc>
          <w:tcPr>
            <w:tcW w:w="740" w:type="dxa"/>
            <w:vAlign w:val="bottom"/>
            <w:shd w:val="clear" w:color="auto" w:fill="62259D"/>
          </w:tcPr>
          <w:p>
            <w:pPr>
              <w:jc w:val="right"/>
              <w:ind w:right="287"/>
              <w:spacing w:after="0"/>
              <w:rPr>
                <w:sz w:val="20"/>
                <w:szCs w:val="20"/>
                <w:color w:val="auto"/>
              </w:rPr>
            </w:pPr>
            <w:r>
              <w:rPr>
                <w:rFonts w:ascii="Arial" w:cs="Arial" w:eastAsia="Arial" w:hAnsi="Arial"/>
                <w:sz w:val="14"/>
                <w:szCs w:val="14"/>
                <w:b w:val="1"/>
                <w:bCs w:val="1"/>
                <w:color w:val="FEFEFE"/>
              </w:rPr>
              <w:t>($)</w:t>
            </w:r>
          </w:p>
        </w:tc>
        <w:tc>
          <w:tcPr>
            <w:tcW w:w="60" w:type="dxa"/>
            <w:vAlign w:val="bottom"/>
            <w:shd w:val="clear" w:color="auto" w:fill="62259D"/>
          </w:tcPr>
          <w:p>
            <w:pPr>
              <w:jc w:val="right"/>
              <w:spacing w:after="0"/>
              <w:rPr>
                <w:sz w:val="20"/>
                <w:szCs w:val="20"/>
                <w:color w:val="auto"/>
              </w:rPr>
            </w:pPr>
            <w:r>
              <w:rPr>
                <w:rFonts w:ascii="Arial" w:cs="Arial" w:eastAsia="Arial" w:hAnsi="Arial"/>
                <w:sz w:val="14"/>
                <w:szCs w:val="14"/>
                <w:b w:val="1"/>
                <w:bCs w:val="1"/>
                <w:color w:val="FEFEFE"/>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2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Bruce McClelland</w:t>
            </w:r>
            <w:r>
              <w:rPr>
                <w:rFonts w:ascii="Arial" w:cs="Arial" w:eastAsia="Arial" w:hAnsi="Arial"/>
                <w:sz w:val="14"/>
                <w:szCs w:val="14"/>
                <w:color w:val="auto"/>
              </w:rPr>
              <w:t>,</w:t>
            </w:r>
          </w:p>
        </w:tc>
        <w:tc>
          <w:tcPr>
            <w:tcW w:w="1220" w:type="dxa"/>
            <w:vAlign w:val="bottom"/>
            <w:gridSpan w:val="2"/>
            <w:vMerge w:val="restart"/>
          </w:tcPr>
          <w:p>
            <w:pPr>
              <w:jc w:val="right"/>
              <w:spacing w:after="0" w:line="166" w:lineRule="exact"/>
              <w:rPr>
                <w:sz w:val="20"/>
                <w:szCs w:val="20"/>
                <w:color w:val="auto"/>
              </w:rPr>
            </w:pPr>
            <w:r>
              <w:rPr>
                <w:rFonts w:ascii="Arial" w:cs="Arial" w:eastAsia="Arial" w:hAnsi="Arial"/>
                <w:sz w:val="19"/>
                <w:szCs w:val="19"/>
                <w:color w:val="auto"/>
                <w:vertAlign w:val="superscript"/>
              </w:rPr>
              <w:t>​ ​ ​</w:t>
            </w:r>
            <w:r>
              <w:rPr>
                <w:rFonts w:ascii="Arial" w:cs="Arial" w:eastAsia="Arial" w:hAnsi="Arial"/>
                <w:sz w:val="11"/>
                <w:szCs w:val="11"/>
                <w:color w:val="auto"/>
              </w:rPr>
              <w:t>​2025</w:t>
            </w:r>
            <w:r>
              <w:rPr>
                <w:rFonts w:ascii="Arial" w:cs="Arial" w:eastAsia="Arial" w:hAnsi="Arial"/>
                <w:sz w:val="19"/>
                <w:szCs w:val="19"/>
                <w:color w:val="auto"/>
                <w:vertAlign w:val="superscript"/>
              </w:rPr>
              <w:t>​ ​ ​</w:t>
            </w:r>
            <w:r>
              <w:rPr>
                <w:rFonts w:ascii="Arial" w:cs="Arial" w:eastAsia="Arial" w:hAnsi="Arial"/>
                <w:sz w:val="11"/>
                <w:szCs w:val="11"/>
                <w:color w:val="auto"/>
              </w:rPr>
              <w:t>​750,000</w:t>
            </w:r>
            <w:r>
              <w:rPr>
                <w:rFonts w:ascii="Arial" w:cs="Arial" w:eastAsia="Arial" w:hAnsi="Arial"/>
                <w:sz w:val="19"/>
                <w:szCs w:val="19"/>
                <w:color w:val="auto"/>
                <w:vertAlign w:val="superscript"/>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7"/>
                <w:szCs w:val="7"/>
                <w:color w:val="auto"/>
              </w:rPr>
            </w:pPr>
          </w:p>
        </w:tc>
        <w:tc>
          <w:tcPr>
            <w:tcW w:w="360" w:type="dxa"/>
            <w:vAlign w:val="bottom"/>
            <w:gridSpan w:val="2"/>
          </w:tcPr>
          <w:p>
            <w:pPr>
              <w:jc w:val="right"/>
              <w:ind w:right="28"/>
              <w:spacing w:after="0" w:line="81" w:lineRule="exact"/>
              <w:rPr>
                <w:sz w:val="20"/>
                <w:szCs w:val="20"/>
                <w:color w:val="auto"/>
              </w:rPr>
            </w:pPr>
            <w:r>
              <w:rPr>
                <w:rFonts w:ascii="Arial" w:cs="Arial" w:eastAsia="Arial" w:hAnsi="Arial"/>
                <w:sz w:val="9"/>
                <w:szCs w:val="9"/>
                <w:color w:val="auto"/>
              </w:rPr>
              <w:t>(4)</w:t>
            </w:r>
          </w:p>
        </w:tc>
        <w:tc>
          <w:tcPr>
            <w:tcW w:w="900" w:type="dxa"/>
            <w:vAlign w:val="bottom"/>
            <w:gridSpan w:val="3"/>
            <w:vMerge w:val="restart"/>
          </w:tcPr>
          <w:p>
            <w:pPr>
              <w:jc w:val="right"/>
              <w:spacing w:after="0" w:line="166"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​16,370,820</w:t>
            </w:r>
            <w:r>
              <w:rPr>
                <w:rFonts w:ascii="Arial" w:cs="Arial" w:eastAsia="Arial" w:hAnsi="Arial"/>
                <w:sz w:val="19"/>
                <w:szCs w:val="19"/>
                <w:color w:val="auto"/>
                <w:vertAlign w:val="superscript"/>
              </w:rPr>
              <w:t>​ ​</w:t>
            </w:r>
          </w:p>
        </w:tc>
        <w:tc>
          <w:tcPr>
            <w:tcW w:w="1220" w:type="dxa"/>
            <w:vAlign w:val="bottom"/>
            <w:gridSpan w:val="2"/>
            <w:vMerge w:val="restart"/>
          </w:tcPr>
          <w:p>
            <w:pPr>
              <w:jc w:val="right"/>
              <w:ind w:right="256"/>
              <w:spacing w:after="0" w:line="166"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​225,188</w:t>
            </w:r>
          </w:p>
        </w:tc>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420" w:type="dxa"/>
            <w:vAlign w:val="bottom"/>
            <w:vMerge w:val="restart"/>
          </w:tcPr>
          <w:p>
            <w:pPr>
              <w:ind w:left="320"/>
              <w:spacing w:after="0" w:line="166"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color w:val="auto"/>
              </w:rPr>
              <w:t>29,227</w:t>
            </w:r>
          </w:p>
        </w:tc>
        <w:tc>
          <w:tcPr>
            <w:tcW w:w="1020" w:type="dxa"/>
            <w:vAlign w:val="bottom"/>
            <w:gridSpan w:val="2"/>
            <w:vMerge w:val="restart"/>
          </w:tcPr>
          <w:p>
            <w:pPr>
              <w:jc w:val="right"/>
              <w:spacing w:after="0" w:line="166" w:lineRule="exact"/>
              <w:rPr>
                <w:sz w:val="20"/>
                <w:szCs w:val="20"/>
                <w:color w:val="auto"/>
              </w:rPr>
            </w:pPr>
            <w:r>
              <w:rPr>
                <w:rFonts w:ascii="Arial" w:cs="Arial" w:eastAsia="Arial" w:hAnsi="Arial"/>
                <w:sz w:val="19"/>
                <w:szCs w:val="19"/>
                <w:color w:val="auto"/>
                <w:vertAlign w:val="superscript"/>
              </w:rPr>
              <w:t>​​ ​ ​</w:t>
            </w:r>
            <w:r>
              <w:rPr>
                <w:rFonts w:ascii="Arial" w:cs="Arial" w:eastAsia="Arial" w:hAnsi="Arial"/>
                <w:sz w:val="11"/>
                <w:szCs w:val="11"/>
                <w:color w:val="auto"/>
              </w:rPr>
              <w:t>​17,457,675</w:t>
            </w:r>
            <w:r>
              <w:rPr>
                <w:rFonts w:ascii="Arial" w:cs="Arial" w:eastAsia="Arial" w:hAnsi="Arial"/>
                <w:sz w:val="19"/>
                <w:szCs w:val="19"/>
                <w:color w:val="auto"/>
                <w:vertAlign w:val="superscript"/>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0" w:type="dxa"/>
            <w:vAlign w:val="bottom"/>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gridSpan w:val="3"/>
          </w:tcPr>
          <w:p>
            <w:pPr>
              <w:jc w:val="right"/>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 82,440</w:t>
            </w:r>
            <w:r>
              <w:rPr>
                <w:rFonts w:ascii="Arial" w:cs="Arial" w:eastAsia="Arial" w:hAnsi="Arial"/>
                <w:sz w:val="9"/>
                <w:szCs w:val="9"/>
                <w:color w:val="auto"/>
                <w:vertAlign w:val="superscript"/>
              </w:rPr>
              <w:t>​ ​</w:t>
            </w:r>
          </w:p>
        </w:tc>
        <w:tc>
          <w:tcPr>
            <w:tcW w:w="900" w:type="dxa"/>
            <w:vAlign w:val="bottom"/>
            <w:gridSpan w:val="3"/>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President and Chief</w:t>
            </w:r>
          </w:p>
        </w:tc>
        <w:tc>
          <w:tcPr>
            <w:tcW w:w="100" w:type="dxa"/>
            <w:vAlign w:val="bottom"/>
          </w:tcPr>
          <w:p>
            <w:pPr>
              <w:spacing w:after="0" w:line="20" w:lineRule="exact"/>
              <w:rPr>
                <w:sz w:val="1"/>
                <w:szCs w:val="1"/>
                <w:color w:val="auto"/>
              </w:rPr>
            </w:pPr>
          </w:p>
        </w:tc>
        <w:tc>
          <w:tcPr>
            <w:tcW w:w="1280" w:type="dxa"/>
            <w:vAlign w:val="bottom"/>
            <w:tcBorders>
              <w:bottom w:val="single" w:sz="8" w:color="4C4C4C"/>
            </w:tcBorders>
            <w:gridSpan w:val="2"/>
          </w:tcPr>
          <w:p>
            <w:pPr>
              <w:spacing w:after="0" w:line="20" w:lineRule="exact"/>
              <w:rPr>
                <w:sz w:val="1"/>
                <w:szCs w:val="1"/>
                <w:color w:val="auto"/>
              </w:rPr>
            </w:pPr>
          </w:p>
        </w:tc>
        <w:tc>
          <w:tcPr>
            <w:tcW w:w="400" w:type="dxa"/>
            <w:vAlign w:val="bottom"/>
            <w:tcBorders>
              <w:bottom w:val="single" w:sz="8" w:color="4C4C4C"/>
            </w:tcBorders>
          </w:tcPr>
          <w:p>
            <w:pPr>
              <w:spacing w:after="0" w:line="20" w:lineRule="exact"/>
              <w:rPr>
                <w:sz w:val="1"/>
                <w:szCs w:val="1"/>
                <w:color w:val="auto"/>
              </w:rPr>
            </w:pPr>
          </w:p>
        </w:tc>
        <w:tc>
          <w:tcPr>
            <w:tcW w:w="360" w:type="dxa"/>
            <w:vAlign w:val="bottom"/>
            <w:tcBorders>
              <w:bottom w:val="single" w:sz="8" w:color="4C4C4C"/>
            </w:tcBorders>
            <w:gridSpan w:val="2"/>
          </w:tcPr>
          <w:p>
            <w:pPr>
              <w:spacing w:after="0" w:line="20" w:lineRule="exact"/>
              <w:rPr>
                <w:sz w:val="1"/>
                <w:szCs w:val="1"/>
                <w:color w:val="auto"/>
              </w:rPr>
            </w:pPr>
          </w:p>
        </w:tc>
        <w:tc>
          <w:tcPr>
            <w:tcW w:w="900" w:type="dxa"/>
            <w:vAlign w:val="bottom"/>
            <w:tcBorders>
              <w:bottom w:val="single" w:sz="8" w:color="4C4C4C"/>
            </w:tcBorders>
            <w:gridSpan w:val="3"/>
          </w:tcPr>
          <w:p>
            <w:pPr>
              <w:spacing w:after="0" w:line="20" w:lineRule="exact"/>
              <w:rPr>
                <w:sz w:val="1"/>
                <w:szCs w:val="1"/>
                <w:color w:val="auto"/>
              </w:rPr>
            </w:pPr>
          </w:p>
        </w:tc>
        <w:tc>
          <w:tcPr>
            <w:tcW w:w="1220" w:type="dxa"/>
            <w:vAlign w:val="bottom"/>
            <w:tcBorders>
              <w:bottom w:val="single" w:sz="8" w:color="4C4C4C"/>
            </w:tcBorders>
            <w:gridSpan w:val="2"/>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420" w:type="dxa"/>
            <w:vAlign w:val="bottom"/>
            <w:tcBorders>
              <w:bottom w:val="single" w:sz="8" w:color="4C4C4C"/>
            </w:tcBorders>
          </w:tcPr>
          <w:p>
            <w:pPr>
              <w:spacing w:after="0" w:line="20" w:lineRule="exact"/>
              <w:rPr>
                <w:sz w:val="1"/>
                <w:szCs w:val="1"/>
                <w:color w:val="auto"/>
              </w:rPr>
            </w:pPr>
          </w:p>
        </w:tc>
        <w:tc>
          <w:tcPr>
            <w:tcW w:w="800" w:type="dxa"/>
            <w:vAlign w:val="bottom"/>
            <w:tcBorders>
              <w:bottom w:val="single" w:sz="8" w:color="4C4C4C"/>
            </w:tcBorders>
          </w:tcPr>
          <w:p>
            <w:pPr>
              <w:spacing w:after="0" w:line="20" w:lineRule="exact"/>
              <w:rPr>
                <w:sz w:val="1"/>
                <w:szCs w:val="1"/>
                <w:color w:val="auto"/>
              </w:rPr>
            </w:pPr>
          </w:p>
        </w:tc>
        <w:tc>
          <w:tcPr>
            <w:tcW w:w="280" w:type="dxa"/>
            <w:vAlign w:val="bottom"/>
            <w:tcBorders>
              <w:bottom w:val="single" w:sz="8" w:color="4C4C4C"/>
            </w:tcBorders>
          </w:tcPr>
          <w:p>
            <w:pPr>
              <w:spacing w:after="0" w:line="20" w:lineRule="exact"/>
              <w:rPr>
                <w:sz w:val="1"/>
                <w:szCs w:val="1"/>
                <w:color w:val="auto"/>
              </w:rPr>
            </w:pPr>
          </w:p>
        </w:tc>
        <w:tc>
          <w:tcPr>
            <w:tcW w:w="74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spacing w:after="0" w:line="142" w:lineRule="exact"/>
              <w:rPr>
                <w:sz w:val="20"/>
                <w:szCs w:val="20"/>
                <w:color w:val="auto"/>
              </w:rPr>
            </w:pPr>
            <w:r>
              <w:rPr>
                <w:rFonts w:ascii="Arial" w:cs="Arial" w:eastAsia="Arial" w:hAnsi="Arial"/>
                <w:sz w:val="16"/>
                <w:szCs w:val="16"/>
                <w:color w:val="auto"/>
                <w:vertAlign w:val="superscript"/>
              </w:rPr>
              <w:t>​ ​</w:t>
            </w:r>
            <w:r>
              <w:rPr>
                <w:rFonts w:ascii="Arial" w:cs="Arial" w:eastAsia="Arial" w:hAnsi="Arial"/>
                <w:sz w:val="10"/>
                <w:szCs w:val="10"/>
                <w:color w:val="auto"/>
              </w:rPr>
              <w:t>​2024</w:t>
            </w:r>
            <w:r>
              <w:rPr>
                <w:rFonts w:ascii="Arial" w:cs="Arial" w:eastAsia="Arial" w:hAnsi="Arial"/>
                <w:sz w:val="16"/>
                <w:szCs w:val="16"/>
                <w:color w:val="auto"/>
                <w:vertAlign w:val="superscript"/>
              </w:rPr>
              <w:t>​ ​ ​</w:t>
            </w:r>
            <w:r>
              <w:rPr>
                <w:rFonts w:ascii="Arial" w:cs="Arial" w:eastAsia="Arial" w:hAnsi="Arial"/>
                <w:sz w:val="10"/>
                <w:szCs w:val="10"/>
                <w:color w:val="auto"/>
              </w:rPr>
              <w:t>​750,000</w:t>
            </w:r>
            <w:r>
              <w:rPr>
                <w:rFonts w:ascii="Arial" w:cs="Arial" w:eastAsia="Arial" w:hAnsi="Arial"/>
                <w:sz w:val="16"/>
                <w:szCs w:val="16"/>
                <w:color w:val="auto"/>
                <w:vertAlign w:val="superscript"/>
              </w:rPr>
              <w:t>​ ​</w:t>
            </w:r>
          </w:p>
        </w:tc>
        <w:tc>
          <w:tcPr>
            <w:tcW w:w="400" w:type="dxa"/>
            <w:vAlign w:val="bottom"/>
          </w:tcPr>
          <w:p>
            <w:pPr>
              <w:ind w:left="20"/>
              <w:spacing w:after="0" w:line="142" w:lineRule="exact"/>
              <w:rPr>
                <w:sz w:val="20"/>
                <w:szCs w:val="20"/>
                <w:color w:val="auto"/>
              </w:rPr>
            </w:pPr>
            <w:r>
              <w:rPr>
                <w:rFonts w:ascii="Arial" w:cs="Arial" w:eastAsia="Arial" w:hAnsi="Arial"/>
                <w:sz w:val="10"/>
                <w:szCs w:val="10"/>
                <w:color w:val="auto"/>
              </w:rPr>
              <w:t>​</w:t>
            </w:r>
            <w:r>
              <w:rPr>
                <w:rFonts w:ascii="Arial" w:cs="Arial" w:eastAsia="Arial" w:hAnsi="Arial"/>
                <w:sz w:val="16"/>
                <w:szCs w:val="16"/>
                <w:color w:val="auto"/>
                <w:vertAlign w:val="subscript"/>
              </w:rPr>
              <w:t>​</w:t>
            </w:r>
          </w:p>
        </w:tc>
        <w:tc>
          <w:tcPr>
            <w:tcW w:w="360" w:type="dxa"/>
            <w:vAlign w:val="bottom"/>
            <w:gridSpan w:val="2"/>
          </w:tcPr>
          <w:p>
            <w:pPr>
              <w:jc w:val="right"/>
              <w:spacing w:after="0" w:line="142"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color w:val="auto"/>
              </w:rPr>
              <w:t>​ ​</w:t>
            </w:r>
          </w:p>
        </w:tc>
        <w:tc>
          <w:tcPr>
            <w:tcW w:w="900" w:type="dxa"/>
            <w:vAlign w:val="bottom"/>
            <w:gridSpan w:val="3"/>
          </w:tcPr>
          <w:p>
            <w:pPr>
              <w:jc w:val="right"/>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 3,141,452</w:t>
            </w:r>
            <w:r>
              <w:rPr>
                <w:rFonts w:ascii="Arial" w:cs="Arial" w:eastAsia="Arial" w:hAnsi="Arial"/>
                <w:sz w:val="16"/>
                <w:szCs w:val="16"/>
                <w:color w:val="auto"/>
                <w:vertAlign w:val="superscript"/>
              </w:rPr>
              <w:t>​ ​</w:t>
            </w:r>
          </w:p>
        </w:tc>
        <w:tc>
          <w:tcPr>
            <w:tcW w:w="1220" w:type="dxa"/>
            <w:vAlign w:val="bottom"/>
            <w:gridSpan w:val="2"/>
          </w:tcPr>
          <w:p>
            <w:pPr>
              <w:jc w:val="right"/>
              <w:ind w:right="256"/>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​525,000</w:t>
            </w:r>
          </w:p>
        </w:tc>
        <w:tc>
          <w:tcPr>
            <w:tcW w:w="180" w:type="dxa"/>
            <w:vAlign w:val="bottom"/>
          </w:tcPr>
          <w:p>
            <w:pPr>
              <w:spacing w:after="0" w:line="142" w:lineRule="exact"/>
              <w:rPr>
                <w:sz w:val="20"/>
                <w:szCs w:val="20"/>
                <w:color w:val="auto"/>
              </w:rPr>
            </w:pPr>
            <w:r>
              <w:rPr>
                <w:rFonts w:ascii="Arial" w:cs="Arial" w:eastAsia="Arial" w:hAnsi="Arial"/>
                <w:sz w:val="14"/>
                <w:szCs w:val="14"/>
                <w:color w:val="auto"/>
              </w:rPr>
              <w:t>​​ ​</w:t>
            </w:r>
          </w:p>
        </w:tc>
        <w:tc>
          <w:tcPr>
            <w:tcW w:w="420" w:type="dxa"/>
            <w:vAlign w:val="bottom"/>
          </w:tcPr>
          <w:p>
            <w:pPr>
              <w:ind w:left="320"/>
              <w:spacing w:after="0" w:line="142" w:lineRule="exact"/>
              <w:rPr>
                <w:sz w:val="20"/>
                <w:szCs w:val="20"/>
                <w:color w:val="auto"/>
              </w:rPr>
            </w:pPr>
            <w:r>
              <w:rPr>
                <w:rFonts w:ascii="Arial" w:cs="Arial" w:eastAsia="Arial" w:hAnsi="Arial"/>
                <w:sz w:val="10"/>
                <w:szCs w:val="10"/>
                <w:color w:val="auto"/>
              </w:rPr>
              <w:t>​</w:t>
            </w:r>
            <w:r>
              <w:rPr>
                <w:rFonts w:ascii="Arial" w:cs="Arial" w:eastAsia="Arial" w:hAnsi="Arial"/>
                <w:sz w:val="16"/>
                <w:szCs w:val="16"/>
                <w:color w:val="auto"/>
                <w:vertAlign w:val="subscript"/>
              </w:rPr>
              <w:t>​</w:t>
            </w:r>
          </w:p>
        </w:tc>
        <w:tc>
          <w:tcPr>
            <w:tcW w:w="80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36,550</w:t>
            </w:r>
          </w:p>
        </w:tc>
        <w:tc>
          <w:tcPr>
            <w:tcW w:w="280" w:type="dxa"/>
            <w:vAlign w:val="bottom"/>
          </w:tcPr>
          <w:p>
            <w:pPr>
              <w:jc w:val="center"/>
              <w:spacing w:after="0" w:line="142" w:lineRule="exact"/>
              <w:rPr>
                <w:sz w:val="20"/>
                <w:szCs w:val="20"/>
                <w:color w:val="auto"/>
              </w:rPr>
            </w:pPr>
            <w:r>
              <w:rPr>
                <w:rFonts w:ascii="Arial" w:cs="Arial" w:eastAsia="Arial" w:hAnsi="Arial"/>
                <w:sz w:val="10"/>
                <w:szCs w:val="10"/>
                <w:color w:val="auto"/>
              </w:rPr>
              <w:t>​​ ​ ​</w:t>
            </w:r>
            <w:r>
              <w:rPr>
                <w:rFonts w:ascii="Arial" w:cs="Arial" w:eastAsia="Arial" w:hAnsi="Arial"/>
                <w:sz w:val="16"/>
                <w:szCs w:val="16"/>
                <w:color w:val="auto"/>
                <w:vertAlign w:val="subscript"/>
              </w:rPr>
              <w:t>​</w:t>
            </w:r>
          </w:p>
        </w:tc>
        <w:tc>
          <w:tcPr>
            <w:tcW w:w="740" w:type="dxa"/>
            <w:vAlign w:val="bottom"/>
          </w:tcPr>
          <w:p>
            <w:pPr>
              <w:jc w:val="right"/>
              <w:spacing w:after="0" w:line="142" w:lineRule="exact"/>
              <w:rPr>
                <w:sz w:val="20"/>
                <w:szCs w:val="20"/>
                <w:color w:val="auto"/>
              </w:rPr>
            </w:pPr>
            <w:r>
              <w:rPr>
                <w:rFonts w:ascii="Arial" w:cs="Arial" w:eastAsia="Arial" w:hAnsi="Arial"/>
                <w:sz w:val="10"/>
                <w:szCs w:val="10"/>
                <w:color w:val="auto"/>
              </w:rPr>
              <w:t>4,453,002</w:t>
            </w:r>
            <w:r>
              <w:rPr>
                <w:rFonts w:ascii="Arial" w:cs="Arial" w:eastAsia="Arial" w:hAnsi="Arial"/>
                <w:sz w:val="16"/>
                <w:szCs w:val="16"/>
                <w:color w:val="auto"/>
                <w:vertAlign w:val="superscript"/>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Executive Officer</w:t>
            </w:r>
          </w:p>
        </w:tc>
        <w:tc>
          <w:tcPr>
            <w:tcW w:w="100" w:type="dxa"/>
            <w:vAlign w:val="bottom"/>
          </w:tcPr>
          <w:p>
            <w:pPr>
              <w:spacing w:after="0"/>
              <w:rPr>
                <w:sz w:val="3"/>
                <w:szCs w:val="3"/>
                <w:color w:val="auto"/>
              </w:rPr>
            </w:pPr>
          </w:p>
        </w:tc>
        <w:tc>
          <w:tcPr>
            <w:tcW w:w="112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400" w:type="dxa"/>
            <w:vAlign w:val="bottom"/>
            <w:tcBorders>
              <w:bottom w:val="single" w:sz="8" w:color="4C4C4C"/>
            </w:tcBorders>
          </w:tcPr>
          <w:p>
            <w:pPr>
              <w:spacing w:after="0"/>
              <w:rPr>
                <w:sz w:val="3"/>
                <w:szCs w:val="3"/>
                <w:color w:val="auto"/>
              </w:rPr>
            </w:pPr>
          </w:p>
        </w:tc>
        <w:tc>
          <w:tcPr>
            <w:tcW w:w="200" w:type="dxa"/>
            <w:vAlign w:val="bottom"/>
            <w:tcBorders>
              <w:bottom w:val="single" w:sz="8" w:color="4C4C4C"/>
            </w:tcBorders>
          </w:tcPr>
          <w:p>
            <w:pPr>
              <w:spacing w:after="0"/>
              <w:rPr>
                <w:sz w:val="3"/>
                <w:szCs w:val="3"/>
                <w:color w:val="auto"/>
              </w:rPr>
            </w:pPr>
          </w:p>
        </w:tc>
        <w:tc>
          <w:tcPr>
            <w:tcW w:w="160" w:type="dxa"/>
            <w:vAlign w:val="bottom"/>
            <w:tcBorders>
              <w:bottom w:val="single" w:sz="8" w:color="4C4C4C"/>
            </w:tcBorders>
          </w:tcPr>
          <w:p>
            <w:pPr>
              <w:spacing w:after="0"/>
              <w:rPr>
                <w:sz w:val="3"/>
                <w:szCs w:val="3"/>
                <w:color w:val="auto"/>
              </w:rPr>
            </w:pPr>
          </w:p>
        </w:tc>
        <w:tc>
          <w:tcPr>
            <w:tcW w:w="900" w:type="dxa"/>
            <w:vAlign w:val="bottom"/>
            <w:tcBorders>
              <w:bottom w:val="single" w:sz="8" w:color="4C4C4C"/>
            </w:tcBorders>
            <w:gridSpan w:val="3"/>
          </w:tcPr>
          <w:p>
            <w:pPr>
              <w:spacing w:after="0"/>
              <w:rPr>
                <w:sz w:val="3"/>
                <w:szCs w:val="3"/>
                <w:color w:val="auto"/>
              </w:rPr>
            </w:pPr>
          </w:p>
        </w:tc>
        <w:tc>
          <w:tcPr>
            <w:tcW w:w="42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180" w:type="dxa"/>
            <w:vAlign w:val="bottom"/>
            <w:tcBorders>
              <w:bottom w:val="single" w:sz="8" w:color="4C4C4C"/>
            </w:tcBorders>
          </w:tcPr>
          <w:p>
            <w:pPr>
              <w:spacing w:after="0"/>
              <w:rPr>
                <w:sz w:val="3"/>
                <w:szCs w:val="3"/>
                <w:color w:val="auto"/>
              </w:rPr>
            </w:pPr>
          </w:p>
        </w:tc>
        <w:tc>
          <w:tcPr>
            <w:tcW w:w="42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280" w:type="dxa"/>
            <w:vAlign w:val="bottom"/>
            <w:tcBorders>
              <w:bottom w:val="single" w:sz="8" w:color="4C4C4C"/>
            </w:tcBorders>
          </w:tcPr>
          <w:p>
            <w:pPr>
              <w:spacing w:after="0"/>
              <w:rPr>
                <w:sz w:val="3"/>
                <w:szCs w:val="3"/>
                <w:color w:val="auto"/>
              </w:rPr>
            </w:pPr>
          </w:p>
        </w:tc>
        <w:tc>
          <w:tcPr>
            <w:tcW w:w="740" w:type="dxa"/>
            <w:vAlign w:val="bottom"/>
            <w:tcBorders>
              <w:bottom w:val="single" w:sz="8" w:color="4C4C4C"/>
            </w:tcBorders>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0" w:type="dxa"/>
            <w:vAlign w:val="bottom"/>
            <w:tcBorders>
              <w:bottom w:val="single" w:sz="8" w:color="E7417A"/>
            </w:tcBorders>
          </w:tcPr>
          <w:p>
            <w:pPr>
              <w:spacing w:after="0"/>
              <w:rPr>
                <w:sz w:val="14"/>
                <w:szCs w:val="14"/>
                <w:color w:val="auto"/>
              </w:rPr>
            </w:pPr>
          </w:p>
        </w:tc>
        <w:tc>
          <w:tcPr>
            <w:tcW w:w="2060" w:type="dxa"/>
            <w:vAlign w:val="bottom"/>
            <w:tcBorders>
              <w:bottom w:val="single" w:sz="8" w:color="E7417A"/>
            </w:tcBorders>
            <w:vMerge w:val="continue"/>
          </w:tcPr>
          <w:p>
            <w:pPr>
              <w:spacing w:after="0"/>
              <w:rPr>
                <w:sz w:val="14"/>
                <w:szCs w:val="14"/>
                <w:color w:val="auto"/>
              </w:rPr>
            </w:pPr>
          </w:p>
        </w:tc>
        <w:tc>
          <w:tcPr>
            <w:tcW w:w="100" w:type="dxa"/>
            <w:vAlign w:val="bottom"/>
            <w:tcBorders>
              <w:bottom w:val="single" w:sz="8" w:color="E7417A"/>
            </w:tcBorders>
          </w:tcPr>
          <w:p>
            <w:pPr>
              <w:spacing w:after="0"/>
              <w:rPr>
                <w:sz w:val="14"/>
                <w:szCs w:val="14"/>
                <w:color w:val="auto"/>
              </w:rPr>
            </w:pPr>
          </w:p>
        </w:tc>
        <w:tc>
          <w:tcPr>
            <w:tcW w:w="1120" w:type="dxa"/>
            <w:vAlign w:val="bottom"/>
            <w:tcBorders>
              <w:bottom w:val="single" w:sz="8" w:color="E7417A"/>
            </w:tcBorders>
          </w:tcPr>
          <w:p>
            <w:pPr>
              <w:jc w:val="right"/>
              <w:spacing w:after="0" w:line="169" w:lineRule="exact"/>
              <w:rPr>
                <w:sz w:val="20"/>
                <w:szCs w:val="20"/>
                <w:color w:val="auto"/>
              </w:rPr>
            </w:pPr>
            <w:r>
              <w:rPr>
                <w:rFonts w:ascii="Arial" w:cs="Arial" w:eastAsia="Arial" w:hAnsi="Arial"/>
                <w:sz w:val="19"/>
                <w:szCs w:val="19"/>
                <w:color w:val="auto"/>
                <w:vertAlign w:val="superscript"/>
              </w:rPr>
              <w:t>​ ​</w:t>
            </w:r>
            <w:r>
              <w:rPr>
                <w:rFonts w:ascii="Arial" w:cs="Arial" w:eastAsia="Arial" w:hAnsi="Arial"/>
                <w:sz w:val="11"/>
                <w:szCs w:val="11"/>
                <w:color w:val="auto"/>
              </w:rPr>
              <w:t>​2023</w:t>
            </w:r>
            <w:r>
              <w:rPr>
                <w:rFonts w:ascii="Arial" w:cs="Arial" w:eastAsia="Arial" w:hAnsi="Arial"/>
                <w:sz w:val="19"/>
                <w:szCs w:val="19"/>
                <w:color w:val="auto"/>
                <w:vertAlign w:val="superscript"/>
              </w:rPr>
              <w:t>​ ​ ​</w:t>
            </w:r>
            <w:r>
              <w:rPr>
                <w:rFonts w:ascii="Arial" w:cs="Arial" w:eastAsia="Arial" w:hAnsi="Arial"/>
                <w:sz w:val="11"/>
                <w:szCs w:val="11"/>
                <w:color w:val="auto"/>
              </w:rPr>
              <w:t>​750,000</w:t>
            </w:r>
            <w:r>
              <w:rPr>
                <w:rFonts w:ascii="Arial" w:cs="Arial" w:eastAsia="Arial" w:hAnsi="Arial"/>
                <w:sz w:val="19"/>
                <w:szCs w:val="19"/>
                <w:color w:val="auto"/>
                <w:vertAlign w:val="superscript"/>
              </w:rPr>
              <w:t>​</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E7417A"/>
            </w:tcBorders>
          </w:tcPr>
          <w:p>
            <w:pPr>
              <w:ind w:left="20"/>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200" w:type="dxa"/>
            <w:vAlign w:val="bottom"/>
            <w:tcBorders>
              <w:bottom w:val="single" w:sz="8" w:color="E7417A"/>
            </w:tcBorders>
          </w:tcPr>
          <w:p>
            <w:pPr>
              <w:jc w:val="right"/>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perscript"/>
              </w:rPr>
              <w:t>​</w:t>
            </w:r>
          </w:p>
        </w:tc>
        <w:tc>
          <w:tcPr>
            <w:tcW w:w="16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E7417A"/>
            </w:tcBorders>
            <w:gridSpan w:val="3"/>
          </w:tcPr>
          <w:p>
            <w:pPr>
              <w:jc w:val="right"/>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1,915,427</w:t>
            </w:r>
            <w:r>
              <w:rPr>
                <w:rFonts w:ascii="Arial" w:cs="Arial" w:eastAsia="Arial" w:hAnsi="Arial"/>
                <w:sz w:val="19"/>
                <w:szCs w:val="19"/>
                <w:color w:val="auto"/>
                <w:vertAlign w:val="superscript"/>
              </w:rPr>
              <w:t>​ ​</w:t>
            </w:r>
          </w:p>
        </w:tc>
        <w:tc>
          <w:tcPr>
            <w:tcW w:w="420" w:type="dxa"/>
            <w:vAlign w:val="bottom"/>
            <w:tcBorders>
              <w:bottom w:val="single" w:sz="8" w:color="E7417A"/>
            </w:tcBorders>
          </w:tcPr>
          <w:p>
            <w:pPr>
              <w:ind w:left="320"/>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800" w:type="dxa"/>
            <w:vAlign w:val="bottom"/>
            <w:tcBorders>
              <w:bottom w:val="single" w:sz="8" w:color="E7417A"/>
            </w:tcBorders>
          </w:tcPr>
          <w:p>
            <w:pPr>
              <w:jc w:val="right"/>
              <w:ind w:right="256"/>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E7417A"/>
            </w:tcBorders>
          </w:tcPr>
          <w:p>
            <w:pPr>
              <w:ind w:left="320"/>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800" w:type="dxa"/>
            <w:vAlign w:val="bottom"/>
            <w:tcBorders>
              <w:bottom w:val="single" w:sz="8" w:color="E7417A"/>
            </w:tcBorders>
          </w:tcPr>
          <w:p>
            <w:pPr>
              <w:jc w:val="right"/>
              <w:ind w:right="252"/>
              <w:spacing w:after="0"/>
              <w:rPr>
                <w:sz w:val="20"/>
                <w:szCs w:val="20"/>
                <w:color w:val="auto"/>
              </w:rPr>
            </w:pPr>
            <w:r>
              <w:rPr>
                <w:rFonts w:ascii="Arial" w:cs="Arial" w:eastAsia="Arial" w:hAnsi="Arial"/>
                <w:sz w:val="14"/>
                <w:szCs w:val="14"/>
                <w:color w:val="auto"/>
              </w:rPr>
              <w:t>32,697</w:t>
            </w:r>
          </w:p>
        </w:tc>
        <w:tc>
          <w:tcPr>
            <w:tcW w:w="280" w:type="dxa"/>
            <w:vAlign w:val="bottom"/>
            <w:tcBorders>
              <w:bottom w:val="single" w:sz="8" w:color="E7417A"/>
            </w:tcBorders>
          </w:tcPr>
          <w:p>
            <w:pPr>
              <w:jc w:val="center"/>
              <w:spacing w:after="0" w:line="169" w:lineRule="exact"/>
              <w:rPr>
                <w:sz w:val="20"/>
                <w:szCs w:val="20"/>
                <w:color w:val="auto"/>
              </w:rPr>
            </w:pPr>
            <w:r>
              <w:rPr>
                <w:rFonts w:ascii="Arial" w:cs="Arial" w:eastAsia="Arial" w:hAnsi="Arial"/>
                <w:sz w:val="11"/>
                <w:szCs w:val="11"/>
                <w:color w:val="auto"/>
              </w:rPr>
              <w:t>​​ ​ ​</w:t>
            </w:r>
            <w:r>
              <w:rPr>
                <w:rFonts w:ascii="Arial" w:cs="Arial" w:eastAsia="Arial" w:hAnsi="Arial"/>
                <w:sz w:val="19"/>
                <w:szCs w:val="19"/>
                <w:color w:val="auto"/>
                <w:vertAlign w:val="subscript"/>
              </w:rPr>
              <w:t>​</w:t>
            </w:r>
          </w:p>
        </w:tc>
        <w:tc>
          <w:tcPr>
            <w:tcW w:w="740" w:type="dxa"/>
            <w:vAlign w:val="bottom"/>
            <w:tcBorders>
              <w:bottom w:val="single" w:sz="8" w:color="E7417A"/>
            </w:tcBorders>
          </w:tcPr>
          <w:p>
            <w:pPr>
              <w:jc w:val="right"/>
              <w:spacing w:after="0" w:line="169" w:lineRule="exact"/>
              <w:rPr>
                <w:sz w:val="20"/>
                <w:szCs w:val="20"/>
                <w:color w:val="auto"/>
              </w:rPr>
            </w:pPr>
            <w:r>
              <w:rPr>
                <w:rFonts w:ascii="Arial" w:cs="Arial" w:eastAsia="Arial" w:hAnsi="Arial"/>
                <w:sz w:val="11"/>
                <w:szCs w:val="11"/>
                <w:color w:val="auto"/>
              </w:rPr>
              <w:t>2,698,394</w:t>
            </w:r>
            <w:r>
              <w:rPr>
                <w:rFonts w:ascii="Arial" w:cs="Arial" w:eastAsia="Arial" w:hAnsi="Arial"/>
                <w:sz w:val="19"/>
                <w:szCs w:val="19"/>
                <w:color w:val="auto"/>
                <w:vertAlign w:val="superscript"/>
              </w:rPr>
              <w:t>​</w:t>
            </w:r>
          </w:p>
        </w:tc>
        <w:tc>
          <w:tcPr>
            <w:tcW w:w="60" w:type="dxa"/>
            <w:vAlign w:val="bottom"/>
            <w:tcBorders>
              <w:bottom w:val="single" w:sz="8" w:color="E7417A"/>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line="160" w:lineRule="exact"/>
              <w:rPr>
                <w:sz w:val="20"/>
                <w:szCs w:val="20"/>
                <w:color w:val="auto"/>
              </w:rPr>
            </w:pPr>
            <w:r>
              <w:rPr>
                <w:rFonts w:ascii="Arial" w:cs="Arial" w:eastAsia="Arial" w:hAnsi="Arial"/>
                <w:sz w:val="14"/>
                <w:szCs w:val="14"/>
                <w:color w:val="auto"/>
              </w:rPr>
              <w:t>​</w:t>
            </w:r>
          </w:p>
        </w:tc>
        <w:tc>
          <w:tcPr>
            <w:tcW w:w="2060" w:type="dxa"/>
            <w:vAlign w:val="bottom"/>
          </w:tcPr>
          <w:p>
            <w:pPr>
              <w:ind w:left="60"/>
              <w:spacing w:after="0" w:line="160" w:lineRule="exact"/>
              <w:rPr>
                <w:sz w:val="20"/>
                <w:szCs w:val="20"/>
                <w:color w:val="auto"/>
              </w:rPr>
            </w:pPr>
            <w:r>
              <w:rPr>
                <w:rFonts w:ascii="Arial" w:cs="Arial" w:eastAsia="Arial" w:hAnsi="Arial"/>
                <w:sz w:val="14"/>
                <w:szCs w:val="14"/>
                <w:b w:val="1"/>
                <w:bCs w:val="1"/>
                <w:color w:val="auto"/>
              </w:rPr>
              <w:t>John Townsend</w:t>
            </w:r>
            <w:r>
              <w:rPr>
                <w:rFonts w:ascii="Arial" w:cs="Arial" w:eastAsia="Arial" w:hAnsi="Arial"/>
                <w:sz w:val="14"/>
                <w:szCs w:val="14"/>
                <w:color w:val="auto"/>
              </w:rPr>
              <w:t>,</w:t>
            </w:r>
          </w:p>
        </w:tc>
        <w:tc>
          <w:tcPr>
            <w:tcW w:w="1220" w:type="dxa"/>
            <w:vAlign w:val="bottom"/>
            <w:gridSpan w:val="2"/>
          </w:tcPr>
          <w:p>
            <w:pPr>
              <w:jc w:val="right"/>
              <w:spacing w:after="0" w:line="160" w:lineRule="exact"/>
              <w:rPr>
                <w:sz w:val="20"/>
                <w:szCs w:val="20"/>
                <w:color w:val="auto"/>
              </w:rPr>
            </w:pPr>
            <w:r>
              <w:rPr>
                <w:rFonts w:ascii="Arial" w:cs="Arial" w:eastAsia="Arial" w:hAnsi="Arial"/>
                <w:sz w:val="18"/>
                <w:szCs w:val="18"/>
                <w:color w:val="auto"/>
                <w:vertAlign w:val="superscript"/>
              </w:rPr>
              <w:t>​ ​ ​</w:t>
            </w:r>
            <w:r>
              <w:rPr>
                <w:rFonts w:ascii="Arial" w:cs="Arial" w:eastAsia="Arial" w:hAnsi="Arial"/>
                <w:sz w:val="11"/>
                <w:szCs w:val="11"/>
                <w:color w:val="auto"/>
              </w:rPr>
              <w:t>​2025</w:t>
            </w:r>
            <w:r>
              <w:rPr>
                <w:rFonts w:ascii="Arial" w:cs="Arial" w:eastAsia="Arial" w:hAnsi="Arial"/>
                <w:sz w:val="18"/>
                <w:szCs w:val="18"/>
                <w:color w:val="auto"/>
                <w:vertAlign w:val="superscript"/>
              </w:rPr>
              <w:t>​ ​ ​</w:t>
            </w:r>
            <w:r>
              <w:rPr>
                <w:rFonts w:ascii="Arial" w:cs="Arial" w:eastAsia="Arial" w:hAnsi="Arial"/>
                <w:sz w:val="11"/>
                <w:szCs w:val="11"/>
                <w:color w:val="auto"/>
              </w:rPr>
              <w:t>​500,000</w:t>
            </w:r>
            <w:r>
              <w:rPr>
                <w:rFonts w:ascii="Arial" w:cs="Arial" w:eastAsia="Arial" w:hAnsi="Arial"/>
                <w:sz w:val="18"/>
                <w:szCs w:val="18"/>
                <w:color w:val="auto"/>
                <w:vertAlign w:val="superscript"/>
              </w:rPr>
              <w:t>​</w:t>
            </w:r>
          </w:p>
        </w:tc>
        <w:tc>
          <w:tcPr>
            <w:tcW w:w="160" w:type="dxa"/>
            <w:vAlign w:val="bottom"/>
          </w:tcPr>
          <w:p>
            <w:pPr>
              <w:jc w:val="right"/>
              <w:spacing w:after="0" w:line="160" w:lineRule="exact"/>
              <w:rPr>
                <w:sz w:val="20"/>
                <w:szCs w:val="20"/>
                <w:color w:val="auto"/>
              </w:rPr>
            </w:pPr>
            <w:r>
              <w:rPr>
                <w:rFonts w:ascii="Arial" w:cs="Arial" w:eastAsia="Arial" w:hAnsi="Arial"/>
                <w:sz w:val="14"/>
                <w:szCs w:val="14"/>
                <w:color w:val="auto"/>
              </w:rPr>
              <w:t>​</w:t>
            </w:r>
          </w:p>
        </w:tc>
        <w:tc>
          <w:tcPr>
            <w:tcW w:w="400" w:type="dxa"/>
            <w:vAlign w:val="bottom"/>
          </w:tcPr>
          <w:p>
            <w:pPr>
              <w:ind w:left="20"/>
              <w:spacing w:after="0" w:line="160"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bscript"/>
              </w:rPr>
              <w:t>​</w:t>
            </w:r>
          </w:p>
        </w:tc>
        <w:tc>
          <w:tcPr>
            <w:tcW w:w="200" w:type="dxa"/>
            <w:vAlign w:val="bottom"/>
          </w:tcPr>
          <w:p>
            <w:pPr>
              <w:jc w:val="right"/>
              <w:spacing w:after="0" w:line="160"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w:t>
            </w:r>
          </w:p>
        </w:tc>
        <w:tc>
          <w:tcPr>
            <w:tcW w:w="160" w:type="dxa"/>
            <w:vAlign w:val="bottom"/>
          </w:tcPr>
          <w:p>
            <w:pPr>
              <w:jc w:val="right"/>
              <w:spacing w:after="0" w:line="160" w:lineRule="exact"/>
              <w:rPr>
                <w:sz w:val="20"/>
                <w:szCs w:val="20"/>
                <w:color w:val="auto"/>
              </w:rPr>
            </w:pPr>
            <w:r>
              <w:rPr>
                <w:rFonts w:ascii="Arial" w:cs="Arial" w:eastAsia="Arial" w:hAnsi="Arial"/>
                <w:sz w:val="14"/>
                <w:szCs w:val="14"/>
                <w:color w:val="auto"/>
              </w:rPr>
              <w:t>​</w:t>
            </w:r>
          </w:p>
        </w:tc>
        <w:tc>
          <w:tcPr>
            <w:tcW w:w="100" w:type="dxa"/>
            <w:vAlign w:val="bottom"/>
          </w:tcPr>
          <w:p>
            <w:pPr>
              <w:ind w:left="20"/>
              <w:spacing w:after="0" w:line="160"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bscript"/>
              </w:rPr>
              <w:t>​</w:t>
            </w:r>
          </w:p>
        </w:tc>
        <w:tc>
          <w:tcPr>
            <w:tcW w:w="500" w:type="dxa"/>
            <w:vAlign w:val="bottom"/>
          </w:tcPr>
          <w:p>
            <w:pPr>
              <w:spacing w:after="0"/>
              <w:rPr>
                <w:sz w:val="13"/>
                <w:szCs w:val="13"/>
                <w:color w:val="auto"/>
              </w:rPr>
            </w:pPr>
          </w:p>
        </w:tc>
        <w:tc>
          <w:tcPr>
            <w:tcW w:w="300" w:type="dxa"/>
            <w:vAlign w:val="bottom"/>
          </w:tcPr>
          <w:p>
            <w:pPr>
              <w:jc w:val="right"/>
              <w:spacing w:after="0" w:line="160"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1"/>
                <w:szCs w:val="11"/>
                <w:color w:val="auto"/>
              </w:rPr>
              <w:t>​ ​</w:t>
            </w:r>
          </w:p>
        </w:tc>
        <w:tc>
          <w:tcPr>
            <w:tcW w:w="1220" w:type="dxa"/>
            <w:vAlign w:val="bottom"/>
            <w:gridSpan w:val="2"/>
          </w:tcPr>
          <w:p>
            <w:pPr>
              <w:jc w:val="right"/>
              <w:ind w:right="256"/>
              <w:spacing w:after="0" w:line="160"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​112,594</w:t>
            </w:r>
          </w:p>
        </w:tc>
        <w:tc>
          <w:tcPr>
            <w:tcW w:w="180" w:type="dxa"/>
            <w:vAlign w:val="bottom"/>
          </w:tcPr>
          <w:p>
            <w:pPr>
              <w:spacing w:after="0" w:line="160" w:lineRule="exact"/>
              <w:rPr>
                <w:sz w:val="20"/>
                <w:szCs w:val="20"/>
                <w:color w:val="auto"/>
              </w:rPr>
            </w:pPr>
            <w:r>
              <w:rPr>
                <w:rFonts w:ascii="Arial" w:cs="Arial" w:eastAsia="Arial" w:hAnsi="Arial"/>
                <w:sz w:val="14"/>
                <w:szCs w:val="14"/>
                <w:color w:val="auto"/>
              </w:rPr>
              <w:t>​​ ​</w:t>
            </w:r>
          </w:p>
        </w:tc>
        <w:tc>
          <w:tcPr>
            <w:tcW w:w="420" w:type="dxa"/>
            <w:vAlign w:val="bottom"/>
          </w:tcPr>
          <w:p>
            <w:pPr>
              <w:ind w:left="320"/>
              <w:spacing w:after="0" w:line="160"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bscript"/>
              </w:rPr>
              <w:t>​</w:t>
            </w:r>
          </w:p>
        </w:tc>
        <w:tc>
          <w:tcPr>
            <w:tcW w:w="800" w:type="dxa"/>
            <w:vAlign w:val="bottom"/>
          </w:tcPr>
          <w:p>
            <w:pPr>
              <w:jc w:val="right"/>
              <w:ind w:right="252"/>
              <w:spacing w:after="0" w:line="160" w:lineRule="exact"/>
              <w:rPr>
                <w:sz w:val="20"/>
                <w:szCs w:val="20"/>
                <w:color w:val="auto"/>
              </w:rPr>
            </w:pPr>
            <w:r>
              <w:rPr>
                <w:rFonts w:ascii="Arial" w:cs="Arial" w:eastAsia="Arial" w:hAnsi="Arial"/>
                <w:sz w:val="14"/>
                <w:szCs w:val="14"/>
                <w:color w:val="auto"/>
              </w:rPr>
              <w:t>29,130</w:t>
            </w:r>
          </w:p>
        </w:tc>
        <w:tc>
          <w:tcPr>
            <w:tcW w:w="280" w:type="dxa"/>
            <w:vAlign w:val="bottom"/>
          </w:tcPr>
          <w:p>
            <w:pPr>
              <w:jc w:val="center"/>
              <w:spacing w:after="0" w:line="160" w:lineRule="exact"/>
              <w:rPr>
                <w:sz w:val="20"/>
                <w:szCs w:val="20"/>
                <w:color w:val="auto"/>
              </w:rPr>
            </w:pPr>
            <w:r>
              <w:rPr>
                <w:rFonts w:ascii="Arial" w:cs="Arial" w:eastAsia="Arial" w:hAnsi="Arial"/>
                <w:sz w:val="11"/>
                <w:szCs w:val="11"/>
                <w:color w:val="auto"/>
              </w:rPr>
              <w:t>​​ ​ ​</w:t>
            </w:r>
            <w:r>
              <w:rPr>
                <w:rFonts w:ascii="Arial" w:cs="Arial" w:eastAsia="Arial" w:hAnsi="Arial"/>
                <w:sz w:val="18"/>
                <w:szCs w:val="18"/>
                <w:color w:val="auto"/>
                <w:vertAlign w:val="subscript"/>
              </w:rPr>
              <w:t>​</w:t>
            </w:r>
          </w:p>
        </w:tc>
        <w:tc>
          <w:tcPr>
            <w:tcW w:w="740" w:type="dxa"/>
            <w:vAlign w:val="bottom"/>
          </w:tcPr>
          <w:p>
            <w:pPr>
              <w:jc w:val="right"/>
              <w:spacing w:after="0" w:line="160" w:lineRule="exact"/>
              <w:rPr>
                <w:sz w:val="20"/>
                <w:szCs w:val="20"/>
                <w:color w:val="auto"/>
              </w:rPr>
            </w:pPr>
            <w:r>
              <w:rPr>
                <w:rFonts w:ascii="Arial" w:cs="Arial" w:eastAsia="Arial" w:hAnsi="Arial"/>
                <w:sz w:val="11"/>
                <w:szCs w:val="11"/>
                <w:color w:val="auto"/>
              </w:rPr>
              <w:t>641,724</w:t>
            </w:r>
            <w:r>
              <w:rPr>
                <w:rFonts w:ascii="Arial" w:cs="Arial" w:eastAsia="Arial" w:hAnsi="Arial"/>
                <w:sz w:val="18"/>
                <w:szCs w:val="18"/>
                <w:color w:val="auto"/>
                <w:vertAlign w:val="superscript"/>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2060" w:type="dxa"/>
            <w:vAlign w:val="bottom"/>
            <w:vMerge w:val="restart"/>
          </w:tcPr>
          <w:p>
            <w:pPr>
              <w:ind w:left="60"/>
              <w:spacing w:after="0" w:line="37" w:lineRule="exact"/>
              <w:rPr>
                <w:sz w:val="20"/>
                <w:szCs w:val="20"/>
                <w:color w:val="auto"/>
              </w:rPr>
            </w:pPr>
            <w:r>
              <w:rPr>
                <w:rFonts w:ascii="Arial" w:cs="Arial" w:eastAsia="Arial" w:hAnsi="Arial"/>
                <w:sz w:val="4"/>
                <w:szCs w:val="4"/>
                <w:color w:val="auto"/>
              </w:rPr>
              <w:t>Executive Vice President</w:t>
            </w: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shd w:val="clear" w:color="auto" w:fill="4C4C4C"/>
          </w:tcPr>
          <w:p>
            <w:pPr>
              <w:jc w:val="right"/>
              <w:spacing w:after="0"/>
              <w:rPr>
                <w:sz w:val="20"/>
                <w:szCs w:val="20"/>
                <w:color w:val="auto"/>
              </w:rPr>
            </w:pPr>
            <w:r>
              <w:rPr>
                <w:rFonts w:ascii="Arial" w:cs="Arial" w:eastAsia="Arial" w:hAnsi="Arial"/>
                <w:sz w:val="1"/>
                <w:szCs w:val="1"/>
                <w:color w:val="auto"/>
              </w:rPr>
              <w:t>​ ​​2024​ ​ ​​105,479​ ​</w:t>
            </w:r>
          </w:p>
        </w:tc>
        <w:tc>
          <w:tcPr>
            <w:tcW w:w="400" w:type="dxa"/>
            <w:vAlign w:val="bottom"/>
            <w:shd w:val="clear" w:color="auto" w:fill="4C4C4C"/>
          </w:tcPr>
          <w:p>
            <w:pPr>
              <w:ind w:left="20"/>
              <w:spacing w:after="0"/>
              <w:rPr>
                <w:sz w:val="20"/>
                <w:szCs w:val="20"/>
                <w:color w:val="auto"/>
              </w:rPr>
            </w:pPr>
            <w:r>
              <w:rPr>
                <w:rFonts w:ascii="Arial" w:cs="Arial" w:eastAsia="Arial" w:hAnsi="Arial"/>
                <w:sz w:val="1"/>
                <w:szCs w:val="1"/>
                <w:color w:val="auto"/>
              </w:rPr>
              <w:t>​​</w:t>
            </w:r>
          </w:p>
        </w:tc>
        <w:tc>
          <w:tcPr>
            <w:tcW w:w="360" w:type="dxa"/>
            <w:vAlign w:val="bottom"/>
            <w:gridSpan w:val="2"/>
            <w:shd w:val="clear" w:color="auto" w:fill="4C4C4C"/>
          </w:tcPr>
          <w:p>
            <w:pPr>
              <w:jc w:val="right"/>
              <w:spacing w:after="0"/>
              <w:rPr>
                <w:sz w:val="20"/>
                <w:szCs w:val="20"/>
                <w:color w:val="auto"/>
              </w:rPr>
            </w:pPr>
            <w:r>
              <w:rPr>
                <w:rFonts w:ascii="Arial" w:cs="Arial" w:eastAsia="Arial" w:hAnsi="Arial"/>
                <w:sz w:val="1"/>
                <w:szCs w:val="1"/>
                <w:color w:val="auto"/>
              </w:rPr>
              <w:t>—​ ​</w:t>
            </w:r>
          </w:p>
        </w:tc>
        <w:tc>
          <w:tcPr>
            <w:tcW w:w="900" w:type="dxa"/>
            <w:vAlign w:val="bottom"/>
            <w:gridSpan w:val="3"/>
            <w:shd w:val="clear" w:color="auto" w:fill="4C4C4C"/>
          </w:tcPr>
          <w:p>
            <w:pPr>
              <w:jc w:val="right"/>
              <w:spacing w:after="0"/>
              <w:rPr>
                <w:sz w:val="20"/>
                <w:szCs w:val="20"/>
                <w:color w:val="auto"/>
              </w:rPr>
            </w:pPr>
            <w:r>
              <w:rPr>
                <w:rFonts w:ascii="Arial" w:cs="Arial" w:eastAsia="Arial" w:hAnsi="Arial"/>
                <w:sz w:val="1"/>
                <w:szCs w:val="1"/>
                <w:color w:val="auto"/>
              </w:rPr>
              <w:t>​​ 2,571,058​ ​</w:t>
            </w:r>
          </w:p>
        </w:tc>
        <w:tc>
          <w:tcPr>
            <w:tcW w:w="420" w:type="dxa"/>
            <w:vAlign w:val="bottom"/>
            <w:shd w:val="clear" w:color="auto" w:fill="4C4C4C"/>
          </w:tcPr>
          <w:p>
            <w:pPr>
              <w:ind w:left="320"/>
              <w:spacing w:after="0"/>
              <w:rPr>
                <w:sz w:val="20"/>
                <w:szCs w:val="20"/>
                <w:color w:val="auto"/>
              </w:rPr>
            </w:pPr>
            <w:r>
              <w:rPr>
                <w:rFonts w:ascii="Arial" w:cs="Arial" w:eastAsia="Arial" w:hAnsi="Arial"/>
                <w:sz w:val="1"/>
                <w:szCs w:val="1"/>
                <w:color w:val="auto"/>
              </w:rPr>
              <w:t>​</w:t>
            </w:r>
          </w:p>
        </w:tc>
        <w:tc>
          <w:tcPr>
            <w:tcW w:w="800" w:type="dxa"/>
            <w:vAlign w:val="bottom"/>
            <w:shd w:val="clear" w:color="auto" w:fill="4C4C4C"/>
          </w:tcPr>
          <w:p>
            <w:pPr>
              <w:jc w:val="right"/>
              <w:ind w:right="256"/>
              <w:spacing w:after="0"/>
              <w:rPr>
                <w:sz w:val="20"/>
                <w:szCs w:val="20"/>
                <w:color w:val="auto"/>
              </w:rPr>
            </w:pPr>
            <w:r>
              <w:rPr>
                <w:rFonts w:ascii="Arial" w:cs="Arial" w:eastAsia="Arial" w:hAnsi="Arial"/>
                <w:sz w:val="1"/>
                <w:szCs w:val="1"/>
                <w:color w:val="auto"/>
              </w:rPr>
              <w:t>81,164</w:t>
            </w:r>
          </w:p>
        </w:tc>
        <w:tc>
          <w:tcPr>
            <w:tcW w:w="180" w:type="dxa"/>
            <w:vAlign w:val="bottom"/>
            <w:shd w:val="clear" w:color="auto" w:fill="4C4C4C"/>
          </w:tcPr>
          <w:p>
            <w:pPr>
              <w:spacing w:after="0"/>
              <w:rPr>
                <w:sz w:val="20"/>
                <w:szCs w:val="20"/>
                <w:color w:val="auto"/>
              </w:rPr>
            </w:pPr>
            <w:r>
              <w:rPr>
                <w:rFonts w:ascii="Arial" w:cs="Arial" w:eastAsia="Arial" w:hAnsi="Arial"/>
                <w:sz w:val="1"/>
                <w:szCs w:val="1"/>
                <w:color w:val="auto"/>
              </w:rPr>
              <w:t>​​ ​</w:t>
            </w:r>
          </w:p>
        </w:tc>
        <w:tc>
          <w:tcPr>
            <w:tcW w:w="420" w:type="dxa"/>
            <w:vAlign w:val="bottom"/>
            <w:shd w:val="clear" w:color="auto" w:fill="4C4C4C"/>
          </w:tcPr>
          <w:p>
            <w:pPr>
              <w:ind w:left="320"/>
              <w:spacing w:after="0"/>
              <w:rPr>
                <w:sz w:val="20"/>
                <w:szCs w:val="20"/>
                <w:color w:val="auto"/>
              </w:rPr>
            </w:pPr>
            <w:r>
              <w:rPr>
                <w:rFonts w:ascii="Arial" w:cs="Arial" w:eastAsia="Arial" w:hAnsi="Arial"/>
                <w:sz w:val="1"/>
                <w:szCs w:val="1"/>
                <w:color w:val="auto"/>
              </w:rPr>
              <w:t>​​</w:t>
            </w:r>
          </w:p>
        </w:tc>
        <w:tc>
          <w:tcPr>
            <w:tcW w:w="800" w:type="dxa"/>
            <w:vAlign w:val="bottom"/>
            <w:shd w:val="clear" w:color="auto" w:fill="4C4C4C"/>
          </w:tcPr>
          <w:p>
            <w:pPr>
              <w:jc w:val="right"/>
              <w:ind w:right="252"/>
              <w:spacing w:after="0"/>
              <w:rPr>
                <w:sz w:val="20"/>
                <w:szCs w:val="20"/>
                <w:color w:val="auto"/>
              </w:rPr>
            </w:pPr>
            <w:r>
              <w:rPr>
                <w:rFonts w:ascii="Arial" w:cs="Arial" w:eastAsia="Arial" w:hAnsi="Arial"/>
                <w:sz w:val="1"/>
                <w:szCs w:val="1"/>
                <w:color w:val="auto"/>
              </w:rPr>
              <w:t>4,066</w:t>
            </w:r>
          </w:p>
        </w:tc>
        <w:tc>
          <w:tcPr>
            <w:tcW w:w="280" w:type="dxa"/>
            <w:vAlign w:val="bottom"/>
            <w:shd w:val="clear" w:color="auto" w:fill="4C4C4C"/>
          </w:tcPr>
          <w:p>
            <w:pPr>
              <w:jc w:val="center"/>
              <w:spacing w:after="0"/>
              <w:rPr>
                <w:sz w:val="20"/>
                <w:szCs w:val="20"/>
                <w:color w:val="auto"/>
              </w:rPr>
            </w:pPr>
            <w:r>
              <w:rPr>
                <w:rFonts w:ascii="Arial" w:cs="Arial" w:eastAsia="Arial" w:hAnsi="Arial"/>
                <w:sz w:val="1"/>
                <w:szCs w:val="1"/>
                <w:color w:val="auto"/>
              </w:rPr>
              <w:t>​​ ​ ​​</w:t>
            </w:r>
          </w:p>
        </w:tc>
        <w:tc>
          <w:tcPr>
            <w:tcW w:w="740" w:type="dxa"/>
            <w:vAlign w:val="bottom"/>
            <w:shd w:val="clear" w:color="auto" w:fill="4C4C4C"/>
          </w:tcPr>
          <w:p>
            <w:pPr>
              <w:jc w:val="right"/>
              <w:spacing w:after="0"/>
              <w:rPr>
                <w:sz w:val="20"/>
                <w:szCs w:val="20"/>
                <w:color w:val="auto"/>
              </w:rPr>
            </w:pPr>
            <w:r>
              <w:rPr>
                <w:rFonts w:ascii="Arial" w:cs="Arial" w:eastAsia="Arial" w:hAnsi="Arial"/>
                <w:sz w:val="1"/>
                <w:szCs w:val="1"/>
                <w:color w:val="auto"/>
              </w:rPr>
              <w:t>2,680,603​</w:t>
            </w:r>
          </w:p>
        </w:tc>
        <w:tc>
          <w:tcPr>
            <w:tcW w:w="60" w:type="dxa"/>
            <w:vAlign w:val="bottom"/>
            <w:shd w:val="clear" w:color="auto" w:fill="4C4C4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right"/>
              <w:ind w:right="30"/>
              <w:spacing w:after="0"/>
              <w:rPr>
                <w:sz w:val="20"/>
                <w:szCs w:val="20"/>
                <w:color w:val="auto"/>
              </w:rPr>
            </w:pPr>
            <w:r>
              <w:rPr>
                <w:rFonts w:ascii="Arial" w:cs="Arial" w:eastAsia="Arial" w:hAnsi="Arial"/>
                <w:sz w:val="9"/>
                <w:szCs w:val="9"/>
                <w:color w:val="auto"/>
              </w:rPr>
              <w:t>(4)</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Arial" w:cs="Arial" w:eastAsia="Arial" w:hAnsi="Arial"/>
                <w:sz w:val="14"/>
                <w:szCs w:val="14"/>
                <w:color w:val="auto"/>
              </w:rPr>
              <w:t>and Chief Financial</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E7417A"/>
            </w:tcBorders>
          </w:tcPr>
          <w:p>
            <w:pPr>
              <w:spacing w:after="0"/>
              <w:rPr>
                <w:sz w:val="16"/>
                <w:szCs w:val="16"/>
                <w:color w:val="auto"/>
              </w:rPr>
            </w:pPr>
          </w:p>
        </w:tc>
        <w:tc>
          <w:tcPr>
            <w:tcW w:w="2060" w:type="dxa"/>
            <w:vAlign w:val="bottom"/>
            <w:tcBorders>
              <w:bottom w:val="single" w:sz="8" w:color="E7417A"/>
            </w:tcBorders>
          </w:tcPr>
          <w:p>
            <w:pPr>
              <w:ind w:left="60"/>
              <w:spacing w:after="0"/>
              <w:rPr>
                <w:sz w:val="20"/>
                <w:szCs w:val="20"/>
                <w:color w:val="auto"/>
              </w:rPr>
            </w:pPr>
            <w:r>
              <w:rPr>
                <w:rFonts w:ascii="Arial" w:cs="Arial" w:eastAsia="Arial" w:hAnsi="Arial"/>
                <w:sz w:val="14"/>
                <w:szCs w:val="14"/>
                <w:color w:val="auto"/>
              </w:rPr>
              <w:t>Officer</w:t>
            </w:r>
          </w:p>
        </w:tc>
        <w:tc>
          <w:tcPr>
            <w:tcW w:w="100" w:type="dxa"/>
            <w:vAlign w:val="bottom"/>
            <w:tcBorders>
              <w:bottom w:val="single" w:sz="8" w:color="E7417A"/>
            </w:tcBorders>
          </w:tcPr>
          <w:p>
            <w:pPr>
              <w:spacing w:after="0"/>
              <w:rPr>
                <w:sz w:val="16"/>
                <w:szCs w:val="16"/>
                <w:color w:val="auto"/>
              </w:rPr>
            </w:pPr>
          </w:p>
        </w:tc>
        <w:tc>
          <w:tcPr>
            <w:tcW w:w="1120" w:type="dxa"/>
            <w:vAlign w:val="bottom"/>
            <w:tcBorders>
              <w:bottom w:val="single" w:sz="8" w:color="E7417A"/>
            </w:tcBorders>
          </w:tcPr>
          <w:p>
            <w:pPr>
              <w:spacing w:after="0"/>
              <w:rPr>
                <w:sz w:val="16"/>
                <w:szCs w:val="16"/>
                <w:color w:val="auto"/>
              </w:rPr>
            </w:pPr>
          </w:p>
        </w:tc>
        <w:tc>
          <w:tcPr>
            <w:tcW w:w="160" w:type="dxa"/>
            <w:vAlign w:val="bottom"/>
            <w:tcBorders>
              <w:bottom w:val="single" w:sz="8" w:color="E7417A"/>
            </w:tcBorders>
          </w:tcPr>
          <w:p>
            <w:pPr>
              <w:spacing w:after="0"/>
              <w:rPr>
                <w:sz w:val="16"/>
                <w:szCs w:val="16"/>
                <w:color w:val="auto"/>
              </w:rPr>
            </w:pPr>
          </w:p>
        </w:tc>
        <w:tc>
          <w:tcPr>
            <w:tcW w:w="400" w:type="dxa"/>
            <w:vAlign w:val="bottom"/>
            <w:tcBorders>
              <w:bottom w:val="single" w:sz="8" w:color="E7417A"/>
            </w:tcBorders>
          </w:tcPr>
          <w:p>
            <w:pPr>
              <w:spacing w:after="0"/>
              <w:rPr>
                <w:sz w:val="16"/>
                <w:szCs w:val="16"/>
                <w:color w:val="auto"/>
              </w:rPr>
            </w:pPr>
          </w:p>
        </w:tc>
        <w:tc>
          <w:tcPr>
            <w:tcW w:w="200" w:type="dxa"/>
            <w:vAlign w:val="bottom"/>
            <w:tcBorders>
              <w:bottom w:val="single" w:sz="8" w:color="E7417A"/>
            </w:tcBorders>
          </w:tcPr>
          <w:p>
            <w:pPr>
              <w:spacing w:after="0"/>
              <w:rPr>
                <w:sz w:val="16"/>
                <w:szCs w:val="16"/>
                <w:color w:val="auto"/>
              </w:rPr>
            </w:pPr>
          </w:p>
        </w:tc>
        <w:tc>
          <w:tcPr>
            <w:tcW w:w="160" w:type="dxa"/>
            <w:vAlign w:val="bottom"/>
            <w:tcBorders>
              <w:bottom w:val="single" w:sz="8" w:color="E7417A"/>
            </w:tcBorders>
          </w:tcPr>
          <w:p>
            <w:pPr>
              <w:spacing w:after="0"/>
              <w:rPr>
                <w:sz w:val="16"/>
                <w:szCs w:val="16"/>
                <w:color w:val="auto"/>
              </w:rPr>
            </w:pPr>
          </w:p>
        </w:tc>
        <w:tc>
          <w:tcPr>
            <w:tcW w:w="100" w:type="dxa"/>
            <w:vAlign w:val="bottom"/>
            <w:tcBorders>
              <w:bottom w:val="single" w:sz="8" w:color="E7417A"/>
            </w:tcBorders>
          </w:tcPr>
          <w:p>
            <w:pPr>
              <w:spacing w:after="0"/>
              <w:rPr>
                <w:sz w:val="16"/>
                <w:szCs w:val="16"/>
                <w:color w:val="auto"/>
              </w:rPr>
            </w:pPr>
          </w:p>
        </w:tc>
        <w:tc>
          <w:tcPr>
            <w:tcW w:w="500" w:type="dxa"/>
            <w:vAlign w:val="bottom"/>
            <w:tcBorders>
              <w:bottom w:val="single" w:sz="8" w:color="E7417A"/>
            </w:tcBorders>
          </w:tcPr>
          <w:p>
            <w:pPr>
              <w:spacing w:after="0"/>
              <w:rPr>
                <w:sz w:val="16"/>
                <w:szCs w:val="16"/>
                <w:color w:val="auto"/>
              </w:rPr>
            </w:pPr>
          </w:p>
        </w:tc>
        <w:tc>
          <w:tcPr>
            <w:tcW w:w="300" w:type="dxa"/>
            <w:vAlign w:val="bottom"/>
            <w:tcBorders>
              <w:bottom w:val="single" w:sz="8" w:color="E7417A"/>
            </w:tcBorders>
          </w:tcPr>
          <w:p>
            <w:pPr>
              <w:spacing w:after="0"/>
              <w:rPr>
                <w:sz w:val="16"/>
                <w:szCs w:val="16"/>
                <w:color w:val="auto"/>
              </w:rPr>
            </w:pPr>
          </w:p>
        </w:tc>
        <w:tc>
          <w:tcPr>
            <w:tcW w:w="420" w:type="dxa"/>
            <w:vAlign w:val="bottom"/>
            <w:tcBorders>
              <w:bottom w:val="single" w:sz="8" w:color="E7417A"/>
            </w:tcBorders>
          </w:tcPr>
          <w:p>
            <w:pPr>
              <w:spacing w:after="0"/>
              <w:rPr>
                <w:sz w:val="16"/>
                <w:szCs w:val="16"/>
                <w:color w:val="auto"/>
              </w:rPr>
            </w:pPr>
          </w:p>
        </w:tc>
        <w:tc>
          <w:tcPr>
            <w:tcW w:w="800" w:type="dxa"/>
            <w:vAlign w:val="bottom"/>
            <w:tcBorders>
              <w:bottom w:val="single" w:sz="8" w:color="E7417A"/>
            </w:tcBorders>
          </w:tcPr>
          <w:p>
            <w:pPr>
              <w:spacing w:after="0"/>
              <w:rPr>
                <w:sz w:val="16"/>
                <w:szCs w:val="16"/>
                <w:color w:val="auto"/>
              </w:rPr>
            </w:pPr>
          </w:p>
        </w:tc>
        <w:tc>
          <w:tcPr>
            <w:tcW w:w="180" w:type="dxa"/>
            <w:vAlign w:val="bottom"/>
            <w:tcBorders>
              <w:bottom w:val="single" w:sz="8" w:color="E7417A"/>
            </w:tcBorders>
          </w:tcPr>
          <w:p>
            <w:pPr>
              <w:spacing w:after="0"/>
              <w:rPr>
                <w:sz w:val="16"/>
                <w:szCs w:val="16"/>
                <w:color w:val="auto"/>
              </w:rPr>
            </w:pPr>
          </w:p>
        </w:tc>
        <w:tc>
          <w:tcPr>
            <w:tcW w:w="420" w:type="dxa"/>
            <w:vAlign w:val="bottom"/>
            <w:tcBorders>
              <w:bottom w:val="single" w:sz="8" w:color="E7417A"/>
            </w:tcBorders>
          </w:tcPr>
          <w:p>
            <w:pPr>
              <w:spacing w:after="0"/>
              <w:rPr>
                <w:sz w:val="16"/>
                <w:szCs w:val="16"/>
                <w:color w:val="auto"/>
              </w:rPr>
            </w:pPr>
          </w:p>
        </w:tc>
        <w:tc>
          <w:tcPr>
            <w:tcW w:w="800" w:type="dxa"/>
            <w:vAlign w:val="bottom"/>
            <w:tcBorders>
              <w:bottom w:val="single" w:sz="8" w:color="E7417A"/>
            </w:tcBorders>
          </w:tcPr>
          <w:p>
            <w:pPr>
              <w:spacing w:after="0"/>
              <w:rPr>
                <w:sz w:val="16"/>
                <w:szCs w:val="16"/>
                <w:color w:val="auto"/>
              </w:rPr>
            </w:pPr>
          </w:p>
        </w:tc>
        <w:tc>
          <w:tcPr>
            <w:tcW w:w="280" w:type="dxa"/>
            <w:vAlign w:val="bottom"/>
            <w:tcBorders>
              <w:bottom w:val="single" w:sz="8" w:color="E7417A"/>
            </w:tcBorders>
          </w:tcPr>
          <w:p>
            <w:pPr>
              <w:spacing w:after="0"/>
              <w:rPr>
                <w:sz w:val="16"/>
                <w:szCs w:val="16"/>
                <w:color w:val="auto"/>
              </w:rPr>
            </w:pPr>
          </w:p>
        </w:tc>
        <w:tc>
          <w:tcPr>
            <w:tcW w:w="740" w:type="dxa"/>
            <w:vAlign w:val="bottom"/>
            <w:tcBorders>
              <w:bottom w:val="single" w:sz="8" w:color="E7417A"/>
            </w:tcBorders>
          </w:tcPr>
          <w:p>
            <w:pPr>
              <w:spacing w:after="0"/>
              <w:rPr>
                <w:sz w:val="16"/>
                <w:szCs w:val="16"/>
                <w:color w:val="auto"/>
              </w:rPr>
            </w:pPr>
          </w:p>
        </w:tc>
        <w:tc>
          <w:tcPr>
            <w:tcW w:w="60" w:type="dxa"/>
            <w:vAlign w:val="bottom"/>
            <w:tcBorders>
              <w:bottom w:val="single" w:sz="8" w:color="E7417A"/>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2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Sam Bucci</w:t>
            </w:r>
            <w:r>
              <w:rPr>
                <w:rFonts w:ascii="Arial" w:cs="Arial" w:eastAsia="Arial" w:hAnsi="Arial"/>
                <w:sz w:val="14"/>
                <w:szCs w:val="14"/>
                <w:color w:val="auto"/>
              </w:rPr>
              <w:t>,</w:t>
            </w:r>
          </w:p>
        </w:tc>
        <w:tc>
          <w:tcPr>
            <w:tcW w:w="1220" w:type="dxa"/>
            <w:vAlign w:val="bottom"/>
            <w:gridSpan w:val="2"/>
            <w:vMerge w:val="restart"/>
          </w:tcPr>
          <w:p>
            <w:pPr>
              <w:jc w:val="right"/>
              <w:spacing w:after="0" w:line="164" w:lineRule="exact"/>
              <w:rPr>
                <w:sz w:val="20"/>
                <w:szCs w:val="20"/>
                <w:color w:val="auto"/>
              </w:rPr>
            </w:pPr>
            <w:r>
              <w:rPr>
                <w:rFonts w:ascii="Arial" w:cs="Arial" w:eastAsia="Arial" w:hAnsi="Arial"/>
                <w:sz w:val="18"/>
                <w:szCs w:val="18"/>
                <w:color w:val="auto"/>
                <w:vertAlign w:val="superscript"/>
              </w:rPr>
              <w:t>​ ​ ​</w:t>
            </w:r>
            <w:r>
              <w:rPr>
                <w:rFonts w:ascii="Arial" w:cs="Arial" w:eastAsia="Arial" w:hAnsi="Arial"/>
                <w:sz w:val="11"/>
                <w:szCs w:val="11"/>
                <w:color w:val="auto"/>
              </w:rPr>
              <w:t>​2025</w:t>
            </w:r>
            <w:r>
              <w:rPr>
                <w:rFonts w:ascii="Arial" w:cs="Arial" w:eastAsia="Arial" w:hAnsi="Arial"/>
                <w:sz w:val="18"/>
                <w:szCs w:val="18"/>
                <w:color w:val="auto"/>
                <w:vertAlign w:val="superscript"/>
              </w:rPr>
              <w:t>​ ​ ​</w:t>
            </w:r>
            <w:r>
              <w:rPr>
                <w:rFonts w:ascii="Arial" w:cs="Arial" w:eastAsia="Arial" w:hAnsi="Arial"/>
                <w:sz w:val="11"/>
                <w:szCs w:val="11"/>
                <w:color w:val="auto"/>
              </w:rPr>
              <w:t>​493,117</w:t>
            </w:r>
            <w:r>
              <w:rPr>
                <w:rFonts w:ascii="Arial" w:cs="Arial" w:eastAsia="Arial" w:hAnsi="Arial"/>
                <w:sz w:val="18"/>
                <w:szCs w:val="18"/>
                <w:color w:val="auto"/>
                <w:vertAlign w:val="superscript"/>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20"/>
              <w:spacing w:after="0" w:line="164"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w:t>
            </w:r>
          </w:p>
        </w:tc>
        <w:tc>
          <w:tcPr>
            <w:tcW w:w="200" w:type="dxa"/>
            <w:vAlign w:val="bottom"/>
            <w:vMerge w:val="restart"/>
          </w:tcPr>
          <w:p>
            <w:pPr>
              <w:jc w:val="right"/>
              <w:spacing w:after="0" w:line="164"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vMerge w:val="restart"/>
          </w:tcPr>
          <w:p>
            <w:pPr>
              <w:jc w:val="right"/>
              <w:spacing w:after="0" w:line="164"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 2,663,423</w:t>
            </w:r>
            <w:r>
              <w:rPr>
                <w:rFonts w:ascii="Arial" w:cs="Arial" w:eastAsia="Arial" w:hAnsi="Arial"/>
                <w:sz w:val="18"/>
                <w:szCs w:val="18"/>
                <w:color w:val="auto"/>
                <w:vertAlign w:val="superscript"/>
              </w:rPr>
              <w:t>​ ​</w:t>
            </w:r>
          </w:p>
        </w:tc>
        <w:tc>
          <w:tcPr>
            <w:tcW w:w="1220" w:type="dxa"/>
            <w:vAlign w:val="bottom"/>
            <w:gridSpan w:val="2"/>
            <w:vMerge w:val="restart"/>
          </w:tcPr>
          <w:p>
            <w:pPr>
              <w:jc w:val="right"/>
              <w:ind w:right="256"/>
              <w:spacing w:after="0" w:line="164"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​112,779</w:t>
            </w:r>
          </w:p>
        </w:tc>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420" w:type="dxa"/>
            <w:vAlign w:val="bottom"/>
            <w:vMerge w:val="restart"/>
          </w:tcPr>
          <w:p>
            <w:pPr>
              <w:ind w:left="320"/>
              <w:spacing w:after="0" w:line="164"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w:t>
            </w: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color w:val="auto"/>
              </w:rPr>
              <w:t>25,484</w:t>
            </w:r>
          </w:p>
        </w:tc>
        <w:tc>
          <w:tcPr>
            <w:tcW w:w="280" w:type="dxa"/>
            <w:vAlign w:val="bottom"/>
            <w:vMerge w:val="restart"/>
          </w:tcPr>
          <w:p>
            <w:pPr>
              <w:jc w:val="center"/>
              <w:spacing w:after="0" w:line="164" w:lineRule="exact"/>
              <w:rPr>
                <w:sz w:val="20"/>
                <w:szCs w:val="20"/>
                <w:color w:val="auto"/>
              </w:rPr>
            </w:pPr>
            <w:r>
              <w:rPr>
                <w:rFonts w:ascii="Arial" w:cs="Arial" w:eastAsia="Arial" w:hAnsi="Arial"/>
                <w:sz w:val="11"/>
                <w:szCs w:val="11"/>
                <w:color w:val="auto"/>
              </w:rPr>
              <w:t>​​ ​ ​</w:t>
            </w:r>
            <w:r>
              <w:rPr>
                <w:rFonts w:ascii="Arial" w:cs="Arial" w:eastAsia="Arial" w:hAnsi="Arial"/>
                <w:sz w:val="18"/>
                <w:szCs w:val="18"/>
                <w:color w:val="auto"/>
                <w:vertAlign w:val="subscript"/>
              </w:rPr>
              <w:t>​</w:t>
            </w:r>
          </w:p>
        </w:tc>
        <w:tc>
          <w:tcPr>
            <w:tcW w:w="800" w:type="dxa"/>
            <w:vAlign w:val="bottom"/>
            <w:gridSpan w:val="2"/>
          </w:tcPr>
          <w:p>
            <w:pPr>
              <w:jc w:val="right"/>
              <w:spacing w:after="0" w:line="79" w:lineRule="exact"/>
              <w:rPr>
                <w:sz w:val="20"/>
                <w:szCs w:val="20"/>
                <w:color w:val="auto"/>
              </w:rPr>
            </w:pPr>
            <w:r>
              <w:rPr>
                <w:rFonts w:ascii="Arial" w:cs="Arial" w:eastAsia="Arial" w:hAnsi="Arial"/>
                <w:sz w:val="9"/>
                <w:szCs w:val="9"/>
                <w:color w:val="auto"/>
              </w:rPr>
              <w:t>(5)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0" w:type="dxa"/>
            <w:vAlign w:val="bottom"/>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40" w:type="dxa"/>
            <w:vAlign w:val="bottom"/>
          </w:tcPr>
          <w:p>
            <w:pPr>
              <w:jc w:val="right"/>
              <w:spacing w:after="0" w:line="85" w:lineRule="exact"/>
              <w:rPr>
                <w:sz w:val="20"/>
                <w:szCs w:val="20"/>
                <w:color w:val="auto"/>
              </w:rPr>
            </w:pPr>
            <w:r>
              <w:rPr>
                <w:rFonts w:ascii="Arial" w:cs="Arial" w:eastAsia="Arial" w:hAnsi="Arial"/>
                <w:sz w:val="8"/>
                <w:szCs w:val="8"/>
                <w:color w:val="auto"/>
              </w:rPr>
              <w:t>3,264,803</w:t>
            </w:r>
            <w:r>
              <w:rPr>
                <w:rFonts w:ascii="Arial" w:cs="Arial" w:eastAsia="Arial" w:hAnsi="Arial"/>
                <w:sz w:val="9"/>
                <w:szCs w:val="9"/>
                <w:color w:val="auto"/>
                <w:vertAlign w:val="superscript"/>
              </w:rPr>
              <w: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Executive Vice President</w:t>
            </w:r>
          </w:p>
        </w:tc>
        <w:tc>
          <w:tcPr>
            <w:tcW w:w="100" w:type="dxa"/>
            <w:vAlign w:val="bottom"/>
          </w:tcPr>
          <w:p>
            <w:pPr>
              <w:spacing w:after="0" w:line="20" w:lineRule="exact"/>
              <w:rPr>
                <w:sz w:val="1"/>
                <w:szCs w:val="1"/>
                <w:color w:val="auto"/>
              </w:rPr>
            </w:pPr>
          </w:p>
        </w:tc>
        <w:tc>
          <w:tcPr>
            <w:tcW w:w="1280" w:type="dxa"/>
            <w:vAlign w:val="bottom"/>
            <w:tcBorders>
              <w:bottom w:val="single" w:sz="8" w:color="4C4C4C"/>
            </w:tcBorders>
            <w:gridSpan w:val="2"/>
          </w:tcPr>
          <w:p>
            <w:pPr>
              <w:spacing w:after="0" w:line="20" w:lineRule="exact"/>
              <w:rPr>
                <w:sz w:val="1"/>
                <w:szCs w:val="1"/>
                <w:color w:val="auto"/>
              </w:rPr>
            </w:pPr>
          </w:p>
        </w:tc>
        <w:tc>
          <w:tcPr>
            <w:tcW w:w="400" w:type="dxa"/>
            <w:vAlign w:val="bottom"/>
            <w:tcBorders>
              <w:bottom w:val="single" w:sz="8" w:color="4C4C4C"/>
            </w:tcBorders>
          </w:tcPr>
          <w:p>
            <w:pPr>
              <w:spacing w:after="0" w:line="20" w:lineRule="exact"/>
              <w:rPr>
                <w:sz w:val="1"/>
                <w:szCs w:val="1"/>
                <w:color w:val="auto"/>
              </w:rPr>
            </w:pPr>
          </w:p>
        </w:tc>
        <w:tc>
          <w:tcPr>
            <w:tcW w:w="360" w:type="dxa"/>
            <w:vAlign w:val="bottom"/>
            <w:tcBorders>
              <w:bottom w:val="single" w:sz="8" w:color="4C4C4C"/>
            </w:tcBorders>
            <w:gridSpan w:val="2"/>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800" w:type="dxa"/>
            <w:vAlign w:val="bottom"/>
            <w:tcBorders>
              <w:bottom w:val="single" w:sz="8" w:color="4C4C4C"/>
            </w:tcBorders>
            <w:gridSpan w:val="2"/>
          </w:tcPr>
          <w:p>
            <w:pPr>
              <w:spacing w:after="0" w:line="20" w:lineRule="exact"/>
              <w:rPr>
                <w:sz w:val="1"/>
                <w:szCs w:val="1"/>
                <w:color w:val="auto"/>
              </w:rPr>
            </w:pPr>
          </w:p>
        </w:tc>
        <w:tc>
          <w:tcPr>
            <w:tcW w:w="1220" w:type="dxa"/>
            <w:vAlign w:val="bottom"/>
            <w:tcBorders>
              <w:bottom w:val="single" w:sz="8" w:color="4C4C4C"/>
            </w:tcBorders>
            <w:gridSpan w:val="2"/>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420" w:type="dxa"/>
            <w:vAlign w:val="bottom"/>
            <w:tcBorders>
              <w:bottom w:val="single" w:sz="8" w:color="4C4C4C"/>
            </w:tcBorders>
          </w:tcPr>
          <w:p>
            <w:pPr>
              <w:spacing w:after="0" w:line="20" w:lineRule="exact"/>
              <w:rPr>
                <w:sz w:val="1"/>
                <w:szCs w:val="1"/>
                <w:color w:val="auto"/>
              </w:rPr>
            </w:pPr>
          </w:p>
        </w:tc>
        <w:tc>
          <w:tcPr>
            <w:tcW w:w="800" w:type="dxa"/>
            <w:vAlign w:val="bottom"/>
            <w:tcBorders>
              <w:bottom w:val="single" w:sz="8" w:color="4C4C4C"/>
            </w:tcBorders>
          </w:tcPr>
          <w:p>
            <w:pPr>
              <w:spacing w:after="0" w:line="20" w:lineRule="exact"/>
              <w:rPr>
                <w:sz w:val="1"/>
                <w:szCs w:val="1"/>
                <w:color w:val="auto"/>
              </w:rPr>
            </w:pPr>
          </w:p>
        </w:tc>
        <w:tc>
          <w:tcPr>
            <w:tcW w:w="280" w:type="dxa"/>
            <w:vAlign w:val="bottom"/>
            <w:tcBorders>
              <w:bottom w:val="single" w:sz="8" w:color="4C4C4C"/>
            </w:tcBorders>
          </w:tcPr>
          <w:p>
            <w:pPr>
              <w:spacing w:after="0" w:line="20" w:lineRule="exact"/>
              <w:rPr>
                <w:sz w:val="1"/>
                <w:szCs w:val="1"/>
                <w:color w:val="auto"/>
              </w:rPr>
            </w:pPr>
          </w:p>
        </w:tc>
        <w:tc>
          <w:tcPr>
            <w:tcW w:w="74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spacing w:after="0" w:line="142" w:lineRule="exact"/>
              <w:rPr>
                <w:sz w:val="20"/>
                <w:szCs w:val="20"/>
                <w:color w:val="auto"/>
              </w:rPr>
            </w:pPr>
            <w:r>
              <w:rPr>
                <w:rFonts w:ascii="Arial" w:cs="Arial" w:eastAsia="Arial" w:hAnsi="Arial"/>
                <w:sz w:val="16"/>
                <w:szCs w:val="16"/>
                <w:color w:val="auto"/>
                <w:vertAlign w:val="superscript"/>
              </w:rPr>
              <w:t>​ ​</w:t>
            </w:r>
            <w:r>
              <w:rPr>
                <w:rFonts w:ascii="Arial" w:cs="Arial" w:eastAsia="Arial" w:hAnsi="Arial"/>
                <w:sz w:val="10"/>
                <w:szCs w:val="10"/>
                <w:color w:val="auto"/>
              </w:rPr>
              <w:t>​2024</w:t>
            </w:r>
            <w:r>
              <w:rPr>
                <w:rFonts w:ascii="Arial" w:cs="Arial" w:eastAsia="Arial" w:hAnsi="Arial"/>
                <w:sz w:val="16"/>
                <w:szCs w:val="16"/>
                <w:color w:val="auto"/>
                <w:vertAlign w:val="superscript"/>
              </w:rPr>
              <w:t>​ ​ ​</w:t>
            </w:r>
            <w:r>
              <w:rPr>
                <w:rFonts w:ascii="Arial" w:cs="Arial" w:eastAsia="Arial" w:hAnsi="Arial"/>
                <w:sz w:val="10"/>
                <w:szCs w:val="10"/>
                <w:color w:val="auto"/>
              </w:rPr>
              <w:t>​458,850</w:t>
            </w:r>
            <w:r>
              <w:rPr>
                <w:rFonts w:ascii="Arial" w:cs="Arial" w:eastAsia="Arial" w:hAnsi="Arial"/>
                <w:sz w:val="16"/>
                <w:szCs w:val="16"/>
                <w:color w:val="auto"/>
                <w:vertAlign w:val="superscript"/>
              </w:rPr>
              <w:t>​ ​</w:t>
            </w:r>
          </w:p>
        </w:tc>
        <w:tc>
          <w:tcPr>
            <w:tcW w:w="400" w:type="dxa"/>
            <w:vAlign w:val="bottom"/>
          </w:tcPr>
          <w:p>
            <w:pPr>
              <w:ind w:left="20"/>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w:t>
            </w:r>
          </w:p>
        </w:tc>
        <w:tc>
          <w:tcPr>
            <w:tcW w:w="360" w:type="dxa"/>
            <w:vAlign w:val="bottom"/>
            <w:gridSpan w:val="2"/>
          </w:tcPr>
          <w:p>
            <w:pPr>
              <w:jc w:val="right"/>
              <w:spacing w:after="0" w:line="142"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color w:val="auto"/>
              </w:rPr>
              <w:t>​ ​</w:t>
            </w:r>
          </w:p>
        </w:tc>
        <w:tc>
          <w:tcPr>
            <w:tcW w:w="100" w:type="dxa"/>
            <w:vAlign w:val="bottom"/>
          </w:tcPr>
          <w:p>
            <w:pPr>
              <w:ind w:left="20"/>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w:t>
            </w:r>
          </w:p>
        </w:tc>
        <w:tc>
          <w:tcPr>
            <w:tcW w:w="800" w:type="dxa"/>
            <w:vAlign w:val="bottom"/>
            <w:gridSpan w:val="2"/>
          </w:tcPr>
          <w:p>
            <w:pPr>
              <w:jc w:val="right"/>
              <w:spacing w:after="0" w:line="142" w:lineRule="exact"/>
              <w:rPr>
                <w:sz w:val="20"/>
                <w:szCs w:val="20"/>
                <w:color w:val="auto"/>
              </w:rPr>
            </w:pPr>
            <w:r>
              <w:rPr>
                <w:rFonts w:ascii="Arial" w:cs="Arial" w:eastAsia="Arial" w:hAnsi="Arial"/>
                <w:sz w:val="10"/>
                <w:szCs w:val="10"/>
                <w:color w:val="auto"/>
              </w:rPr>
              <w:t>698,099</w:t>
            </w:r>
            <w:r>
              <w:rPr>
                <w:rFonts w:ascii="Arial" w:cs="Arial" w:eastAsia="Arial" w:hAnsi="Arial"/>
                <w:sz w:val="16"/>
                <w:szCs w:val="16"/>
                <w:color w:val="auto"/>
                <w:vertAlign w:val="superscript"/>
              </w:rPr>
              <w:t>​ ​</w:t>
            </w:r>
          </w:p>
        </w:tc>
        <w:tc>
          <w:tcPr>
            <w:tcW w:w="1220" w:type="dxa"/>
            <w:vAlign w:val="bottom"/>
            <w:gridSpan w:val="2"/>
          </w:tcPr>
          <w:p>
            <w:pPr>
              <w:jc w:val="right"/>
              <w:ind w:right="256"/>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​240,896</w:t>
            </w:r>
          </w:p>
        </w:tc>
        <w:tc>
          <w:tcPr>
            <w:tcW w:w="180" w:type="dxa"/>
            <w:vAlign w:val="bottom"/>
          </w:tcPr>
          <w:p>
            <w:pPr>
              <w:spacing w:after="0" w:line="142" w:lineRule="exact"/>
              <w:rPr>
                <w:sz w:val="20"/>
                <w:szCs w:val="20"/>
                <w:color w:val="auto"/>
              </w:rPr>
            </w:pPr>
            <w:r>
              <w:rPr>
                <w:rFonts w:ascii="Arial" w:cs="Arial" w:eastAsia="Arial" w:hAnsi="Arial"/>
                <w:sz w:val="14"/>
                <w:szCs w:val="14"/>
                <w:color w:val="auto"/>
              </w:rPr>
              <w:t>​​ ​</w:t>
            </w:r>
          </w:p>
        </w:tc>
        <w:tc>
          <w:tcPr>
            <w:tcW w:w="420" w:type="dxa"/>
            <w:vAlign w:val="bottom"/>
          </w:tcPr>
          <w:p>
            <w:pPr>
              <w:ind w:left="320"/>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w:t>
            </w:r>
          </w:p>
        </w:tc>
        <w:tc>
          <w:tcPr>
            <w:tcW w:w="80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18,270</w:t>
            </w:r>
          </w:p>
        </w:tc>
        <w:tc>
          <w:tcPr>
            <w:tcW w:w="280" w:type="dxa"/>
            <w:vAlign w:val="bottom"/>
          </w:tcPr>
          <w:p>
            <w:pPr>
              <w:jc w:val="center"/>
              <w:spacing w:after="0" w:line="142" w:lineRule="exact"/>
              <w:rPr>
                <w:sz w:val="20"/>
                <w:szCs w:val="20"/>
                <w:color w:val="auto"/>
              </w:rPr>
            </w:pPr>
            <w:r>
              <w:rPr>
                <w:rFonts w:ascii="Arial" w:cs="Arial" w:eastAsia="Arial" w:hAnsi="Arial"/>
                <w:sz w:val="10"/>
                <w:szCs w:val="10"/>
                <w:color w:val="auto"/>
              </w:rPr>
              <w:t>​​ ​ ​</w:t>
            </w:r>
            <w:r>
              <w:rPr>
                <w:rFonts w:ascii="Arial" w:cs="Arial" w:eastAsia="Arial" w:hAnsi="Arial"/>
                <w:sz w:val="16"/>
                <w:szCs w:val="16"/>
                <w:color w:val="auto"/>
                <w:vertAlign w:val="subscript"/>
              </w:rPr>
              <w:t>​</w:t>
            </w:r>
          </w:p>
        </w:tc>
        <w:tc>
          <w:tcPr>
            <w:tcW w:w="740" w:type="dxa"/>
            <w:vAlign w:val="bottom"/>
          </w:tcPr>
          <w:p>
            <w:pPr>
              <w:jc w:val="right"/>
              <w:spacing w:after="0" w:line="142" w:lineRule="exact"/>
              <w:rPr>
                <w:sz w:val="20"/>
                <w:szCs w:val="20"/>
                <w:color w:val="auto"/>
              </w:rPr>
            </w:pPr>
            <w:r>
              <w:rPr>
                <w:rFonts w:ascii="Arial" w:cs="Arial" w:eastAsia="Arial" w:hAnsi="Arial"/>
                <w:sz w:val="10"/>
                <w:szCs w:val="10"/>
                <w:color w:val="auto"/>
              </w:rPr>
              <w:t>1,416,115</w:t>
            </w:r>
            <w:r>
              <w:rPr>
                <w:rFonts w:ascii="Arial" w:cs="Arial" w:eastAsia="Arial" w:hAnsi="Arial"/>
                <w:sz w:val="16"/>
                <w:szCs w:val="16"/>
                <w:color w:val="auto"/>
                <w:vertAlign w:val="superscript"/>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060" w:type="dxa"/>
            <w:vAlign w:val="bottom"/>
            <w:vMerge w:val="restart"/>
          </w:tcPr>
          <w:p>
            <w:pPr>
              <w:ind w:left="60"/>
              <w:spacing w:after="0" w:line="153" w:lineRule="exact"/>
              <w:rPr>
                <w:sz w:val="20"/>
                <w:szCs w:val="20"/>
                <w:color w:val="auto"/>
              </w:rPr>
            </w:pPr>
            <w:r>
              <w:rPr>
                <w:rFonts w:ascii="Arial" w:cs="Arial" w:eastAsia="Arial" w:hAnsi="Arial"/>
                <w:sz w:val="14"/>
                <w:szCs w:val="14"/>
                <w:color w:val="auto"/>
              </w:rPr>
              <w:t>and Chief Operating</w:t>
            </w:r>
          </w:p>
        </w:tc>
        <w:tc>
          <w:tcPr>
            <w:tcW w:w="100" w:type="dxa"/>
            <w:vAlign w:val="bottom"/>
          </w:tcPr>
          <w:p>
            <w:pPr>
              <w:spacing w:after="0"/>
              <w:rPr>
                <w:sz w:val="4"/>
                <w:szCs w:val="4"/>
                <w:color w:val="auto"/>
              </w:rPr>
            </w:pPr>
          </w:p>
        </w:tc>
        <w:tc>
          <w:tcPr>
            <w:tcW w:w="112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20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30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18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28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2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 ​​2023​ ​ ​​435,754​</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color w:val="auto"/>
              </w:rPr>
              <w:t>​​ 1,344,641​ ​</w:t>
            </w:r>
          </w:p>
        </w:tc>
        <w:tc>
          <w:tcPr>
            <w:tcW w:w="4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56"/>
              <w:spacing w:after="0"/>
              <w:rPr>
                <w:sz w:val="20"/>
                <w:szCs w:val="20"/>
                <w:color w:val="auto"/>
              </w:rPr>
            </w:pPr>
            <w:r>
              <w:rPr>
                <w:rFonts w:ascii="Arial" w:cs="Arial" w:eastAsia="Arial" w:hAnsi="Arial"/>
                <w:sz w:val="14"/>
                <w:szCs w:val="14"/>
                <w:color w:val="auto"/>
              </w:rPr>
              <w:t>48,400</w:t>
            </w:r>
          </w:p>
        </w:tc>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4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color w:val="auto"/>
              </w:rPr>
              <w:t>14,306</w:t>
            </w:r>
          </w:p>
        </w:tc>
        <w:tc>
          <w:tcPr>
            <w:tcW w:w="280" w:type="dxa"/>
            <w:vAlign w:val="bottom"/>
            <w:vMerge w:val="restart"/>
          </w:tcPr>
          <w:p>
            <w:pPr>
              <w:jc w:val="center"/>
              <w:spacing w:after="0"/>
              <w:rPr>
                <w:sz w:val="20"/>
                <w:szCs w:val="20"/>
                <w:color w:val="auto"/>
              </w:rPr>
            </w:pPr>
            <w:r>
              <w:rPr>
                <w:rFonts w:ascii="Arial" w:cs="Arial" w:eastAsia="Arial" w:hAnsi="Arial"/>
                <w:sz w:val="14"/>
                <w:szCs w:val="14"/>
                <w:color w:val="auto"/>
              </w:rPr>
              <w:t>​​ ​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1,843,101​</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Officer</w:t>
            </w: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E7417A"/>
            </w:tcBorders>
          </w:tcPr>
          <w:p>
            <w:pPr>
              <w:spacing w:after="0"/>
              <w:rPr>
                <w:sz w:val="7"/>
                <w:szCs w:val="7"/>
                <w:color w:val="auto"/>
              </w:rPr>
            </w:pPr>
          </w:p>
        </w:tc>
        <w:tc>
          <w:tcPr>
            <w:tcW w:w="2060" w:type="dxa"/>
            <w:vAlign w:val="bottom"/>
            <w:tcBorders>
              <w:bottom w:val="single" w:sz="8" w:color="E7417A"/>
            </w:tcBorders>
            <w:vMerge w:val="continue"/>
          </w:tcPr>
          <w:p>
            <w:pPr>
              <w:spacing w:after="0"/>
              <w:rPr>
                <w:sz w:val="7"/>
                <w:szCs w:val="7"/>
                <w:color w:val="auto"/>
              </w:rPr>
            </w:pPr>
          </w:p>
        </w:tc>
        <w:tc>
          <w:tcPr>
            <w:tcW w:w="100" w:type="dxa"/>
            <w:vAlign w:val="bottom"/>
            <w:tcBorders>
              <w:bottom w:val="single" w:sz="8" w:color="E7417A"/>
            </w:tcBorders>
          </w:tcPr>
          <w:p>
            <w:pPr>
              <w:spacing w:after="0"/>
              <w:rPr>
                <w:sz w:val="7"/>
                <w:szCs w:val="7"/>
                <w:color w:val="auto"/>
              </w:rPr>
            </w:pPr>
          </w:p>
        </w:tc>
        <w:tc>
          <w:tcPr>
            <w:tcW w:w="1120" w:type="dxa"/>
            <w:vAlign w:val="bottom"/>
            <w:tcBorders>
              <w:bottom w:val="single" w:sz="8" w:color="E7417A"/>
            </w:tcBorders>
          </w:tcPr>
          <w:p>
            <w:pPr>
              <w:spacing w:after="0"/>
              <w:rPr>
                <w:sz w:val="7"/>
                <w:szCs w:val="7"/>
                <w:color w:val="auto"/>
              </w:rPr>
            </w:pPr>
          </w:p>
        </w:tc>
        <w:tc>
          <w:tcPr>
            <w:tcW w:w="160" w:type="dxa"/>
            <w:vAlign w:val="bottom"/>
            <w:tcBorders>
              <w:bottom w:val="single" w:sz="8" w:color="E7417A"/>
            </w:tcBorders>
          </w:tcPr>
          <w:p>
            <w:pPr>
              <w:spacing w:after="0"/>
              <w:rPr>
                <w:sz w:val="7"/>
                <w:szCs w:val="7"/>
                <w:color w:val="auto"/>
              </w:rPr>
            </w:pPr>
          </w:p>
        </w:tc>
        <w:tc>
          <w:tcPr>
            <w:tcW w:w="400" w:type="dxa"/>
            <w:vAlign w:val="bottom"/>
            <w:tcBorders>
              <w:bottom w:val="single" w:sz="8" w:color="E7417A"/>
            </w:tcBorders>
          </w:tcPr>
          <w:p>
            <w:pPr>
              <w:spacing w:after="0"/>
              <w:rPr>
                <w:sz w:val="7"/>
                <w:szCs w:val="7"/>
                <w:color w:val="auto"/>
              </w:rPr>
            </w:pPr>
          </w:p>
        </w:tc>
        <w:tc>
          <w:tcPr>
            <w:tcW w:w="200" w:type="dxa"/>
            <w:vAlign w:val="bottom"/>
            <w:tcBorders>
              <w:bottom w:val="single" w:sz="8" w:color="E7417A"/>
            </w:tcBorders>
          </w:tcPr>
          <w:p>
            <w:pPr>
              <w:spacing w:after="0"/>
              <w:rPr>
                <w:sz w:val="7"/>
                <w:szCs w:val="7"/>
                <w:color w:val="auto"/>
              </w:rPr>
            </w:pPr>
          </w:p>
        </w:tc>
        <w:tc>
          <w:tcPr>
            <w:tcW w:w="160" w:type="dxa"/>
            <w:vAlign w:val="bottom"/>
            <w:tcBorders>
              <w:bottom w:val="single" w:sz="8" w:color="E7417A"/>
            </w:tcBorders>
          </w:tcPr>
          <w:p>
            <w:pPr>
              <w:spacing w:after="0"/>
              <w:rPr>
                <w:sz w:val="7"/>
                <w:szCs w:val="7"/>
                <w:color w:val="auto"/>
              </w:rPr>
            </w:pPr>
          </w:p>
        </w:tc>
        <w:tc>
          <w:tcPr>
            <w:tcW w:w="100" w:type="dxa"/>
            <w:vAlign w:val="bottom"/>
            <w:tcBorders>
              <w:bottom w:val="single" w:sz="8" w:color="E7417A"/>
            </w:tcBorders>
          </w:tcPr>
          <w:p>
            <w:pPr>
              <w:spacing w:after="0"/>
              <w:rPr>
                <w:sz w:val="7"/>
                <w:szCs w:val="7"/>
                <w:color w:val="auto"/>
              </w:rPr>
            </w:pPr>
          </w:p>
        </w:tc>
        <w:tc>
          <w:tcPr>
            <w:tcW w:w="500" w:type="dxa"/>
            <w:vAlign w:val="bottom"/>
            <w:tcBorders>
              <w:bottom w:val="single" w:sz="8" w:color="E7417A"/>
            </w:tcBorders>
          </w:tcPr>
          <w:p>
            <w:pPr>
              <w:spacing w:after="0"/>
              <w:rPr>
                <w:sz w:val="7"/>
                <w:szCs w:val="7"/>
                <w:color w:val="auto"/>
              </w:rPr>
            </w:pPr>
          </w:p>
        </w:tc>
        <w:tc>
          <w:tcPr>
            <w:tcW w:w="300" w:type="dxa"/>
            <w:vAlign w:val="bottom"/>
            <w:tcBorders>
              <w:bottom w:val="single" w:sz="8" w:color="E7417A"/>
            </w:tcBorders>
          </w:tcPr>
          <w:p>
            <w:pPr>
              <w:spacing w:after="0"/>
              <w:rPr>
                <w:sz w:val="7"/>
                <w:szCs w:val="7"/>
                <w:color w:val="auto"/>
              </w:rPr>
            </w:pPr>
          </w:p>
        </w:tc>
        <w:tc>
          <w:tcPr>
            <w:tcW w:w="420" w:type="dxa"/>
            <w:vAlign w:val="bottom"/>
            <w:tcBorders>
              <w:bottom w:val="single" w:sz="8" w:color="E7417A"/>
            </w:tcBorders>
          </w:tcPr>
          <w:p>
            <w:pPr>
              <w:spacing w:after="0"/>
              <w:rPr>
                <w:sz w:val="7"/>
                <w:szCs w:val="7"/>
                <w:color w:val="auto"/>
              </w:rPr>
            </w:pPr>
          </w:p>
        </w:tc>
        <w:tc>
          <w:tcPr>
            <w:tcW w:w="800" w:type="dxa"/>
            <w:vAlign w:val="bottom"/>
            <w:tcBorders>
              <w:bottom w:val="single" w:sz="8" w:color="E7417A"/>
            </w:tcBorders>
          </w:tcPr>
          <w:p>
            <w:pPr>
              <w:spacing w:after="0"/>
              <w:rPr>
                <w:sz w:val="7"/>
                <w:szCs w:val="7"/>
                <w:color w:val="auto"/>
              </w:rPr>
            </w:pPr>
          </w:p>
        </w:tc>
        <w:tc>
          <w:tcPr>
            <w:tcW w:w="180" w:type="dxa"/>
            <w:vAlign w:val="bottom"/>
            <w:tcBorders>
              <w:bottom w:val="single" w:sz="8" w:color="E7417A"/>
            </w:tcBorders>
          </w:tcPr>
          <w:p>
            <w:pPr>
              <w:spacing w:after="0"/>
              <w:rPr>
                <w:sz w:val="7"/>
                <w:szCs w:val="7"/>
                <w:color w:val="auto"/>
              </w:rPr>
            </w:pPr>
          </w:p>
        </w:tc>
        <w:tc>
          <w:tcPr>
            <w:tcW w:w="420" w:type="dxa"/>
            <w:vAlign w:val="bottom"/>
            <w:tcBorders>
              <w:bottom w:val="single" w:sz="8" w:color="E7417A"/>
            </w:tcBorders>
          </w:tcPr>
          <w:p>
            <w:pPr>
              <w:spacing w:after="0"/>
              <w:rPr>
                <w:sz w:val="7"/>
                <w:szCs w:val="7"/>
                <w:color w:val="auto"/>
              </w:rPr>
            </w:pPr>
          </w:p>
        </w:tc>
        <w:tc>
          <w:tcPr>
            <w:tcW w:w="800" w:type="dxa"/>
            <w:vAlign w:val="bottom"/>
            <w:tcBorders>
              <w:bottom w:val="single" w:sz="8" w:color="E7417A"/>
            </w:tcBorders>
          </w:tcPr>
          <w:p>
            <w:pPr>
              <w:spacing w:after="0"/>
              <w:rPr>
                <w:sz w:val="7"/>
                <w:szCs w:val="7"/>
                <w:color w:val="auto"/>
              </w:rPr>
            </w:pPr>
          </w:p>
        </w:tc>
        <w:tc>
          <w:tcPr>
            <w:tcW w:w="280" w:type="dxa"/>
            <w:vAlign w:val="bottom"/>
            <w:tcBorders>
              <w:bottom w:val="single" w:sz="8" w:color="E7417A"/>
            </w:tcBorders>
          </w:tcPr>
          <w:p>
            <w:pPr>
              <w:spacing w:after="0"/>
              <w:rPr>
                <w:sz w:val="7"/>
                <w:szCs w:val="7"/>
                <w:color w:val="auto"/>
              </w:rPr>
            </w:pPr>
          </w:p>
        </w:tc>
        <w:tc>
          <w:tcPr>
            <w:tcW w:w="740" w:type="dxa"/>
            <w:vAlign w:val="bottom"/>
            <w:tcBorders>
              <w:bottom w:val="single" w:sz="8" w:color="E7417A"/>
            </w:tcBorders>
          </w:tcPr>
          <w:p>
            <w:pPr>
              <w:spacing w:after="0"/>
              <w:rPr>
                <w:sz w:val="7"/>
                <w:szCs w:val="7"/>
                <w:color w:val="auto"/>
              </w:rPr>
            </w:pPr>
          </w:p>
        </w:tc>
        <w:tc>
          <w:tcPr>
            <w:tcW w:w="60" w:type="dxa"/>
            <w:vAlign w:val="bottom"/>
            <w:tcBorders>
              <w:bottom w:val="single" w:sz="8" w:color="E7417A"/>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60" w:type="dxa"/>
            <w:vAlign w:val="bottom"/>
          </w:tcPr>
          <w:p>
            <w:pPr>
              <w:spacing w:after="0"/>
              <w:rPr>
                <w:sz w:val="20"/>
                <w:szCs w:val="20"/>
                <w:color w:val="auto"/>
              </w:rPr>
            </w:pPr>
            <w:r>
              <w:rPr>
                <w:rFonts w:ascii="Arial" w:cs="Arial" w:eastAsia="Arial" w:hAnsi="Arial"/>
                <w:sz w:val="14"/>
                <w:szCs w:val="14"/>
                <w:color w:val="auto"/>
              </w:rPr>
              <w:t>​</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Patrick Macken</w:t>
            </w:r>
            <w:r>
              <w:rPr>
                <w:rFonts w:ascii="Arial" w:cs="Arial" w:eastAsia="Arial" w:hAnsi="Arial"/>
                <w:sz w:val="14"/>
                <w:szCs w:val="14"/>
                <w:color w:val="auto"/>
              </w:rPr>
              <w:t>,</w:t>
            </w:r>
          </w:p>
        </w:tc>
        <w:tc>
          <w:tcPr>
            <w:tcW w:w="1220" w:type="dxa"/>
            <w:vAlign w:val="bottom"/>
            <w:gridSpan w:val="2"/>
          </w:tcPr>
          <w:p>
            <w:pPr>
              <w:jc w:val="right"/>
              <w:spacing w:after="0" w:line="164" w:lineRule="exact"/>
              <w:rPr>
                <w:sz w:val="20"/>
                <w:szCs w:val="20"/>
                <w:color w:val="auto"/>
              </w:rPr>
            </w:pPr>
            <w:r>
              <w:rPr>
                <w:rFonts w:ascii="Arial" w:cs="Arial" w:eastAsia="Arial" w:hAnsi="Arial"/>
                <w:sz w:val="18"/>
                <w:szCs w:val="18"/>
                <w:color w:val="auto"/>
                <w:vertAlign w:val="superscript"/>
              </w:rPr>
              <w:t>​ ​ ​</w:t>
            </w:r>
            <w:r>
              <w:rPr>
                <w:rFonts w:ascii="Arial" w:cs="Arial" w:eastAsia="Arial" w:hAnsi="Arial"/>
                <w:sz w:val="11"/>
                <w:szCs w:val="11"/>
                <w:color w:val="auto"/>
              </w:rPr>
              <w:t>​2025</w:t>
            </w:r>
            <w:r>
              <w:rPr>
                <w:rFonts w:ascii="Arial" w:cs="Arial" w:eastAsia="Arial" w:hAnsi="Arial"/>
                <w:sz w:val="18"/>
                <w:szCs w:val="18"/>
                <w:color w:val="auto"/>
                <w:vertAlign w:val="superscript"/>
              </w:rPr>
              <w:t>​ ​ ​</w:t>
            </w:r>
            <w:r>
              <w:rPr>
                <w:rFonts w:ascii="Arial" w:cs="Arial" w:eastAsia="Arial" w:hAnsi="Arial"/>
                <w:sz w:val="11"/>
                <w:szCs w:val="11"/>
                <w:color w:val="auto"/>
              </w:rPr>
              <w:t>​478,500</w:t>
            </w:r>
            <w:r>
              <w:rPr>
                <w:rFonts w:ascii="Arial" w:cs="Arial" w:eastAsia="Arial" w:hAnsi="Arial"/>
                <w:sz w:val="18"/>
                <w:szCs w:val="18"/>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tcPr>
          <w:p>
            <w:pPr>
              <w:ind w:left="20"/>
              <w:spacing w:after="0" w:line="164"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bscript"/>
              </w:rPr>
              <w:t>​</w:t>
            </w:r>
          </w:p>
        </w:tc>
        <w:tc>
          <w:tcPr>
            <w:tcW w:w="200" w:type="dxa"/>
            <w:vAlign w:val="bottom"/>
          </w:tcPr>
          <w:p>
            <w:pPr>
              <w:jc w:val="right"/>
              <w:spacing w:after="0" w:line="164"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perscript"/>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spacing w:after="0" w:line="164"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 1,832,009</w:t>
            </w:r>
            <w:r>
              <w:rPr>
                <w:rFonts w:ascii="Arial" w:cs="Arial" w:eastAsia="Arial" w:hAnsi="Arial"/>
                <w:sz w:val="18"/>
                <w:szCs w:val="18"/>
                <w:color w:val="auto"/>
                <w:vertAlign w:val="superscript"/>
              </w:rPr>
              <w:t>​ ​</w:t>
            </w:r>
          </w:p>
        </w:tc>
        <w:tc>
          <w:tcPr>
            <w:tcW w:w="1220" w:type="dxa"/>
            <w:vAlign w:val="bottom"/>
            <w:gridSpan w:val="2"/>
          </w:tcPr>
          <w:p>
            <w:pPr>
              <w:jc w:val="right"/>
              <w:ind w:right="256"/>
              <w:spacing w:after="0" w:line="164"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​107,752</w:t>
            </w:r>
          </w:p>
        </w:tc>
        <w:tc>
          <w:tcPr>
            <w:tcW w:w="180" w:type="dxa"/>
            <w:vAlign w:val="bottom"/>
          </w:tcPr>
          <w:p>
            <w:pPr>
              <w:spacing w:after="0"/>
              <w:rPr>
                <w:sz w:val="20"/>
                <w:szCs w:val="20"/>
                <w:color w:val="auto"/>
              </w:rPr>
            </w:pPr>
            <w:r>
              <w:rPr>
                <w:rFonts w:ascii="Arial" w:cs="Arial" w:eastAsia="Arial" w:hAnsi="Arial"/>
                <w:sz w:val="14"/>
                <w:szCs w:val="14"/>
                <w:color w:val="auto"/>
              </w:rPr>
              <w:t>​​ ​</w:t>
            </w:r>
          </w:p>
        </w:tc>
        <w:tc>
          <w:tcPr>
            <w:tcW w:w="420" w:type="dxa"/>
            <w:vAlign w:val="bottom"/>
          </w:tcPr>
          <w:p>
            <w:pPr>
              <w:ind w:left="320"/>
              <w:spacing w:after="0" w:line="164"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bscript"/>
              </w:rPr>
              <w:t>​</w:t>
            </w:r>
          </w:p>
        </w:tc>
        <w:tc>
          <w:tcPr>
            <w:tcW w:w="800" w:type="dxa"/>
            <w:vAlign w:val="bottom"/>
          </w:tcPr>
          <w:p>
            <w:pPr>
              <w:jc w:val="right"/>
              <w:ind w:right="252"/>
              <w:spacing w:after="0"/>
              <w:rPr>
                <w:sz w:val="20"/>
                <w:szCs w:val="20"/>
                <w:color w:val="auto"/>
              </w:rPr>
            </w:pPr>
            <w:r>
              <w:rPr>
                <w:rFonts w:ascii="Arial" w:cs="Arial" w:eastAsia="Arial" w:hAnsi="Arial"/>
                <w:sz w:val="14"/>
                <w:szCs w:val="14"/>
                <w:color w:val="auto"/>
              </w:rPr>
              <w:t>39,295</w:t>
            </w:r>
          </w:p>
        </w:tc>
        <w:tc>
          <w:tcPr>
            <w:tcW w:w="280" w:type="dxa"/>
            <w:vAlign w:val="bottom"/>
          </w:tcPr>
          <w:p>
            <w:pPr>
              <w:jc w:val="center"/>
              <w:spacing w:after="0" w:line="164" w:lineRule="exact"/>
              <w:rPr>
                <w:sz w:val="20"/>
                <w:szCs w:val="20"/>
                <w:color w:val="auto"/>
              </w:rPr>
            </w:pPr>
            <w:r>
              <w:rPr>
                <w:rFonts w:ascii="Arial" w:cs="Arial" w:eastAsia="Arial" w:hAnsi="Arial"/>
                <w:sz w:val="11"/>
                <w:szCs w:val="11"/>
                <w:color w:val="auto"/>
              </w:rPr>
              <w:t>​​ ​ ​</w:t>
            </w:r>
            <w:r>
              <w:rPr>
                <w:rFonts w:ascii="Arial" w:cs="Arial" w:eastAsia="Arial" w:hAnsi="Arial"/>
                <w:sz w:val="18"/>
                <w:szCs w:val="18"/>
                <w:color w:val="auto"/>
                <w:vertAlign w:val="subscript"/>
              </w:rPr>
              <w:t>​</w:t>
            </w:r>
          </w:p>
        </w:tc>
        <w:tc>
          <w:tcPr>
            <w:tcW w:w="740" w:type="dxa"/>
            <w:vAlign w:val="bottom"/>
          </w:tcPr>
          <w:p>
            <w:pPr>
              <w:jc w:val="right"/>
              <w:spacing w:after="0" w:line="164" w:lineRule="exact"/>
              <w:rPr>
                <w:sz w:val="20"/>
                <w:szCs w:val="20"/>
                <w:color w:val="auto"/>
              </w:rPr>
            </w:pPr>
            <w:r>
              <w:rPr>
                <w:rFonts w:ascii="Arial" w:cs="Arial" w:eastAsia="Arial" w:hAnsi="Arial"/>
                <w:sz w:val="11"/>
                <w:szCs w:val="11"/>
                <w:color w:val="auto"/>
              </w:rPr>
              <w:t>2,457,556</w:t>
            </w:r>
            <w:r>
              <w:rPr>
                <w:rFonts w:ascii="Arial" w:cs="Arial" w:eastAsia="Arial" w:hAnsi="Arial"/>
                <w:sz w:val="18"/>
                <w:szCs w:val="18"/>
                <w:color w:val="auto"/>
                <w:vertAlign w:val="superscript"/>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Executive Vice President,</w:t>
            </w:r>
          </w:p>
        </w:tc>
        <w:tc>
          <w:tcPr>
            <w:tcW w:w="100" w:type="dxa"/>
            <w:vAlign w:val="bottom"/>
          </w:tcPr>
          <w:p>
            <w:pPr>
              <w:spacing w:after="0" w:line="20" w:lineRule="exact"/>
              <w:rPr>
                <w:sz w:val="1"/>
                <w:szCs w:val="1"/>
                <w:color w:val="auto"/>
              </w:rPr>
            </w:pPr>
          </w:p>
        </w:tc>
        <w:tc>
          <w:tcPr>
            <w:tcW w:w="1120" w:type="dxa"/>
            <w:vAlign w:val="bottom"/>
            <w:tcBorders>
              <w:bottom w:val="single" w:sz="8" w:color="4C4C4C"/>
            </w:tcBorders>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600" w:type="dxa"/>
            <w:vAlign w:val="bottom"/>
            <w:tcBorders>
              <w:bottom w:val="single" w:sz="8" w:color="4C4C4C"/>
            </w:tcBorders>
            <w:gridSpan w:val="2"/>
          </w:tcPr>
          <w:p>
            <w:pPr>
              <w:spacing w:after="0" w:line="20" w:lineRule="exact"/>
              <w:rPr>
                <w:sz w:val="1"/>
                <w:szCs w:val="1"/>
                <w:color w:val="auto"/>
              </w:rPr>
            </w:pPr>
          </w:p>
        </w:tc>
        <w:tc>
          <w:tcPr>
            <w:tcW w:w="160" w:type="dxa"/>
            <w:vAlign w:val="bottom"/>
            <w:tcBorders>
              <w:bottom w:val="single" w:sz="8" w:color="4C4C4C"/>
            </w:tcBorders>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800" w:type="dxa"/>
            <w:vAlign w:val="bottom"/>
            <w:tcBorders>
              <w:bottom w:val="single" w:sz="8" w:color="4C4C4C"/>
            </w:tcBorders>
            <w:gridSpan w:val="2"/>
          </w:tcPr>
          <w:p>
            <w:pPr>
              <w:spacing w:after="0" w:line="20" w:lineRule="exact"/>
              <w:rPr>
                <w:sz w:val="1"/>
                <w:szCs w:val="1"/>
                <w:color w:val="auto"/>
              </w:rPr>
            </w:pPr>
          </w:p>
        </w:tc>
        <w:tc>
          <w:tcPr>
            <w:tcW w:w="1220" w:type="dxa"/>
            <w:vAlign w:val="bottom"/>
            <w:tcBorders>
              <w:bottom w:val="single" w:sz="8" w:color="4C4C4C"/>
            </w:tcBorders>
            <w:gridSpan w:val="2"/>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420" w:type="dxa"/>
            <w:vAlign w:val="bottom"/>
            <w:tcBorders>
              <w:bottom w:val="single" w:sz="8" w:color="4C4C4C"/>
            </w:tcBorders>
          </w:tcPr>
          <w:p>
            <w:pPr>
              <w:spacing w:after="0" w:line="20" w:lineRule="exact"/>
              <w:rPr>
                <w:sz w:val="1"/>
                <w:szCs w:val="1"/>
                <w:color w:val="auto"/>
              </w:rPr>
            </w:pPr>
          </w:p>
        </w:tc>
        <w:tc>
          <w:tcPr>
            <w:tcW w:w="800" w:type="dxa"/>
            <w:vAlign w:val="bottom"/>
            <w:tcBorders>
              <w:bottom w:val="single" w:sz="8" w:color="4C4C4C"/>
            </w:tcBorders>
          </w:tcPr>
          <w:p>
            <w:pPr>
              <w:spacing w:after="0" w:line="20" w:lineRule="exact"/>
              <w:rPr>
                <w:sz w:val="1"/>
                <w:szCs w:val="1"/>
                <w:color w:val="auto"/>
              </w:rPr>
            </w:pPr>
          </w:p>
        </w:tc>
        <w:tc>
          <w:tcPr>
            <w:tcW w:w="280" w:type="dxa"/>
            <w:vAlign w:val="bottom"/>
            <w:tcBorders>
              <w:bottom w:val="single" w:sz="8" w:color="4C4C4C"/>
            </w:tcBorders>
          </w:tcPr>
          <w:p>
            <w:pPr>
              <w:spacing w:after="0" w:line="20" w:lineRule="exact"/>
              <w:rPr>
                <w:sz w:val="1"/>
                <w:szCs w:val="1"/>
                <w:color w:val="auto"/>
              </w:rPr>
            </w:pPr>
          </w:p>
        </w:tc>
        <w:tc>
          <w:tcPr>
            <w:tcW w:w="74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6"/>
                <w:szCs w:val="16"/>
                <w:color w:val="auto"/>
                <w:vertAlign w:val="superscript"/>
              </w:rPr>
              <w:t>​ ​</w:t>
            </w:r>
            <w:r>
              <w:rPr>
                <w:rFonts w:ascii="Arial" w:cs="Arial" w:eastAsia="Arial" w:hAnsi="Arial"/>
                <w:sz w:val="10"/>
                <w:szCs w:val="10"/>
                <w:color w:val="auto"/>
              </w:rPr>
              <w:t>​2024</w:t>
            </w:r>
            <w:r>
              <w:rPr>
                <w:rFonts w:ascii="Arial" w:cs="Arial" w:eastAsia="Arial" w:hAnsi="Arial"/>
                <w:sz w:val="16"/>
                <w:szCs w:val="16"/>
                <w:color w:val="auto"/>
                <w:vertAlign w:val="superscript"/>
              </w:rPr>
              <w:t>​ ​ ​</w:t>
            </w:r>
            <w:r>
              <w:rPr>
                <w:rFonts w:ascii="Arial" w:cs="Arial" w:eastAsia="Arial" w:hAnsi="Arial"/>
                <w:sz w:val="10"/>
                <w:szCs w:val="10"/>
                <w:color w:val="auto"/>
              </w:rPr>
              <w:t>​478,500</w:t>
            </w:r>
            <w:r>
              <w:rPr>
                <w:rFonts w:ascii="Arial" w:cs="Arial" w:eastAsia="Arial" w:hAnsi="Arial"/>
                <w:sz w:val="16"/>
                <w:szCs w:val="16"/>
                <w:color w:val="auto"/>
                <w:vertAlign w:val="superscript"/>
              </w:rPr>
              <w:t>​</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600" w:type="dxa"/>
            <w:vAlign w:val="bottom"/>
            <w:gridSpan w:val="2"/>
          </w:tcPr>
          <w:p>
            <w:pPr>
              <w:ind w:left="20"/>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​100,000</w:t>
            </w:r>
            <w:r>
              <w:rPr>
                <w:rFonts w:ascii="Arial" w:cs="Arial" w:eastAsia="Arial" w:hAnsi="Arial"/>
                <w:sz w:val="16"/>
                <w:szCs w:val="16"/>
                <w:color w:val="auto"/>
                <w:vertAlign w:val="superscript"/>
              </w:rPr>
              <w:t>​</w:t>
            </w:r>
          </w:p>
        </w:tc>
        <w:tc>
          <w:tcPr>
            <w:tcW w:w="16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ind w:left="20"/>
              <w:spacing w:after="0" w:line="142" w:lineRule="exact"/>
              <w:rPr>
                <w:sz w:val="20"/>
                <w:szCs w:val="20"/>
                <w:color w:val="auto"/>
              </w:rPr>
            </w:pPr>
            <w:r>
              <w:rPr>
                <w:rFonts w:ascii="Arial" w:cs="Arial" w:eastAsia="Arial" w:hAnsi="Arial"/>
                <w:sz w:val="10"/>
                <w:szCs w:val="10"/>
                <w:color w:val="auto"/>
              </w:rPr>
              <w:t>​</w:t>
            </w:r>
            <w:r>
              <w:rPr>
                <w:rFonts w:ascii="Arial" w:cs="Arial" w:eastAsia="Arial" w:hAnsi="Arial"/>
                <w:sz w:val="16"/>
                <w:szCs w:val="16"/>
                <w:color w:val="auto"/>
                <w:vertAlign w:val="subscript"/>
              </w:rPr>
              <w:t>​</w:t>
            </w:r>
          </w:p>
        </w:tc>
        <w:tc>
          <w:tcPr>
            <w:tcW w:w="800" w:type="dxa"/>
            <w:vAlign w:val="bottom"/>
            <w:gridSpan w:val="2"/>
          </w:tcPr>
          <w:p>
            <w:pPr>
              <w:jc w:val="right"/>
              <w:spacing w:after="0" w:line="142" w:lineRule="exact"/>
              <w:rPr>
                <w:sz w:val="20"/>
                <w:szCs w:val="20"/>
                <w:color w:val="auto"/>
              </w:rPr>
            </w:pPr>
            <w:r>
              <w:rPr>
                <w:rFonts w:ascii="Arial" w:cs="Arial" w:eastAsia="Arial" w:hAnsi="Arial"/>
                <w:sz w:val="10"/>
                <w:szCs w:val="10"/>
                <w:color w:val="auto"/>
              </w:rPr>
              <w:t>593,381</w:t>
            </w:r>
            <w:r>
              <w:rPr>
                <w:rFonts w:ascii="Arial" w:cs="Arial" w:eastAsia="Arial" w:hAnsi="Arial"/>
                <w:sz w:val="16"/>
                <w:szCs w:val="16"/>
                <w:color w:val="auto"/>
                <w:vertAlign w:val="superscript"/>
              </w:rPr>
              <w:t>​ ​</w:t>
            </w:r>
          </w:p>
        </w:tc>
        <w:tc>
          <w:tcPr>
            <w:tcW w:w="1220" w:type="dxa"/>
            <w:vAlign w:val="bottom"/>
            <w:gridSpan w:val="2"/>
          </w:tcPr>
          <w:p>
            <w:pPr>
              <w:jc w:val="right"/>
              <w:ind w:right="256"/>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​251,213</w:t>
            </w:r>
          </w:p>
        </w:tc>
        <w:tc>
          <w:tcPr>
            <w:tcW w:w="180" w:type="dxa"/>
            <w:vAlign w:val="bottom"/>
          </w:tcPr>
          <w:p>
            <w:pPr>
              <w:spacing w:after="0" w:line="142" w:lineRule="exact"/>
              <w:rPr>
                <w:sz w:val="20"/>
                <w:szCs w:val="20"/>
                <w:color w:val="auto"/>
              </w:rPr>
            </w:pPr>
            <w:r>
              <w:rPr>
                <w:rFonts w:ascii="Arial" w:cs="Arial" w:eastAsia="Arial" w:hAnsi="Arial"/>
                <w:sz w:val="14"/>
                <w:szCs w:val="14"/>
                <w:color w:val="auto"/>
              </w:rPr>
              <w:t>​​ ​</w:t>
            </w:r>
          </w:p>
        </w:tc>
        <w:tc>
          <w:tcPr>
            <w:tcW w:w="420" w:type="dxa"/>
            <w:vAlign w:val="bottom"/>
          </w:tcPr>
          <w:p>
            <w:pPr>
              <w:ind w:left="320"/>
              <w:spacing w:after="0" w:line="142" w:lineRule="exact"/>
              <w:rPr>
                <w:sz w:val="20"/>
                <w:szCs w:val="20"/>
                <w:color w:val="auto"/>
              </w:rPr>
            </w:pPr>
            <w:r>
              <w:rPr>
                <w:rFonts w:ascii="Arial" w:cs="Arial" w:eastAsia="Arial" w:hAnsi="Arial"/>
                <w:sz w:val="10"/>
                <w:szCs w:val="10"/>
                <w:color w:val="auto"/>
              </w:rPr>
              <w:t>​</w:t>
            </w:r>
            <w:r>
              <w:rPr>
                <w:rFonts w:ascii="Arial" w:cs="Arial" w:eastAsia="Arial" w:hAnsi="Arial"/>
                <w:sz w:val="16"/>
                <w:szCs w:val="16"/>
                <w:color w:val="auto"/>
                <w:vertAlign w:val="subscript"/>
              </w:rPr>
              <w:t>​</w:t>
            </w:r>
          </w:p>
        </w:tc>
        <w:tc>
          <w:tcPr>
            <w:tcW w:w="80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36,863</w:t>
            </w:r>
          </w:p>
        </w:tc>
        <w:tc>
          <w:tcPr>
            <w:tcW w:w="280" w:type="dxa"/>
            <w:vAlign w:val="bottom"/>
          </w:tcPr>
          <w:p>
            <w:pPr>
              <w:jc w:val="center"/>
              <w:spacing w:after="0" w:line="142" w:lineRule="exact"/>
              <w:rPr>
                <w:sz w:val="20"/>
                <w:szCs w:val="20"/>
                <w:color w:val="auto"/>
              </w:rPr>
            </w:pPr>
            <w:r>
              <w:rPr>
                <w:rFonts w:ascii="Arial" w:cs="Arial" w:eastAsia="Arial" w:hAnsi="Arial"/>
                <w:sz w:val="10"/>
                <w:szCs w:val="10"/>
                <w:color w:val="auto"/>
              </w:rPr>
              <w:t>​​ ​ ​</w:t>
            </w:r>
            <w:r>
              <w:rPr>
                <w:rFonts w:ascii="Arial" w:cs="Arial" w:eastAsia="Arial" w:hAnsi="Arial"/>
                <w:sz w:val="16"/>
                <w:szCs w:val="16"/>
                <w:color w:val="auto"/>
                <w:vertAlign w:val="subscript"/>
              </w:rPr>
              <w:t>​</w:t>
            </w:r>
          </w:p>
        </w:tc>
        <w:tc>
          <w:tcPr>
            <w:tcW w:w="740" w:type="dxa"/>
            <w:vAlign w:val="bottom"/>
          </w:tcPr>
          <w:p>
            <w:pPr>
              <w:jc w:val="right"/>
              <w:spacing w:after="0" w:line="142" w:lineRule="exact"/>
              <w:rPr>
                <w:sz w:val="20"/>
                <w:szCs w:val="20"/>
                <w:color w:val="auto"/>
              </w:rPr>
            </w:pPr>
            <w:r>
              <w:rPr>
                <w:rFonts w:ascii="Arial" w:cs="Arial" w:eastAsia="Arial" w:hAnsi="Arial"/>
                <w:sz w:val="10"/>
                <w:szCs w:val="10"/>
                <w:color w:val="auto"/>
              </w:rPr>
              <w:t>1,459,957</w:t>
            </w:r>
            <w:r>
              <w:rPr>
                <w:rFonts w:ascii="Arial" w:cs="Arial" w:eastAsia="Arial" w:hAnsi="Arial"/>
                <w:sz w:val="16"/>
                <w:szCs w:val="16"/>
                <w:color w:val="auto"/>
                <w:vertAlign w:val="superscript"/>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060" w:type="dxa"/>
            <w:vAlign w:val="bottom"/>
            <w:vMerge w:val="restart"/>
          </w:tcPr>
          <w:p>
            <w:pPr>
              <w:ind w:left="60"/>
              <w:spacing w:after="0" w:line="153" w:lineRule="exact"/>
              <w:rPr>
                <w:sz w:val="20"/>
                <w:szCs w:val="20"/>
                <w:color w:val="auto"/>
              </w:rPr>
            </w:pPr>
            <w:r>
              <w:rPr>
                <w:rFonts w:ascii="Arial" w:cs="Arial" w:eastAsia="Arial" w:hAnsi="Arial"/>
                <w:sz w:val="14"/>
                <w:szCs w:val="14"/>
                <w:color w:val="auto"/>
              </w:rPr>
              <w:t>Chief Legal Officer and</w:t>
            </w:r>
          </w:p>
        </w:tc>
        <w:tc>
          <w:tcPr>
            <w:tcW w:w="100" w:type="dxa"/>
            <w:vAlign w:val="bottom"/>
          </w:tcPr>
          <w:p>
            <w:pPr>
              <w:spacing w:after="0"/>
              <w:rPr>
                <w:sz w:val="4"/>
                <w:szCs w:val="4"/>
                <w:color w:val="auto"/>
              </w:rPr>
            </w:pPr>
          </w:p>
        </w:tc>
        <w:tc>
          <w:tcPr>
            <w:tcW w:w="112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400" w:type="dxa"/>
            <w:vAlign w:val="bottom"/>
            <w:tcBorders>
              <w:bottom w:val="single" w:sz="8" w:color="4C4C4C"/>
            </w:tcBorders>
          </w:tcPr>
          <w:p>
            <w:pPr>
              <w:spacing w:after="0"/>
              <w:rPr>
                <w:sz w:val="4"/>
                <w:szCs w:val="4"/>
                <w:color w:val="auto"/>
              </w:rPr>
            </w:pPr>
          </w:p>
        </w:tc>
        <w:tc>
          <w:tcPr>
            <w:tcW w:w="200" w:type="dxa"/>
            <w:vAlign w:val="bottom"/>
            <w:tcBorders>
              <w:bottom w:val="single" w:sz="8" w:color="4C4C4C"/>
            </w:tcBorders>
          </w:tcPr>
          <w:p>
            <w:pPr>
              <w:spacing w:after="0"/>
              <w:rPr>
                <w:sz w:val="4"/>
                <w:szCs w:val="4"/>
                <w:color w:val="auto"/>
              </w:rPr>
            </w:pPr>
          </w:p>
        </w:tc>
        <w:tc>
          <w:tcPr>
            <w:tcW w:w="160" w:type="dxa"/>
            <w:vAlign w:val="bottom"/>
            <w:tcBorders>
              <w:bottom w:val="single" w:sz="8" w:color="4C4C4C"/>
            </w:tcBorders>
          </w:tcPr>
          <w:p>
            <w:pPr>
              <w:spacing w:after="0"/>
              <w:rPr>
                <w:sz w:val="4"/>
                <w:szCs w:val="4"/>
                <w:color w:val="auto"/>
              </w:rPr>
            </w:pPr>
          </w:p>
        </w:tc>
        <w:tc>
          <w:tcPr>
            <w:tcW w:w="100" w:type="dxa"/>
            <w:vAlign w:val="bottom"/>
            <w:tcBorders>
              <w:bottom w:val="single" w:sz="8" w:color="4C4C4C"/>
            </w:tcBorders>
          </w:tcPr>
          <w:p>
            <w:pPr>
              <w:spacing w:after="0"/>
              <w:rPr>
                <w:sz w:val="4"/>
                <w:szCs w:val="4"/>
                <w:color w:val="auto"/>
              </w:rPr>
            </w:pPr>
          </w:p>
        </w:tc>
        <w:tc>
          <w:tcPr>
            <w:tcW w:w="500" w:type="dxa"/>
            <w:vAlign w:val="bottom"/>
            <w:tcBorders>
              <w:bottom w:val="single" w:sz="8" w:color="4C4C4C"/>
            </w:tcBorders>
          </w:tcPr>
          <w:p>
            <w:pPr>
              <w:spacing w:after="0"/>
              <w:rPr>
                <w:sz w:val="4"/>
                <w:szCs w:val="4"/>
                <w:color w:val="auto"/>
              </w:rPr>
            </w:pPr>
          </w:p>
        </w:tc>
        <w:tc>
          <w:tcPr>
            <w:tcW w:w="30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180" w:type="dxa"/>
            <w:vAlign w:val="bottom"/>
            <w:tcBorders>
              <w:bottom w:val="single" w:sz="8" w:color="4C4C4C"/>
            </w:tcBorders>
          </w:tcPr>
          <w:p>
            <w:pPr>
              <w:spacing w:after="0"/>
              <w:rPr>
                <w:sz w:val="4"/>
                <w:szCs w:val="4"/>
                <w:color w:val="auto"/>
              </w:rPr>
            </w:pPr>
          </w:p>
        </w:tc>
        <w:tc>
          <w:tcPr>
            <w:tcW w:w="420" w:type="dxa"/>
            <w:vAlign w:val="bottom"/>
            <w:tcBorders>
              <w:bottom w:val="single" w:sz="8" w:color="4C4C4C"/>
            </w:tcBorders>
          </w:tcPr>
          <w:p>
            <w:pPr>
              <w:spacing w:after="0"/>
              <w:rPr>
                <w:sz w:val="4"/>
                <w:szCs w:val="4"/>
                <w:color w:val="auto"/>
              </w:rPr>
            </w:pPr>
          </w:p>
        </w:tc>
        <w:tc>
          <w:tcPr>
            <w:tcW w:w="800" w:type="dxa"/>
            <w:vAlign w:val="bottom"/>
            <w:tcBorders>
              <w:bottom w:val="single" w:sz="8" w:color="4C4C4C"/>
            </w:tcBorders>
          </w:tcPr>
          <w:p>
            <w:pPr>
              <w:spacing w:after="0"/>
              <w:rPr>
                <w:sz w:val="4"/>
                <w:szCs w:val="4"/>
                <w:color w:val="auto"/>
              </w:rPr>
            </w:pPr>
          </w:p>
        </w:tc>
        <w:tc>
          <w:tcPr>
            <w:tcW w:w="280" w:type="dxa"/>
            <w:vAlign w:val="bottom"/>
            <w:tcBorders>
              <w:bottom w:val="single" w:sz="8" w:color="4C4C4C"/>
            </w:tcBorders>
          </w:tcPr>
          <w:p>
            <w:pPr>
              <w:spacing w:after="0"/>
              <w:rPr>
                <w:sz w:val="4"/>
                <w:szCs w:val="4"/>
                <w:color w:val="auto"/>
              </w:rPr>
            </w:pPr>
          </w:p>
        </w:tc>
        <w:tc>
          <w:tcPr>
            <w:tcW w:w="740" w:type="dxa"/>
            <w:vAlign w:val="bottom"/>
            <w:tcBorders>
              <w:bottom w:val="single" w:sz="8" w:color="4C4C4C"/>
            </w:tcBorders>
          </w:tcPr>
          <w:p>
            <w:pPr>
              <w:spacing w:after="0"/>
              <w:rPr>
                <w:sz w:val="4"/>
                <w:szCs w:val="4"/>
                <w:color w:val="auto"/>
              </w:rPr>
            </w:pPr>
          </w:p>
        </w:tc>
        <w:tc>
          <w:tcPr>
            <w:tcW w:w="60" w:type="dxa"/>
            <w:vAlign w:val="bottom"/>
            <w:tcBorders>
              <w:bottom w:val="single" w:sz="8" w:color="4C4C4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20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 ​​2023​ ​ ​​435,000​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color w:val="auto"/>
              </w:rPr>
              <w:t>​​ 1,030,750​ ​</w:t>
            </w:r>
          </w:p>
        </w:tc>
        <w:tc>
          <w:tcPr>
            <w:tcW w:w="4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56"/>
              <w:spacing w:after="0"/>
              <w:rPr>
                <w:sz w:val="20"/>
                <w:szCs w:val="20"/>
                <w:color w:val="auto"/>
              </w:rPr>
            </w:pPr>
            <w:r>
              <w:rPr>
                <w:rFonts w:ascii="Arial" w:cs="Arial" w:eastAsia="Arial" w:hAnsi="Arial"/>
                <w:sz w:val="14"/>
                <w:szCs w:val="14"/>
                <w:color w:val="auto"/>
              </w:rPr>
              <w:t>49,000</w:t>
            </w:r>
          </w:p>
        </w:tc>
        <w:tc>
          <w:tcPr>
            <w:tcW w:w="180" w:type="dxa"/>
            <w:vAlign w:val="bottom"/>
            <w:vMerge w:val="restart"/>
          </w:tcPr>
          <w:p>
            <w:pPr>
              <w:spacing w:after="0"/>
              <w:rPr>
                <w:sz w:val="20"/>
                <w:szCs w:val="20"/>
                <w:color w:val="auto"/>
              </w:rPr>
            </w:pPr>
            <w:r>
              <w:rPr>
                <w:rFonts w:ascii="Arial" w:cs="Arial" w:eastAsia="Arial" w:hAnsi="Arial"/>
                <w:sz w:val="14"/>
                <w:szCs w:val="14"/>
                <w:color w:val="auto"/>
              </w:rPr>
              <w:t>​​ ​</w:t>
            </w:r>
          </w:p>
        </w:tc>
        <w:tc>
          <w:tcPr>
            <w:tcW w:w="420" w:type="dxa"/>
            <w:vAlign w:val="bottom"/>
            <w:vMerge w:val="restart"/>
          </w:tcPr>
          <w:p>
            <w:pPr>
              <w:ind w:left="3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color w:val="auto"/>
              </w:rPr>
              <w:t>36,580</w:t>
            </w:r>
          </w:p>
        </w:tc>
        <w:tc>
          <w:tcPr>
            <w:tcW w:w="280" w:type="dxa"/>
            <w:vAlign w:val="bottom"/>
            <w:vMerge w:val="restart"/>
          </w:tcPr>
          <w:p>
            <w:pPr>
              <w:jc w:val="center"/>
              <w:spacing w:after="0"/>
              <w:rPr>
                <w:sz w:val="20"/>
                <w:szCs w:val="20"/>
                <w:color w:val="auto"/>
              </w:rPr>
            </w:pPr>
            <w:r>
              <w:rPr>
                <w:rFonts w:ascii="Arial" w:cs="Arial" w:eastAsia="Arial" w:hAnsi="Arial"/>
                <w:sz w:val="14"/>
                <w:szCs w:val="14"/>
                <w:color w:val="auto"/>
              </w:rPr>
              <w:t>​​ ​ ​​</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1,551,330​</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Corporate Secretary</w:t>
            </w: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60" w:type="dxa"/>
            <w:vAlign w:val="bottom"/>
            <w:tcBorders>
              <w:bottom w:val="single" w:sz="8" w:color="E7417A"/>
            </w:tcBorders>
          </w:tcPr>
          <w:p>
            <w:pPr>
              <w:spacing w:after="0"/>
              <w:rPr>
                <w:sz w:val="7"/>
                <w:szCs w:val="7"/>
                <w:color w:val="auto"/>
              </w:rPr>
            </w:pPr>
          </w:p>
        </w:tc>
        <w:tc>
          <w:tcPr>
            <w:tcW w:w="2060" w:type="dxa"/>
            <w:vAlign w:val="bottom"/>
            <w:tcBorders>
              <w:bottom w:val="single" w:sz="8" w:color="E7417A"/>
            </w:tcBorders>
            <w:vMerge w:val="continue"/>
          </w:tcPr>
          <w:p>
            <w:pPr>
              <w:spacing w:after="0"/>
              <w:rPr>
                <w:sz w:val="7"/>
                <w:szCs w:val="7"/>
                <w:color w:val="auto"/>
              </w:rPr>
            </w:pPr>
          </w:p>
        </w:tc>
        <w:tc>
          <w:tcPr>
            <w:tcW w:w="100" w:type="dxa"/>
            <w:vAlign w:val="bottom"/>
            <w:tcBorders>
              <w:bottom w:val="single" w:sz="8" w:color="E7417A"/>
            </w:tcBorders>
          </w:tcPr>
          <w:p>
            <w:pPr>
              <w:spacing w:after="0"/>
              <w:rPr>
                <w:sz w:val="7"/>
                <w:szCs w:val="7"/>
                <w:color w:val="auto"/>
              </w:rPr>
            </w:pPr>
          </w:p>
        </w:tc>
        <w:tc>
          <w:tcPr>
            <w:tcW w:w="1120" w:type="dxa"/>
            <w:vAlign w:val="bottom"/>
            <w:tcBorders>
              <w:bottom w:val="single" w:sz="8" w:color="E7417A"/>
            </w:tcBorders>
          </w:tcPr>
          <w:p>
            <w:pPr>
              <w:spacing w:after="0"/>
              <w:rPr>
                <w:sz w:val="7"/>
                <w:szCs w:val="7"/>
                <w:color w:val="auto"/>
              </w:rPr>
            </w:pPr>
          </w:p>
        </w:tc>
        <w:tc>
          <w:tcPr>
            <w:tcW w:w="160" w:type="dxa"/>
            <w:vAlign w:val="bottom"/>
            <w:tcBorders>
              <w:bottom w:val="single" w:sz="8" w:color="E7417A"/>
            </w:tcBorders>
          </w:tcPr>
          <w:p>
            <w:pPr>
              <w:spacing w:after="0"/>
              <w:rPr>
                <w:sz w:val="7"/>
                <w:szCs w:val="7"/>
                <w:color w:val="auto"/>
              </w:rPr>
            </w:pPr>
          </w:p>
        </w:tc>
        <w:tc>
          <w:tcPr>
            <w:tcW w:w="400" w:type="dxa"/>
            <w:vAlign w:val="bottom"/>
            <w:tcBorders>
              <w:bottom w:val="single" w:sz="8" w:color="E7417A"/>
            </w:tcBorders>
          </w:tcPr>
          <w:p>
            <w:pPr>
              <w:spacing w:after="0"/>
              <w:rPr>
                <w:sz w:val="7"/>
                <w:szCs w:val="7"/>
                <w:color w:val="auto"/>
              </w:rPr>
            </w:pPr>
          </w:p>
        </w:tc>
        <w:tc>
          <w:tcPr>
            <w:tcW w:w="200" w:type="dxa"/>
            <w:vAlign w:val="bottom"/>
            <w:tcBorders>
              <w:bottom w:val="single" w:sz="8" w:color="E7417A"/>
            </w:tcBorders>
          </w:tcPr>
          <w:p>
            <w:pPr>
              <w:spacing w:after="0"/>
              <w:rPr>
                <w:sz w:val="7"/>
                <w:szCs w:val="7"/>
                <w:color w:val="auto"/>
              </w:rPr>
            </w:pPr>
          </w:p>
        </w:tc>
        <w:tc>
          <w:tcPr>
            <w:tcW w:w="160" w:type="dxa"/>
            <w:vAlign w:val="bottom"/>
            <w:tcBorders>
              <w:bottom w:val="single" w:sz="8" w:color="E7417A"/>
            </w:tcBorders>
          </w:tcPr>
          <w:p>
            <w:pPr>
              <w:spacing w:after="0"/>
              <w:rPr>
                <w:sz w:val="7"/>
                <w:szCs w:val="7"/>
                <w:color w:val="auto"/>
              </w:rPr>
            </w:pPr>
          </w:p>
        </w:tc>
        <w:tc>
          <w:tcPr>
            <w:tcW w:w="100" w:type="dxa"/>
            <w:vAlign w:val="bottom"/>
            <w:tcBorders>
              <w:bottom w:val="single" w:sz="8" w:color="E7417A"/>
            </w:tcBorders>
          </w:tcPr>
          <w:p>
            <w:pPr>
              <w:spacing w:after="0"/>
              <w:rPr>
                <w:sz w:val="7"/>
                <w:szCs w:val="7"/>
                <w:color w:val="auto"/>
              </w:rPr>
            </w:pPr>
          </w:p>
        </w:tc>
        <w:tc>
          <w:tcPr>
            <w:tcW w:w="500" w:type="dxa"/>
            <w:vAlign w:val="bottom"/>
            <w:tcBorders>
              <w:bottom w:val="single" w:sz="8" w:color="E7417A"/>
            </w:tcBorders>
          </w:tcPr>
          <w:p>
            <w:pPr>
              <w:spacing w:after="0"/>
              <w:rPr>
                <w:sz w:val="7"/>
                <w:szCs w:val="7"/>
                <w:color w:val="auto"/>
              </w:rPr>
            </w:pPr>
          </w:p>
        </w:tc>
        <w:tc>
          <w:tcPr>
            <w:tcW w:w="300" w:type="dxa"/>
            <w:vAlign w:val="bottom"/>
            <w:tcBorders>
              <w:bottom w:val="single" w:sz="8" w:color="E7417A"/>
            </w:tcBorders>
          </w:tcPr>
          <w:p>
            <w:pPr>
              <w:spacing w:after="0"/>
              <w:rPr>
                <w:sz w:val="7"/>
                <w:szCs w:val="7"/>
                <w:color w:val="auto"/>
              </w:rPr>
            </w:pPr>
          </w:p>
        </w:tc>
        <w:tc>
          <w:tcPr>
            <w:tcW w:w="420" w:type="dxa"/>
            <w:vAlign w:val="bottom"/>
            <w:tcBorders>
              <w:bottom w:val="single" w:sz="8" w:color="E7417A"/>
            </w:tcBorders>
          </w:tcPr>
          <w:p>
            <w:pPr>
              <w:spacing w:after="0"/>
              <w:rPr>
                <w:sz w:val="7"/>
                <w:szCs w:val="7"/>
                <w:color w:val="auto"/>
              </w:rPr>
            </w:pPr>
          </w:p>
        </w:tc>
        <w:tc>
          <w:tcPr>
            <w:tcW w:w="800" w:type="dxa"/>
            <w:vAlign w:val="bottom"/>
            <w:tcBorders>
              <w:bottom w:val="single" w:sz="8" w:color="E7417A"/>
            </w:tcBorders>
          </w:tcPr>
          <w:p>
            <w:pPr>
              <w:spacing w:after="0"/>
              <w:rPr>
                <w:sz w:val="7"/>
                <w:szCs w:val="7"/>
                <w:color w:val="auto"/>
              </w:rPr>
            </w:pPr>
          </w:p>
        </w:tc>
        <w:tc>
          <w:tcPr>
            <w:tcW w:w="180" w:type="dxa"/>
            <w:vAlign w:val="bottom"/>
            <w:tcBorders>
              <w:bottom w:val="single" w:sz="8" w:color="E7417A"/>
            </w:tcBorders>
          </w:tcPr>
          <w:p>
            <w:pPr>
              <w:spacing w:after="0"/>
              <w:rPr>
                <w:sz w:val="7"/>
                <w:szCs w:val="7"/>
                <w:color w:val="auto"/>
              </w:rPr>
            </w:pPr>
          </w:p>
        </w:tc>
        <w:tc>
          <w:tcPr>
            <w:tcW w:w="420" w:type="dxa"/>
            <w:vAlign w:val="bottom"/>
            <w:tcBorders>
              <w:bottom w:val="single" w:sz="8" w:color="E7417A"/>
            </w:tcBorders>
          </w:tcPr>
          <w:p>
            <w:pPr>
              <w:spacing w:after="0"/>
              <w:rPr>
                <w:sz w:val="7"/>
                <w:szCs w:val="7"/>
                <w:color w:val="auto"/>
              </w:rPr>
            </w:pPr>
          </w:p>
        </w:tc>
        <w:tc>
          <w:tcPr>
            <w:tcW w:w="800" w:type="dxa"/>
            <w:vAlign w:val="bottom"/>
            <w:tcBorders>
              <w:bottom w:val="single" w:sz="8" w:color="E7417A"/>
            </w:tcBorders>
          </w:tcPr>
          <w:p>
            <w:pPr>
              <w:spacing w:after="0"/>
              <w:rPr>
                <w:sz w:val="7"/>
                <w:szCs w:val="7"/>
                <w:color w:val="auto"/>
              </w:rPr>
            </w:pPr>
          </w:p>
        </w:tc>
        <w:tc>
          <w:tcPr>
            <w:tcW w:w="280" w:type="dxa"/>
            <w:vAlign w:val="bottom"/>
            <w:tcBorders>
              <w:bottom w:val="single" w:sz="8" w:color="E7417A"/>
            </w:tcBorders>
          </w:tcPr>
          <w:p>
            <w:pPr>
              <w:spacing w:after="0"/>
              <w:rPr>
                <w:sz w:val="7"/>
                <w:szCs w:val="7"/>
                <w:color w:val="auto"/>
              </w:rPr>
            </w:pPr>
          </w:p>
        </w:tc>
        <w:tc>
          <w:tcPr>
            <w:tcW w:w="740" w:type="dxa"/>
            <w:vAlign w:val="bottom"/>
            <w:tcBorders>
              <w:bottom w:val="single" w:sz="8" w:color="E7417A"/>
            </w:tcBorders>
          </w:tcPr>
          <w:p>
            <w:pPr>
              <w:spacing w:after="0"/>
              <w:rPr>
                <w:sz w:val="7"/>
                <w:szCs w:val="7"/>
                <w:color w:val="auto"/>
              </w:rPr>
            </w:pPr>
          </w:p>
        </w:tc>
        <w:tc>
          <w:tcPr>
            <w:tcW w:w="60" w:type="dxa"/>
            <w:vAlign w:val="bottom"/>
            <w:tcBorders>
              <w:bottom w:val="single" w:sz="8" w:color="E7417A"/>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 w:type="dxa"/>
            <w:vAlign w:val="bottom"/>
            <w:vMerge w:val="restart"/>
          </w:tcPr>
          <w:p>
            <w:pPr>
              <w:spacing w:after="0" w:line="153" w:lineRule="exact"/>
              <w:rPr>
                <w:sz w:val="20"/>
                <w:szCs w:val="20"/>
                <w:color w:val="auto"/>
              </w:rPr>
            </w:pPr>
            <w:r>
              <w:rPr>
                <w:rFonts w:ascii="Arial" w:cs="Arial" w:eastAsia="Arial" w:hAnsi="Arial"/>
                <w:sz w:val="14"/>
                <w:szCs w:val="14"/>
                <w:color w:val="auto"/>
              </w:rPr>
              <w:t>​</w:t>
            </w:r>
          </w:p>
        </w:tc>
        <w:tc>
          <w:tcPr>
            <w:tcW w:w="2060" w:type="dxa"/>
            <w:vAlign w:val="bottom"/>
            <w:vMerge w:val="restart"/>
          </w:tcPr>
          <w:p>
            <w:pPr>
              <w:ind w:left="60"/>
              <w:spacing w:after="0" w:line="153" w:lineRule="exact"/>
              <w:rPr>
                <w:sz w:val="20"/>
                <w:szCs w:val="20"/>
                <w:color w:val="auto"/>
              </w:rPr>
            </w:pPr>
            <w:r>
              <w:rPr>
                <w:rFonts w:ascii="Arial" w:cs="Arial" w:eastAsia="Arial" w:hAnsi="Arial"/>
                <w:sz w:val="14"/>
                <w:szCs w:val="14"/>
                <w:b w:val="1"/>
                <w:bCs w:val="1"/>
                <w:color w:val="auto"/>
              </w:rPr>
              <w:t>Steve McCaffery</w:t>
            </w:r>
            <w:r>
              <w:rPr>
                <w:rFonts w:ascii="Arial" w:cs="Arial" w:eastAsia="Arial" w:hAnsi="Arial"/>
                <w:sz w:val="14"/>
                <w:szCs w:val="14"/>
                <w:color w:val="auto"/>
              </w:rPr>
              <w:t>,</w:t>
            </w:r>
          </w:p>
        </w:tc>
        <w:tc>
          <w:tcPr>
            <w:tcW w:w="1220" w:type="dxa"/>
            <w:vAlign w:val="bottom"/>
            <w:gridSpan w:val="2"/>
            <w:vMerge w:val="restart"/>
          </w:tcPr>
          <w:p>
            <w:pPr>
              <w:jc w:val="right"/>
              <w:spacing w:after="0" w:line="153" w:lineRule="exact"/>
              <w:rPr>
                <w:sz w:val="20"/>
                <w:szCs w:val="20"/>
                <w:color w:val="auto"/>
              </w:rPr>
            </w:pPr>
            <w:r>
              <w:rPr>
                <w:rFonts w:ascii="Arial" w:cs="Arial" w:eastAsia="Arial" w:hAnsi="Arial"/>
                <w:sz w:val="14"/>
                <w:szCs w:val="14"/>
                <w:color w:val="auto"/>
              </w:rPr>
              <w:t>​ ​ ​2025​ ​ ​105,876​</w:t>
            </w:r>
          </w:p>
        </w:tc>
        <w:tc>
          <w:tcPr>
            <w:tcW w:w="160" w:type="dxa"/>
            <w:vAlign w:val="bottom"/>
            <w:vMerge w:val="restart"/>
          </w:tcPr>
          <w:p>
            <w:pPr>
              <w:jc w:val="right"/>
              <w:spacing w:after="0" w:line="153" w:lineRule="exact"/>
              <w:rPr>
                <w:sz w:val="20"/>
                <w:szCs w:val="20"/>
                <w:color w:val="auto"/>
              </w:rPr>
            </w:pPr>
            <w:r>
              <w:rPr>
                <w:rFonts w:ascii="Arial" w:cs="Arial" w:eastAsia="Arial" w:hAnsi="Arial"/>
                <w:sz w:val="14"/>
                <w:szCs w:val="14"/>
                <w:color w:val="auto"/>
              </w:rPr>
              <w:t>​</w:t>
            </w:r>
          </w:p>
        </w:tc>
        <w:tc>
          <w:tcPr>
            <w:tcW w:w="400" w:type="dxa"/>
            <w:vAlign w:val="bottom"/>
            <w:vMerge w:val="restart"/>
          </w:tcPr>
          <w:p>
            <w:pPr>
              <w:ind w:left="20"/>
              <w:spacing w:after="0" w:line="153" w:lineRule="exact"/>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line="153"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line="153" w:lineRule="exact"/>
              <w:rPr>
                <w:sz w:val="20"/>
                <w:szCs w:val="20"/>
                <w:color w:val="auto"/>
              </w:rPr>
            </w:pPr>
            <w:r>
              <w:rPr>
                <w:rFonts w:ascii="Arial" w:cs="Arial" w:eastAsia="Arial" w:hAnsi="Arial"/>
                <w:sz w:val="14"/>
                <w:szCs w:val="14"/>
                <w:color w:val="auto"/>
              </w:rPr>
              <w:t>​</w:t>
            </w:r>
          </w:p>
        </w:tc>
        <w:tc>
          <w:tcPr>
            <w:tcW w:w="900" w:type="dxa"/>
            <w:vAlign w:val="bottom"/>
            <w:gridSpan w:val="3"/>
            <w:vMerge w:val="restart"/>
          </w:tcPr>
          <w:p>
            <w:pPr>
              <w:jc w:val="right"/>
              <w:spacing w:after="0" w:line="153" w:lineRule="exact"/>
              <w:rPr>
                <w:sz w:val="20"/>
                <w:szCs w:val="20"/>
                <w:color w:val="auto"/>
              </w:rPr>
            </w:pPr>
            <w:r>
              <w:rPr>
                <w:rFonts w:ascii="Arial" w:cs="Arial" w:eastAsia="Arial" w:hAnsi="Arial"/>
                <w:sz w:val="14"/>
                <w:szCs w:val="14"/>
                <w:color w:val="auto"/>
              </w:rPr>
              <w:t>​ 2,276,776​ ​</w:t>
            </w:r>
          </w:p>
        </w:tc>
        <w:tc>
          <w:tcPr>
            <w:tcW w:w="420" w:type="dxa"/>
            <w:vAlign w:val="bottom"/>
            <w:vMerge w:val="restart"/>
          </w:tcPr>
          <w:p>
            <w:pPr>
              <w:ind w:left="320"/>
              <w:spacing w:after="0" w:line="153" w:lineRule="exact"/>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256"/>
              <w:spacing w:after="0" w:line="153" w:lineRule="exact"/>
              <w:rPr>
                <w:sz w:val="20"/>
                <w:szCs w:val="20"/>
                <w:color w:val="auto"/>
              </w:rPr>
            </w:pPr>
            <w:r>
              <w:rPr>
                <w:rFonts w:ascii="Arial" w:cs="Arial" w:eastAsia="Arial" w:hAnsi="Arial"/>
                <w:sz w:val="14"/>
                <w:szCs w:val="14"/>
                <w:color w:val="auto"/>
              </w:rPr>
              <w:t>77,422</w:t>
            </w:r>
          </w:p>
        </w:tc>
        <w:tc>
          <w:tcPr>
            <w:tcW w:w="180" w:type="dxa"/>
            <w:vAlign w:val="bottom"/>
            <w:vMerge w:val="restart"/>
          </w:tcPr>
          <w:p>
            <w:pPr>
              <w:spacing w:after="0" w:line="153" w:lineRule="exact"/>
              <w:rPr>
                <w:sz w:val="20"/>
                <w:szCs w:val="20"/>
                <w:color w:val="auto"/>
              </w:rPr>
            </w:pPr>
            <w:r>
              <w:rPr>
                <w:rFonts w:ascii="Arial" w:cs="Arial" w:eastAsia="Arial" w:hAnsi="Arial"/>
                <w:sz w:val="14"/>
                <w:szCs w:val="14"/>
                <w:color w:val="auto"/>
              </w:rPr>
              <w:t>​​ ​</w:t>
            </w:r>
          </w:p>
        </w:tc>
        <w:tc>
          <w:tcPr>
            <w:tcW w:w="420" w:type="dxa"/>
            <w:vAlign w:val="bottom"/>
            <w:vMerge w:val="restart"/>
          </w:tcPr>
          <w:p>
            <w:pPr>
              <w:ind w:left="320"/>
              <w:spacing w:after="0" w:line="153" w:lineRule="exact"/>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52"/>
              <w:spacing w:after="0" w:line="153" w:lineRule="exact"/>
              <w:rPr>
                <w:sz w:val="20"/>
                <w:szCs w:val="20"/>
                <w:color w:val="auto"/>
              </w:rPr>
            </w:pPr>
            <w:r>
              <w:rPr>
                <w:rFonts w:ascii="Arial" w:cs="Arial" w:eastAsia="Arial" w:hAnsi="Arial"/>
                <w:sz w:val="14"/>
                <w:szCs w:val="14"/>
                <w:color w:val="auto"/>
              </w:rPr>
              <w:t>12,023</w:t>
            </w:r>
          </w:p>
        </w:tc>
        <w:tc>
          <w:tcPr>
            <w:tcW w:w="280" w:type="dxa"/>
            <w:vAlign w:val="bottom"/>
            <w:vMerge w:val="restart"/>
          </w:tcPr>
          <w:p>
            <w:pPr>
              <w:jc w:val="center"/>
              <w:spacing w:after="0" w:line="153" w:lineRule="exact"/>
              <w:rPr>
                <w:sz w:val="20"/>
                <w:szCs w:val="20"/>
                <w:color w:val="auto"/>
              </w:rPr>
            </w:pPr>
            <w:r>
              <w:rPr>
                <w:rFonts w:ascii="Arial" w:cs="Arial" w:eastAsia="Arial" w:hAnsi="Arial"/>
                <w:sz w:val="14"/>
                <w:szCs w:val="14"/>
                <w:color w:val="auto"/>
              </w:rPr>
              <w:t>​​ ​ ​</w:t>
            </w:r>
          </w:p>
        </w:tc>
        <w:tc>
          <w:tcPr>
            <w:tcW w:w="800" w:type="dxa"/>
            <w:vAlign w:val="bottom"/>
            <w:gridSpan w:val="2"/>
          </w:tcPr>
          <w:p>
            <w:pPr>
              <w:jc w:val="right"/>
              <w:spacing w:after="0" w:line="68" w:lineRule="exact"/>
              <w:rPr>
                <w:sz w:val="20"/>
                <w:szCs w:val="20"/>
                <w:color w:val="auto"/>
              </w:rPr>
            </w:pPr>
            <w:r>
              <w:rPr>
                <w:rFonts w:ascii="Arial" w:cs="Arial" w:eastAsia="Arial" w:hAnsi="Arial"/>
                <w:sz w:val="7"/>
                <w:szCs w:val="7"/>
                <w:color w:val="auto"/>
              </w:rPr>
              <w:t>(6)</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60" w:type="dxa"/>
            <w:vAlign w:val="bottom"/>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40" w:type="dxa"/>
            <w:vAlign w:val="bottom"/>
          </w:tcPr>
          <w:p>
            <w:pPr>
              <w:jc w:val="right"/>
              <w:spacing w:after="0" w:line="85" w:lineRule="exact"/>
              <w:rPr>
                <w:sz w:val="20"/>
                <w:szCs w:val="20"/>
                <w:color w:val="auto"/>
              </w:rPr>
            </w:pPr>
            <w:r>
              <w:rPr>
                <w:rFonts w:ascii="Arial" w:cs="Arial" w:eastAsia="Arial" w:hAnsi="Arial"/>
                <w:sz w:val="9"/>
                <w:szCs w:val="9"/>
                <w:color w:val="auto"/>
              </w:rPr>
              <w:t>2,472,097​</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2060" w:type="dxa"/>
            <w:vAlign w:val="bottom"/>
          </w:tcPr>
          <w:p>
            <w:pPr>
              <w:ind w:left="60"/>
              <w:spacing w:after="0"/>
              <w:rPr>
                <w:sz w:val="20"/>
                <w:szCs w:val="20"/>
                <w:color w:val="auto"/>
              </w:rPr>
            </w:pPr>
            <w:r>
              <w:rPr>
                <w:rFonts w:ascii="Arial" w:cs="Arial" w:eastAsia="Arial" w:hAnsi="Arial"/>
                <w:sz w:val="14"/>
                <w:szCs w:val="14"/>
                <w:color w:val="auto"/>
              </w:rPr>
              <w:t>Executive Vice President,</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Borders>
              <w:bottom w:val="single" w:sz="8" w:color="E7417A"/>
            </w:tcBorders>
          </w:tcPr>
          <w:p>
            <w:pPr>
              <w:spacing w:after="0"/>
              <w:rPr>
                <w:sz w:val="14"/>
                <w:szCs w:val="14"/>
                <w:color w:val="auto"/>
              </w:rPr>
            </w:pPr>
          </w:p>
        </w:tc>
        <w:tc>
          <w:tcPr>
            <w:tcW w:w="2060" w:type="dxa"/>
            <w:vAlign w:val="bottom"/>
            <w:tcBorders>
              <w:bottom w:val="single" w:sz="8" w:color="E7417A"/>
            </w:tcBorders>
          </w:tcPr>
          <w:p>
            <w:pPr>
              <w:ind w:left="60"/>
              <w:spacing w:after="0"/>
              <w:rPr>
                <w:sz w:val="20"/>
                <w:szCs w:val="20"/>
                <w:color w:val="auto"/>
              </w:rPr>
            </w:pPr>
            <w:r>
              <w:rPr>
                <w:rFonts w:ascii="Arial" w:cs="Arial" w:eastAsia="Arial" w:hAnsi="Arial"/>
                <w:sz w:val="14"/>
                <w:szCs w:val="14"/>
                <w:color w:val="auto"/>
              </w:rPr>
              <w:t>Global Sales</w:t>
            </w:r>
          </w:p>
        </w:tc>
        <w:tc>
          <w:tcPr>
            <w:tcW w:w="100" w:type="dxa"/>
            <w:vAlign w:val="bottom"/>
            <w:tcBorders>
              <w:bottom w:val="single" w:sz="8" w:color="E7417A"/>
            </w:tcBorders>
          </w:tcPr>
          <w:p>
            <w:pPr>
              <w:spacing w:after="0"/>
              <w:rPr>
                <w:sz w:val="14"/>
                <w:szCs w:val="14"/>
                <w:color w:val="auto"/>
              </w:rPr>
            </w:pPr>
          </w:p>
        </w:tc>
        <w:tc>
          <w:tcPr>
            <w:tcW w:w="1120" w:type="dxa"/>
            <w:vAlign w:val="bottom"/>
            <w:tcBorders>
              <w:bottom w:val="single" w:sz="8" w:color="E7417A"/>
            </w:tcBorders>
          </w:tcPr>
          <w:p>
            <w:pPr>
              <w:spacing w:after="0"/>
              <w:rPr>
                <w:sz w:val="14"/>
                <w:szCs w:val="14"/>
                <w:color w:val="auto"/>
              </w:rPr>
            </w:pPr>
          </w:p>
        </w:tc>
        <w:tc>
          <w:tcPr>
            <w:tcW w:w="160" w:type="dxa"/>
            <w:vAlign w:val="bottom"/>
            <w:tcBorders>
              <w:bottom w:val="single" w:sz="8" w:color="E7417A"/>
            </w:tcBorders>
          </w:tcPr>
          <w:p>
            <w:pPr>
              <w:spacing w:after="0"/>
              <w:rPr>
                <w:sz w:val="14"/>
                <w:szCs w:val="14"/>
                <w:color w:val="auto"/>
              </w:rPr>
            </w:pPr>
          </w:p>
        </w:tc>
        <w:tc>
          <w:tcPr>
            <w:tcW w:w="400" w:type="dxa"/>
            <w:vAlign w:val="bottom"/>
            <w:tcBorders>
              <w:bottom w:val="single" w:sz="8" w:color="E7417A"/>
            </w:tcBorders>
          </w:tcPr>
          <w:p>
            <w:pPr>
              <w:spacing w:after="0"/>
              <w:rPr>
                <w:sz w:val="14"/>
                <w:szCs w:val="14"/>
                <w:color w:val="auto"/>
              </w:rPr>
            </w:pPr>
          </w:p>
        </w:tc>
        <w:tc>
          <w:tcPr>
            <w:tcW w:w="200" w:type="dxa"/>
            <w:vAlign w:val="bottom"/>
            <w:tcBorders>
              <w:bottom w:val="single" w:sz="8" w:color="E7417A"/>
            </w:tcBorders>
          </w:tcPr>
          <w:p>
            <w:pPr>
              <w:spacing w:after="0"/>
              <w:rPr>
                <w:sz w:val="14"/>
                <w:szCs w:val="14"/>
                <w:color w:val="auto"/>
              </w:rPr>
            </w:pPr>
          </w:p>
        </w:tc>
        <w:tc>
          <w:tcPr>
            <w:tcW w:w="160" w:type="dxa"/>
            <w:vAlign w:val="bottom"/>
            <w:tcBorders>
              <w:bottom w:val="single" w:sz="8" w:color="E7417A"/>
            </w:tcBorders>
          </w:tcPr>
          <w:p>
            <w:pPr>
              <w:spacing w:after="0"/>
              <w:rPr>
                <w:sz w:val="14"/>
                <w:szCs w:val="14"/>
                <w:color w:val="auto"/>
              </w:rPr>
            </w:pPr>
          </w:p>
        </w:tc>
        <w:tc>
          <w:tcPr>
            <w:tcW w:w="100" w:type="dxa"/>
            <w:vAlign w:val="bottom"/>
            <w:tcBorders>
              <w:bottom w:val="single" w:sz="8" w:color="E7417A"/>
            </w:tcBorders>
          </w:tcPr>
          <w:p>
            <w:pPr>
              <w:spacing w:after="0"/>
              <w:rPr>
                <w:sz w:val="14"/>
                <w:szCs w:val="14"/>
                <w:color w:val="auto"/>
              </w:rPr>
            </w:pPr>
          </w:p>
        </w:tc>
        <w:tc>
          <w:tcPr>
            <w:tcW w:w="500" w:type="dxa"/>
            <w:vAlign w:val="bottom"/>
            <w:tcBorders>
              <w:bottom w:val="single" w:sz="8" w:color="E7417A"/>
            </w:tcBorders>
          </w:tcPr>
          <w:p>
            <w:pPr>
              <w:spacing w:after="0"/>
              <w:rPr>
                <w:sz w:val="14"/>
                <w:szCs w:val="14"/>
                <w:color w:val="auto"/>
              </w:rPr>
            </w:pPr>
          </w:p>
        </w:tc>
        <w:tc>
          <w:tcPr>
            <w:tcW w:w="300" w:type="dxa"/>
            <w:vAlign w:val="bottom"/>
            <w:tcBorders>
              <w:bottom w:val="single" w:sz="8" w:color="E7417A"/>
            </w:tcBorders>
          </w:tcPr>
          <w:p>
            <w:pPr>
              <w:spacing w:after="0"/>
              <w:rPr>
                <w:sz w:val="14"/>
                <w:szCs w:val="14"/>
                <w:color w:val="auto"/>
              </w:rPr>
            </w:pPr>
          </w:p>
        </w:tc>
        <w:tc>
          <w:tcPr>
            <w:tcW w:w="420" w:type="dxa"/>
            <w:vAlign w:val="bottom"/>
            <w:tcBorders>
              <w:bottom w:val="single" w:sz="8" w:color="E7417A"/>
            </w:tcBorders>
          </w:tcPr>
          <w:p>
            <w:pPr>
              <w:spacing w:after="0"/>
              <w:rPr>
                <w:sz w:val="14"/>
                <w:szCs w:val="14"/>
                <w:color w:val="auto"/>
              </w:rPr>
            </w:pPr>
          </w:p>
        </w:tc>
        <w:tc>
          <w:tcPr>
            <w:tcW w:w="800" w:type="dxa"/>
            <w:vAlign w:val="bottom"/>
            <w:tcBorders>
              <w:bottom w:val="single" w:sz="8" w:color="E7417A"/>
            </w:tcBorders>
          </w:tcPr>
          <w:p>
            <w:pPr>
              <w:spacing w:after="0"/>
              <w:rPr>
                <w:sz w:val="14"/>
                <w:szCs w:val="14"/>
                <w:color w:val="auto"/>
              </w:rPr>
            </w:pPr>
          </w:p>
        </w:tc>
        <w:tc>
          <w:tcPr>
            <w:tcW w:w="180" w:type="dxa"/>
            <w:vAlign w:val="bottom"/>
            <w:tcBorders>
              <w:bottom w:val="single" w:sz="8" w:color="E7417A"/>
            </w:tcBorders>
          </w:tcPr>
          <w:p>
            <w:pPr>
              <w:spacing w:after="0"/>
              <w:rPr>
                <w:sz w:val="14"/>
                <w:szCs w:val="14"/>
                <w:color w:val="auto"/>
              </w:rPr>
            </w:pPr>
          </w:p>
        </w:tc>
        <w:tc>
          <w:tcPr>
            <w:tcW w:w="420" w:type="dxa"/>
            <w:vAlign w:val="bottom"/>
            <w:tcBorders>
              <w:bottom w:val="single" w:sz="8" w:color="E7417A"/>
            </w:tcBorders>
          </w:tcPr>
          <w:p>
            <w:pPr>
              <w:spacing w:after="0"/>
              <w:rPr>
                <w:sz w:val="14"/>
                <w:szCs w:val="14"/>
                <w:color w:val="auto"/>
              </w:rPr>
            </w:pPr>
          </w:p>
        </w:tc>
        <w:tc>
          <w:tcPr>
            <w:tcW w:w="800" w:type="dxa"/>
            <w:vAlign w:val="bottom"/>
            <w:tcBorders>
              <w:bottom w:val="single" w:sz="8" w:color="E7417A"/>
            </w:tcBorders>
          </w:tcPr>
          <w:p>
            <w:pPr>
              <w:spacing w:after="0"/>
              <w:rPr>
                <w:sz w:val="14"/>
                <w:szCs w:val="14"/>
                <w:color w:val="auto"/>
              </w:rPr>
            </w:pPr>
          </w:p>
        </w:tc>
        <w:tc>
          <w:tcPr>
            <w:tcW w:w="280" w:type="dxa"/>
            <w:vAlign w:val="bottom"/>
            <w:tcBorders>
              <w:bottom w:val="single" w:sz="8" w:color="E7417A"/>
            </w:tcBorders>
          </w:tcPr>
          <w:p>
            <w:pPr>
              <w:spacing w:after="0"/>
              <w:rPr>
                <w:sz w:val="14"/>
                <w:szCs w:val="14"/>
                <w:color w:val="auto"/>
              </w:rPr>
            </w:pPr>
          </w:p>
        </w:tc>
        <w:tc>
          <w:tcPr>
            <w:tcW w:w="740" w:type="dxa"/>
            <w:vAlign w:val="bottom"/>
            <w:tcBorders>
              <w:bottom w:val="single" w:sz="8" w:color="E7417A"/>
            </w:tcBorders>
          </w:tcPr>
          <w:p>
            <w:pPr>
              <w:spacing w:after="0"/>
              <w:rPr>
                <w:sz w:val="14"/>
                <w:szCs w:val="14"/>
                <w:color w:val="auto"/>
              </w:rPr>
            </w:pPr>
          </w:p>
        </w:tc>
        <w:tc>
          <w:tcPr>
            <w:tcW w:w="60" w:type="dxa"/>
            <w:vAlign w:val="bottom"/>
            <w:tcBorders>
              <w:bottom w:val="single" w:sz="8" w:color="E7417A"/>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60" w:type="dxa"/>
            <w:vAlign w:val="bottom"/>
            <w:vMerge w:val="restart"/>
          </w:tcPr>
          <w:p>
            <w:pPr>
              <w:spacing w:after="0" w:line="160" w:lineRule="exact"/>
              <w:rPr>
                <w:sz w:val="20"/>
                <w:szCs w:val="20"/>
                <w:color w:val="auto"/>
              </w:rPr>
            </w:pPr>
            <w:r>
              <w:rPr>
                <w:rFonts w:ascii="Arial" w:cs="Arial" w:eastAsia="Arial" w:hAnsi="Arial"/>
                <w:sz w:val="14"/>
                <w:szCs w:val="14"/>
                <w:color w:val="auto"/>
              </w:rPr>
              <w:t>​</w:t>
            </w:r>
          </w:p>
        </w:tc>
        <w:tc>
          <w:tcPr>
            <w:tcW w:w="2060" w:type="dxa"/>
            <w:vAlign w:val="bottom"/>
            <w:vMerge w:val="restart"/>
          </w:tcPr>
          <w:p>
            <w:pPr>
              <w:ind w:left="60"/>
              <w:spacing w:after="0" w:line="160" w:lineRule="exact"/>
              <w:rPr>
                <w:sz w:val="20"/>
                <w:szCs w:val="20"/>
                <w:color w:val="auto"/>
              </w:rPr>
            </w:pPr>
            <w:r>
              <w:rPr>
                <w:rFonts w:ascii="Arial" w:cs="Arial" w:eastAsia="Arial" w:hAnsi="Arial"/>
                <w:sz w:val="14"/>
                <w:szCs w:val="14"/>
                <w:b w:val="1"/>
                <w:bCs w:val="1"/>
                <w:color w:val="auto"/>
              </w:rPr>
              <w:t>Dan Redington</w:t>
            </w:r>
            <w:r>
              <w:rPr>
                <w:rFonts w:ascii="Arial" w:cs="Arial" w:eastAsia="Arial" w:hAnsi="Arial"/>
                <w:sz w:val="14"/>
                <w:szCs w:val="14"/>
                <w:color w:val="auto"/>
              </w:rPr>
              <w:t>,,</w:t>
            </w:r>
          </w:p>
        </w:tc>
        <w:tc>
          <w:tcPr>
            <w:tcW w:w="1380" w:type="dxa"/>
            <w:vAlign w:val="bottom"/>
            <w:gridSpan w:val="3"/>
          </w:tcPr>
          <w:p>
            <w:pPr>
              <w:jc w:val="right"/>
              <w:ind w:right="30"/>
              <w:spacing w:after="0" w:line="75" w:lineRule="exact"/>
              <w:rPr>
                <w:sz w:val="20"/>
                <w:szCs w:val="20"/>
                <w:color w:val="auto"/>
              </w:rPr>
            </w:pPr>
            <w:r>
              <w:rPr>
                <w:rFonts w:ascii="Arial" w:cs="Arial" w:eastAsia="Arial" w:hAnsi="Arial"/>
                <w:sz w:val="8"/>
                <w:szCs w:val="8"/>
                <w:color w:val="auto"/>
              </w:rPr>
              <w:t>(7)</w:t>
            </w:r>
          </w:p>
        </w:tc>
        <w:tc>
          <w:tcPr>
            <w:tcW w:w="400" w:type="dxa"/>
            <w:vAlign w:val="bottom"/>
            <w:vMerge w:val="restart"/>
          </w:tcPr>
          <w:p>
            <w:pPr>
              <w:ind w:left="20"/>
              <w:spacing w:after="0" w:line="160" w:lineRule="exact"/>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line="160" w:lineRule="exact"/>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line="160" w:lineRule="exact"/>
              <w:rPr>
                <w:sz w:val="20"/>
                <w:szCs w:val="20"/>
                <w:color w:val="auto"/>
              </w:rPr>
            </w:pPr>
            <w:r>
              <w:rPr>
                <w:rFonts w:ascii="Arial" w:cs="Arial" w:eastAsia="Arial" w:hAnsi="Arial"/>
                <w:sz w:val="14"/>
                <w:szCs w:val="14"/>
                <w:color w:val="auto"/>
              </w:rPr>
              <w:t>​</w:t>
            </w:r>
          </w:p>
        </w:tc>
        <w:tc>
          <w:tcPr>
            <w:tcW w:w="900" w:type="dxa"/>
            <w:vAlign w:val="bottom"/>
            <w:gridSpan w:val="3"/>
            <w:vMerge w:val="restart"/>
          </w:tcPr>
          <w:p>
            <w:pPr>
              <w:jc w:val="right"/>
              <w:spacing w:after="0" w:line="160"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 1,395,538</w:t>
            </w:r>
            <w:r>
              <w:rPr>
                <w:rFonts w:ascii="Arial" w:cs="Arial" w:eastAsia="Arial" w:hAnsi="Arial"/>
                <w:sz w:val="18"/>
                <w:szCs w:val="18"/>
                <w:color w:val="auto"/>
                <w:vertAlign w:val="superscript"/>
              </w:rPr>
              <w:t>​ ​</w:t>
            </w:r>
          </w:p>
        </w:tc>
        <w:tc>
          <w:tcPr>
            <w:tcW w:w="420" w:type="dxa"/>
            <w:vAlign w:val="bottom"/>
            <w:vMerge w:val="restart"/>
          </w:tcPr>
          <w:p>
            <w:pPr>
              <w:ind w:left="320"/>
              <w:spacing w:after="0" w:line="160" w:lineRule="exact"/>
              <w:rPr>
                <w:sz w:val="20"/>
                <w:szCs w:val="20"/>
                <w:color w:val="auto"/>
              </w:rPr>
            </w:pPr>
            <w:r>
              <w:rPr>
                <w:rFonts w:ascii="Arial" w:cs="Arial" w:eastAsia="Arial" w:hAnsi="Arial"/>
                <w:sz w:val="11"/>
                <w:szCs w:val="11"/>
                <w:color w:val="auto"/>
              </w:rPr>
              <w:t>​</w:t>
            </w:r>
            <w:r>
              <w:rPr>
                <w:rFonts w:ascii="Arial" w:cs="Arial" w:eastAsia="Arial" w:hAnsi="Arial"/>
                <w:sz w:val="18"/>
                <w:szCs w:val="18"/>
                <w:color w:val="auto"/>
                <w:vertAlign w:val="subscript"/>
              </w:rPr>
              <w:t>​</w:t>
            </w:r>
          </w:p>
        </w:tc>
        <w:tc>
          <w:tcPr>
            <w:tcW w:w="800" w:type="dxa"/>
            <w:vAlign w:val="bottom"/>
            <w:vMerge w:val="restart"/>
          </w:tcPr>
          <w:p>
            <w:pPr>
              <w:jc w:val="right"/>
              <w:ind w:right="256"/>
              <w:spacing w:after="0" w:line="160" w:lineRule="exact"/>
              <w:rPr>
                <w:sz w:val="20"/>
                <w:szCs w:val="20"/>
                <w:color w:val="auto"/>
              </w:rPr>
            </w:pPr>
            <w:r>
              <w:rPr>
                <w:rFonts w:ascii="Arial" w:cs="Arial" w:eastAsia="Arial" w:hAnsi="Arial"/>
                <w:sz w:val="14"/>
                <w:szCs w:val="14"/>
                <w:color w:val="auto"/>
              </w:rPr>
              <w:t>80,740</w:t>
            </w:r>
          </w:p>
        </w:tc>
        <w:tc>
          <w:tcPr>
            <w:tcW w:w="180" w:type="dxa"/>
            <w:vAlign w:val="bottom"/>
            <w:vMerge w:val="restart"/>
          </w:tcPr>
          <w:p>
            <w:pPr>
              <w:spacing w:after="0" w:line="160" w:lineRule="exact"/>
              <w:rPr>
                <w:sz w:val="20"/>
                <w:szCs w:val="20"/>
                <w:color w:val="auto"/>
              </w:rPr>
            </w:pPr>
            <w:r>
              <w:rPr>
                <w:rFonts w:ascii="Arial" w:cs="Arial" w:eastAsia="Arial" w:hAnsi="Arial"/>
                <w:sz w:val="14"/>
                <w:szCs w:val="14"/>
                <w:color w:val="auto"/>
              </w:rPr>
              <w:t>​​ ​</w:t>
            </w:r>
          </w:p>
        </w:tc>
        <w:tc>
          <w:tcPr>
            <w:tcW w:w="1220" w:type="dxa"/>
            <w:vAlign w:val="bottom"/>
            <w:gridSpan w:val="2"/>
            <w:vMerge w:val="restart"/>
          </w:tcPr>
          <w:p>
            <w:pPr>
              <w:jc w:val="right"/>
              <w:ind w:right="252"/>
              <w:spacing w:after="0" w:line="160" w:lineRule="exact"/>
              <w:rPr>
                <w:sz w:val="20"/>
                <w:szCs w:val="20"/>
                <w:color w:val="auto"/>
              </w:rPr>
            </w:pPr>
            <w:r>
              <w:rPr>
                <w:rFonts w:ascii="Arial" w:cs="Arial" w:eastAsia="Arial" w:hAnsi="Arial"/>
                <w:sz w:val="18"/>
                <w:szCs w:val="18"/>
                <w:color w:val="auto"/>
                <w:vertAlign w:val="superscript"/>
              </w:rPr>
              <w:t>​</w:t>
            </w:r>
            <w:r>
              <w:rPr>
                <w:rFonts w:ascii="Arial" w:cs="Arial" w:eastAsia="Arial" w:hAnsi="Arial"/>
                <w:sz w:val="11"/>
                <w:szCs w:val="11"/>
                <w:color w:val="auto"/>
              </w:rPr>
              <w:t>​163,624</w:t>
            </w:r>
          </w:p>
        </w:tc>
        <w:tc>
          <w:tcPr>
            <w:tcW w:w="280" w:type="dxa"/>
            <w:vAlign w:val="bottom"/>
            <w:vMerge w:val="restart"/>
          </w:tcPr>
          <w:p>
            <w:pPr>
              <w:jc w:val="center"/>
              <w:spacing w:after="0" w:line="160" w:lineRule="exact"/>
              <w:rPr>
                <w:sz w:val="20"/>
                <w:szCs w:val="20"/>
                <w:color w:val="auto"/>
              </w:rPr>
            </w:pPr>
            <w:r>
              <w:rPr>
                <w:rFonts w:ascii="Arial" w:cs="Arial" w:eastAsia="Arial" w:hAnsi="Arial"/>
                <w:sz w:val="11"/>
                <w:szCs w:val="11"/>
                <w:color w:val="auto"/>
              </w:rPr>
              <w:t>​​ ​ ​</w:t>
            </w:r>
            <w:r>
              <w:rPr>
                <w:rFonts w:ascii="Arial" w:cs="Arial" w:eastAsia="Arial" w:hAnsi="Arial"/>
                <w:sz w:val="18"/>
                <w:szCs w:val="18"/>
                <w:color w:val="auto"/>
                <w:vertAlign w:val="subscript"/>
              </w:rPr>
              <w:t>​</w:t>
            </w:r>
          </w:p>
        </w:tc>
        <w:tc>
          <w:tcPr>
            <w:tcW w:w="740" w:type="dxa"/>
            <w:vAlign w:val="bottom"/>
            <w:vMerge w:val="restart"/>
          </w:tcPr>
          <w:p>
            <w:pPr>
              <w:jc w:val="right"/>
              <w:spacing w:after="0" w:line="160" w:lineRule="exact"/>
              <w:rPr>
                <w:sz w:val="20"/>
                <w:szCs w:val="20"/>
                <w:color w:val="auto"/>
              </w:rPr>
            </w:pPr>
            <w:r>
              <w:rPr>
                <w:rFonts w:ascii="Arial" w:cs="Arial" w:eastAsia="Arial" w:hAnsi="Arial"/>
                <w:sz w:val="11"/>
                <w:szCs w:val="11"/>
                <w:color w:val="auto"/>
              </w:rPr>
              <w:t>1,982,248</w:t>
            </w:r>
            <w:r>
              <w:rPr>
                <w:rFonts w:ascii="Arial" w:cs="Arial" w:eastAsia="Arial" w:hAnsi="Arial"/>
                <w:sz w:val="18"/>
                <w:szCs w:val="18"/>
                <w:color w:val="auto"/>
                <w:vertAlign w:val="superscript"/>
              </w:rPr>
              <w:t>​</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60" w:type="dxa"/>
            <w:vAlign w:val="bottom"/>
            <w:vMerge w:val="continue"/>
          </w:tcPr>
          <w:p>
            <w:pPr>
              <w:spacing w:after="0"/>
              <w:rPr>
                <w:sz w:val="7"/>
                <w:szCs w:val="7"/>
                <w:color w:val="auto"/>
              </w:rPr>
            </w:pPr>
          </w:p>
        </w:tc>
        <w:tc>
          <w:tcPr>
            <w:tcW w:w="2060" w:type="dxa"/>
            <w:vAlign w:val="bottom"/>
            <w:vMerge w:val="continue"/>
          </w:tcPr>
          <w:p>
            <w:pPr>
              <w:spacing w:after="0"/>
              <w:rPr>
                <w:sz w:val="7"/>
                <w:szCs w:val="7"/>
                <w:color w:val="auto"/>
              </w:rPr>
            </w:pPr>
          </w:p>
        </w:tc>
        <w:tc>
          <w:tcPr>
            <w:tcW w:w="1220" w:type="dxa"/>
            <w:vAlign w:val="bottom"/>
            <w:gridSpan w:val="2"/>
          </w:tcPr>
          <w:p>
            <w:pPr>
              <w:jc w:val="right"/>
              <w:spacing w:after="0" w:line="85" w:lineRule="exact"/>
              <w:rPr>
                <w:sz w:val="20"/>
                <w:szCs w:val="20"/>
                <w:color w:val="auto"/>
              </w:rPr>
            </w:pPr>
            <w:r>
              <w:rPr>
                <w:rFonts w:ascii="Arial" w:cs="Arial" w:eastAsia="Arial" w:hAnsi="Arial"/>
                <w:sz w:val="9"/>
                <w:szCs w:val="9"/>
                <w:color w:val="auto"/>
                <w:vertAlign w:val="superscript"/>
              </w:rPr>
              <w:t>​ ​ ​</w:t>
            </w:r>
            <w:r>
              <w:rPr>
                <w:rFonts w:ascii="Arial" w:cs="Arial" w:eastAsia="Arial" w:hAnsi="Arial"/>
                <w:sz w:val="8"/>
                <w:szCs w:val="8"/>
                <w:color w:val="auto"/>
              </w:rPr>
              <w:t>​2025</w:t>
            </w:r>
            <w:r>
              <w:rPr>
                <w:rFonts w:ascii="Arial" w:cs="Arial" w:eastAsia="Arial" w:hAnsi="Arial"/>
                <w:sz w:val="9"/>
                <w:szCs w:val="9"/>
                <w:color w:val="auto"/>
                <w:vertAlign w:val="superscript"/>
              </w:rPr>
              <w:t>​ ​ ​</w:t>
            </w:r>
            <w:r>
              <w:rPr>
                <w:rFonts w:ascii="Arial" w:cs="Arial" w:eastAsia="Arial" w:hAnsi="Arial"/>
                <w:sz w:val="8"/>
                <w:szCs w:val="8"/>
                <w:color w:val="auto"/>
              </w:rPr>
              <w:t>​342,346</w:t>
            </w:r>
            <w:r>
              <w:rPr>
                <w:rFonts w:ascii="Arial" w:cs="Arial" w:eastAsia="Arial" w:hAnsi="Arial"/>
                <w:sz w:val="9"/>
                <w:szCs w:val="9"/>
                <w:color w:val="auto"/>
                <w:vertAlign w:val="superscript"/>
              </w:rPr>
              <w:t>​</w:t>
            </w:r>
          </w:p>
        </w:tc>
        <w:tc>
          <w:tcPr>
            <w:tcW w:w="16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4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line="20" w:lineRule="exact"/>
              <w:rPr>
                <w:sz w:val="1"/>
                <w:szCs w:val="1"/>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Former Executive Vice</w:t>
            </w:r>
          </w:p>
        </w:tc>
        <w:tc>
          <w:tcPr>
            <w:tcW w:w="100" w:type="dxa"/>
            <w:vAlign w:val="bottom"/>
          </w:tcPr>
          <w:p>
            <w:pPr>
              <w:spacing w:after="0" w:line="20" w:lineRule="exact"/>
              <w:rPr>
                <w:sz w:val="1"/>
                <w:szCs w:val="1"/>
                <w:color w:val="auto"/>
              </w:rPr>
            </w:pPr>
          </w:p>
        </w:tc>
        <w:tc>
          <w:tcPr>
            <w:tcW w:w="1280" w:type="dxa"/>
            <w:vAlign w:val="bottom"/>
            <w:tcBorders>
              <w:bottom w:val="single" w:sz="8" w:color="4C4C4C"/>
            </w:tcBorders>
            <w:gridSpan w:val="2"/>
          </w:tcPr>
          <w:p>
            <w:pPr>
              <w:spacing w:after="0" w:line="20" w:lineRule="exact"/>
              <w:rPr>
                <w:sz w:val="1"/>
                <w:szCs w:val="1"/>
                <w:color w:val="auto"/>
              </w:rPr>
            </w:pPr>
          </w:p>
        </w:tc>
        <w:tc>
          <w:tcPr>
            <w:tcW w:w="400" w:type="dxa"/>
            <w:vAlign w:val="bottom"/>
            <w:tcBorders>
              <w:bottom w:val="single" w:sz="8" w:color="4C4C4C"/>
            </w:tcBorders>
          </w:tcPr>
          <w:p>
            <w:pPr>
              <w:spacing w:after="0" w:line="20" w:lineRule="exact"/>
              <w:rPr>
                <w:sz w:val="1"/>
                <w:szCs w:val="1"/>
                <w:color w:val="auto"/>
              </w:rPr>
            </w:pPr>
          </w:p>
        </w:tc>
        <w:tc>
          <w:tcPr>
            <w:tcW w:w="360" w:type="dxa"/>
            <w:vAlign w:val="bottom"/>
            <w:tcBorders>
              <w:bottom w:val="single" w:sz="8" w:color="4C4C4C"/>
            </w:tcBorders>
            <w:gridSpan w:val="2"/>
          </w:tcPr>
          <w:p>
            <w:pPr>
              <w:spacing w:after="0" w:line="20" w:lineRule="exact"/>
              <w:rPr>
                <w:sz w:val="1"/>
                <w:szCs w:val="1"/>
                <w:color w:val="auto"/>
              </w:rPr>
            </w:pPr>
          </w:p>
        </w:tc>
        <w:tc>
          <w:tcPr>
            <w:tcW w:w="100" w:type="dxa"/>
            <w:vAlign w:val="bottom"/>
            <w:tcBorders>
              <w:bottom w:val="single" w:sz="8" w:color="4C4C4C"/>
            </w:tcBorders>
          </w:tcPr>
          <w:p>
            <w:pPr>
              <w:spacing w:after="0" w:line="20" w:lineRule="exact"/>
              <w:rPr>
                <w:sz w:val="1"/>
                <w:szCs w:val="1"/>
                <w:color w:val="auto"/>
              </w:rPr>
            </w:pPr>
          </w:p>
        </w:tc>
        <w:tc>
          <w:tcPr>
            <w:tcW w:w="800" w:type="dxa"/>
            <w:vAlign w:val="bottom"/>
            <w:tcBorders>
              <w:bottom w:val="single" w:sz="8" w:color="4C4C4C"/>
            </w:tcBorders>
            <w:gridSpan w:val="2"/>
          </w:tcPr>
          <w:p>
            <w:pPr>
              <w:spacing w:after="0" w:line="20" w:lineRule="exact"/>
              <w:rPr>
                <w:sz w:val="1"/>
                <w:szCs w:val="1"/>
                <w:color w:val="auto"/>
              </w:rPr>
            </w:pPr>
          </w:p>
        </w:tc>
        <w:tc>
          <w:tcPr>
            <w:tcW w:w="1220" w:type="dxa"/>
            <w:vAlign w:val="bottom"/>
            <w:tcBorders>
              <w:bottom w:val="single" w:sz="8" w:color="4C4C4C"/>
            </w:tcBorders>
            <w:gridSpan w:val="2"/>
          </w:tcPr>
          <w:p>
            <w:pPr>
              <w:spacing w:after="0" w:line="20" w:lineRule="exact"/>
              <w:rPr>
                <w:sz w:val="1"/>
                <w:szCs w:val="1"/>
                <w:color w:val="auto"/>
              </w:rPr>
            </w:pPr>
          </w:p>
        </w:tc>
        <w:tc>
          <w:tcPr>
            <w:tcW w:w="180" w:type="dxa"/>
            <w:vAlign w:val="bottom"/>
            <w:tcBorders>
              <w:bottom w:val="single" w:sz="8" w:color="4C4C4C"/>
            </w:tcBorders>
          </w:tcPr>
          <w:p>
            <w:pPr>
              <w:spacing w:after="0" w:line="20" w:lineRule="exact"/>
              <w:rPr>
                <w:sz w:val="1"/>
                <w:szCs w:val="1"/>
                <w:color w:val="auto"/>
              </w:rPr>
            </w:pPr>
          </w:p>
        </w:tc>
        <w:tc>
          <w:tcPr>
            <w:tcW w:w="420" w:type="dxa"/>
            <w:vAlign w:val="bottom"/>
            <w:tcBorders>
              <w:bottom w:val="single" w:sz="8" w:color="4C4C4C"/>
            </w:tcBorders>
          </w:tcPr>
          <w:p>
            <w:pPr>
              <w:spacing w:after="0" w:line="20" w:lineRule="exact"/>
              <w:rPr>
                <w:sz w:val="1"/>
                <w:szCs w:val="1"/>
                <w:color w:val="auto"/>
              </w:rPr>
            </w:pPr>
          </w:p>
        </w:tc>
        <w:tc>
          <w:tcPr>
            <w:tcW w:w="800" w:type="dxa"/>
            <w:vAlign w:val="bottom"/>
            <w:tcBorders>
              <w:bottom w:val="single" w:sz="8" w:color="4C4C4C"/>
            </w:tcBorders>
          </w:tcPr>
          <w:p>
            <w:pPr>
              <w:spacing w:after="0" w:line="20" w:lineRule="exact"/>
              <w:rPr>
                <w:sz w:val="1"/>
                <w:szCs w:val="1"/>
                <w:color w:val="auto"/>
              </w:rPr>
            </w:pPr>
          </w:p>
        </w:tc>
        <w:tc>
          <w:tcPr>
            <w:tcW w:w="280" w:type="dxa"/>
            <w:vAlign w:val="bottom"/>
            <w:tcBorders>
              <w:bottom w:val="single" w:sz="8" w:color="4C4C4C"/>
            </w:tcBorders>
          </w:tcPr>
          <w:p>
            <w:pPr>
              <w:spacing w:after="0" w:line="20" w:lineRule="exact"/>
              <w:rPr>
                <w:sz w:val="1"/>
                <w:szCs w:val="1"/>
                <w:color w:val="auto"/>
              </w:rPr>
            </w:pPr>
          </w:p>
        </w:tc>
        <w:tc>
          <w:tcPr>
            <w:tcW w:w="740" w:type="dxa"/>
            <w:vAlign w:val="bottom"/>
            <w:tcBorders>
              <w:bottom w:val="single" w:sz="8" w:color="4C4C4C"/>
            </w:tcBorders>
          </w:tcPr>
          <w:p>
            <w:pPr>
              <w:spacing w:after="0" w:line="20" w:lineRule="exact"/>
              <w:rPr>
                <w:sz w:val="1"/>
                <w:szCs w:val="1"/>
                <w:color w:val="auto"/>
              </w:rPr>
            </w:pPr>
          </w:p>
        </w:tc>
        <w:tc>
          <w:tcPr>
            <w:tcW w:w="60" w:type="dxa"/>
            <w:vAlign w:val="bottom"/>
            <w:tcBorders>
              <w:bottom w:val="single" w:sz="8" w:color="4C4C4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spacing w:after="0" w:line="142" w:lineRule="exact"/>
              <w:rPr>
                <w:sz w:val="20"/>
                <w:szCs w:val="20"/>
                <w:color w:val="auto"/>
              </w:rPr>
            </w:pPr>
            <w:r>
              <w:rPr>
                <w:rFonts w:ascii="Arial" w:cs="Arial" w:eastAsia="Arial" w:hAnsi="Arial"/>
                <w:sz w:val="16"/>
                <w:szCs w:val="16"/>
                <w:color w:val="auto"/>
                <w:vertAlign w:val="superscript"/>
              </w:rPr>
              <w:t>​ ​</w:t>
            </w:r>
            <w:r>
              <w:rPr>
                <w:rFonts w:ascii="Arial" w:cs="Arial" w:eastAsia="Arial" w:hAnsi="Arial"/>
                <w:sz w:val="10"/>
                <w:szCs w:val="10"/>
                <w:color w:val="auto"/>
              </w:rPr>
              <w:t>​2024</w:t>
            </w:r>
            <w:r>
              <w:rPr>
                <w:rFonts w:ascii="Arial" w:cs="Arial" w:eastAsia="Arial" w:hAnsi="Arial"/>
                <w:sz w:val="16"/>
                <w:szCs w:val="16"/>
                <w:color w:val="auto"/>
                <w:vertAlign w:val="superscript"/>
              </w:rPr>
              <w:t>​ ​ ​</w:t>
            </w:r>
            <w:r>
              <w:rPr>
                <w:rFonts w:ascii="Arial" w:cs="Arial" w:eastAsia="Arial" w:hAnsi="Arial"/>
                <w:sz w:val="10"/>
                <w:szCs w:val="10"/>
                <w:color w:val="auto"/>
              </w:rPr>
              <w:t>​430,000</w:t>
            </w:r>
            <w:r>
              <w:rPr>
                <w:rFonts w:ascii="Arial" w:cs="Arial" w:eastAsia="Arial" w:hAnsi="Arial"/>
                <w:sz w:val="16"/>
                <w:szCs w:val="16"/>
                <w:color w:val="auto"/>
                <w:vertAlign w:val="superscript"/>
              </w:rPr>
              <w:t>​ ​</w:t>
            </w:r>
          </w:p>
        </w:tc>
        <w:tc>
          <w:tcPr>
            <w:tcW w:w="400" w:type="dxa"/>
            <w:vAlign w:val="bottom"/>
          </w:tcPr>
          <w:p>
            <w:pPr>
              <w:ind w:left="20"/>
              <w:spacing w:after="0" w:line="142"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w:t>
            </w:r>
          </w:p>
        </w:tc>
        <w:tc>
          <w:tcPr>
            <w:tcW w:w="100" w:type="dxa"/>
            <w:vAlign w:val="bottom"/>
          </w:tcPr>
          <w:p>
            <w:pPr>
              <w:ind w:left="20"/>
              <w:spacing w:after="0" w:line="142" w:lineRule="exact"/>
              <w:rPr>
                <w:sz w:val="20"/>
                <w:szCs w:val="20"/>
                <w:color w:val="auto"/>
              </w:rPr>
            </w:pPr>
            <w:r>
              <w:rPr>
                <w:rFonts w:ascii="Arial" w:cs="Arial" w:eastAsia="Arial" w:hAnsi="Arial"/>
                <w:sz w:val="10"/>
                <w:szCs w:val="10"/>
                <w:color w:val="auto"/>
              </w:rPr>
              <w:t>​</w:t>
            </w:r>
            <w:r>
              <w:rPr>
                <w:rFonts w:ascii="Arial" w:cs="Arial" w:eastAsia="Arial" w:hAnsi="Arial"/>
                <w:sz w:val="16"/>
                <w:szCs w:val="16"/>
                <w:color w:val="auto"/>
                <w:vertAlign w:val="subscript"/>
              </w:rPr>
              <w:t>​</w:t>
            </w:r>
          </w:p>
        </w:tc>
        <w:tc>
          <w:tcPr>
            <w:tcW w:w="800" w:type="dxa"/>
            <w:vAlign w:val="bottom"/>
            <w:gridSpan w:val="2"/>
          </w:tcPr>
          <w:p>
            <w:pPr>
              <w:jc w:val="right"/>
              <w:spacing w:after="0" w:line="142" w:lineRule="exact"/>
              <w:rPr>
                <w:sz w:val="20"/>
                <w:szCs w:val="20"/>
                <w:color w:val="auto"/>
              </w:rPr>
            </w:pPr>
            <w:r>
              <w:rPr>
                <w:rFonts w:ascii="Arial" w:cs="Arial" w:eastAsia="Arial" w:hAnsi="Arial"/>
                <w:sz w:val="10"/>
                <w:szCs w:val="10"/>
                <w:color w:val="auto"/>
              </w:rPr>
              <w:t>558,478</w:t>
            </w:r>
            <w:r>
              <w:rPr>
                <w:rFonts w:ascii="Arial" w:cs="Arial" w:eastAsia="Arial" w:hAnsi="Arial"/>
                <w:sz w:val="16"/>
                <w:szCs w:val="16"/>
                <w:color w:val="auto"/>
                <w:vertAlign w:val="superscript"/>
              </w:rPr>
              <w:t>​ ​</w:t>
            </w:r>
          </w:p>
        </w:tc>
        <w:tc>
          <w:tcPr>
            <w:tcW w:w="1220" w:type="dxa"/>
            <w:vAlign w:val="bottom"/>
            <w:gridSpan w:val="2"/>
          </w:tcPr>
          <w:p>
            <w:pPr>
              <w:jc w:val="right"/>
              <w:ind w:right="256"/>
              <w:spacing w:after="0" w:line="142" w:lineRule="exact"/>
              <w:rPr>
                <w:sz w:val="20"/>
                <w:szCs w:val="20"/>
                <w:color w:val="auto"/>
              </w:rPr>
            </w:pPr>
            <w:r>
              <w:rPr>
                <w:rFonts w:ascii="Arial" w:cs="Arial" w:eastAsia="Arial" w:hAnsi="Arial"/>
                <w:sz w:val="16"/>
                <w:szCs w:val="16"/>
                <w:color w:val="auto"/>
                <w:vertAlign w:val="superscript"/>
              </w:rPr>
              <w:t>​</w:t>
            </w:r>
            <w:r>
              <w:rPr>
                <w:rFonts w:ascii="Arial" w:cs="Arial" w:eastAsia="Arial" w:hAnsi="Arial"/>
                <w:sz w:val="10"/>
                <w:szCs w:val="10"/>
                <w:color w:val="auto"/>
              </w:rPr>
              <w:t>​225,750</w:t>
            </w:r>
          </w:p>
        </w:tc>
        <w:tc>
          <w:tcPr>
            <w:tcW w:w="180" w:type="dxa"/>
            <w:vAlign w:val="bottom"/>
          </w:tcPr>
          <w:p>
            <w:pPr>
              <w:spacing w:after="0" w:line="142" w:lineRule="exact"/>
              <w:rPr>
                <w:sz w:val="20"/>
                <w:szCs w:val="20"/>
                <w:color w:val="auto"/>
              </w:rPr>
            </w:pPr>
            <w:r>
              <w:rPr>
                <w:rFonts w:ascii="Arial" w:cs="Arial" w:eastAsia="Arial" w:hAnsi="Arial"/>
                <w:sz w:val="14"/>
                <w:szCs w:val="14"/>
                <w:color w:val="auto"/>
              </w:rPr>
              <w:t>​​ ​</w:t>
            </w:r>
          </w:p>
        </w:tc>
        <w:tc>
          <w:tcPr>
            <w:tcW w:w="420" w:type="dxa"/>
            <w:vAlign w:val="bottom"/>
          </w:tcPr>
          <w:p>
            <w:pPr>
              <w:ind w:left="320"/>
              <w:spacing w:after="0" w:line="142" w:lineRule="exact"/>
              <w:rPr>
                <w:sz w:val="20"/>
                <w:szCs w:val="20"/>
                <w:color w:val="auto"/>
              </w:rPr>
            </w:pPr>
            <w:r>
              <w:rPr>
                <w:rFonts w:ascii="Arial" w:cs="Arial" w:eastAsia="Arial" w:hAnsi="Arial"/>
                <w:sz w:val="10"/>
                <w:szCs w:val="10"/>
                <w:color w:val="auto"/>
              </w:rPr>
              <w:t>​</w:t>
            </w:r>
            <w:r>
              <w:rPr>
                <w:rFonts w:ascii="Arial" w:cs="Arial" w:eastAsia="Arial" w:hAnsi="Arial"/>
                <w:sz w:val="16"/>
                <w:szCs w:val="16"/>
                <w:color w:val="auto"/>
                <w:vertAlign w:val="subscript"/>
              </w:rPr>
              <w:t>​</w:t>
            </w:r>
          </w:p>
        </w:tc>
        <w:tc>
          <w:tcPr>
            <w:tcW w:w="800" w:type="dxa"/>
            <w:vAlign w:val="bottom"/>
          </w:tcPr>
          <w:p>
            <w:pPr>
              <w:jc w:val="right"/>
              <w:ind w:right="252"/>
              <w:spacing w:after="0" w:line="142" w:lineRule="exact"/>
              <w:rPr>
                <w:sz w:val="20"/>
                <w:szCs w:val="20"/>
                <w:color w:val="auto"/>
              </w:rPr>
            </w:pPr>
            <w:r>
              <w:rPr>
                <w:rFonts w:ascii="Arial" w:cs="Arial" w:eastAsia="Arial" w:hAnsi="Arial"/>
                <w:sz w:val="14"/>
                <w:szCs w:val="14"/>
                <w:color w:val="auto"/>
              </w:rPr>
              <w:t>36,831</w:t>
            </w:r>
          </w:p>
        </w:tc>
        <w:tc>
          <w:tcPr>
            <w:tcW w:w="280" w:type="dxa"/>
            <w:vAlign w:val="bottom"/>
          </w:tcPr>
          <w:p>
            <w:pPr>
              <w:jc w:val="center"/>
              <w:spacing w:after="0" w:line="142" w:lineRule="exact"/>
              <w:rPr>
                <w:sz w:val="20"/>
                <w:szCs w:val="20"/>
                <w:color w:val="auto"/>
              </w:rPr>
            </w:pPr>
            <w:r>
              <w:rPr>
                <w:rFonts w:ascii="Arial" w:cs="Arial" w:eastAsia="Arial" w:hAnsi="Arial"/>
                <w:sz w:val="10"/>
                <w:szCs w:val="10"/>
                <w:color w:val="auto"/>
              </w:rPr>
              <w:t>​​ ​ ​</w:t>
            </w:r>
            <w:r>
              <w:rPr>
                <w:rFonts w:ascii="Arial" w:cs="Arial" w:eastAsia="Arial" w:hAnsi="Arial"/>
                <w:sz w:val="16"/>
                <w:szCs w:val="16"/>
                <w:color w:val="auto"/>
                <w:vertAlign w:val="subscript"/>
              </w:rPr>
              <w:t>​</w:t>
            </w:r>
          </w:p>
        </w:tc>
        <w:tc>
          <w:tcPr>
            <w:tcW w:w="740" w:type="dxa"/>
            <w:vAlign w:val="bottom"/>
          </w:tcPr>
          <w:p>
            <w:pPr>
              <w:jc w:val="right"/>
              <w:spacing w:after="0" w:line="142" w:lineRule="exact"/>
              <w:rPr>
                <w:sz w:val="20"/>
                <w:szCs w:val="20"/>
                <w:color w:val="auto"/>
              </w:rPr>
            </w:pPr>
            <w:r>
              <w:rPr>
                <w:rFonts w:ascii="Arial" w:cs="Arial" w:eastAsia="Arial" w:hAnsi="Arial"/>
                <w:sz w:val="10"/>
                <w:szCs w:val="10"/>
                <w:color w:val="auto"/>
              </w:rPr>
              <w:t>1,251,059</w:t>
            </w:r>
            <w:r>
              <w:rPr>
                <w:rFonts w:ascii="Arial" w:cs="Arial" w:eastAsia="Arial" w:hAnsi="Arial"/>
                <w:sz w:val="16"/>
                <w:szCs w:val="16"/>
                <w:color w:val="auto"/>
                <w:vertAlign w:val="superscript"/>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color w:val="auto"/>
              </w:rPr>
              <w:t>President, Global Sales</w:t>
            </w:r>
          </w:p>
        </w:tc>
        <w:tc>
          <w:tcPr>
            <w:tcW w:w="100" w:type="dxa"/>
            <w:vAlign w:val="bottom"/>
          </w:tcPr>
          <w:p>
            <w:pPr>
              <w:spacing w:after="0"/>
              <w:rPr>
                <w:sz w:val="3"/>
                <w:szCs w:val="3"/>
                <w:color w:val="auto"/>
              </w:rPr>
            </w:pPr>
          </w:p>
        </w:tc>
        <w:tc>
          <w:tcPr>
            <w:tcW w:w="1280" w:type="dxa"/>
            <w:vAlign w:val="bottom"/>
            <w:tcBorders>
              <w:bottom w:val="single" w:sz="8" w:color="4C4C4C"/>
            </w:tcBorders>
            <w:gridSpan w:val="2"/>
          </w:tcPr>
          <w:p>
            <w:pPr>
              <w:spacing w:after="0"/>
              <w:rPr>
                <w:sz w:val="3"/>
                <w:szCs w:val="3"/>
                <w:color w:val="auto"/>
              </w:rPr>
            </w:pPr>
          </w:p>
        </w:tc>
        <w:tc>
          <w:tcPr>
            <w:tcW w:w="400" w:type="dxa"/>
            <w:vAlign w:val="bottom"/>
            <w:tcBorders>
              <w:bottom w:val="single" w:sz="8" w:color="4C4C4C"/>
            </w:tcBorders>
          </w:tcPr>
          <w:p>
            <w:pPr>
              <w:spacing w:after="0"/>
              <w:rPr>
                <w:sz w:val="3"/>
                <w:szCs w:val="3"/>
                <w:color w:val="auto"/>
              </w:rPr>
            </w:pPr>
          </w:p>
        </w:tc>
        <w:tc>
          <w:tcPr>
            <w:tcW w:w="360" w:type="dxa"/>
            <w:vAlign w:val="bottom"/>
            <w:tcBorders>
              <w:bottom w:val="single" w:sz="8" w:color="4C4C4C"/>
            </w:tcBorders>
            <w:gridSpan w:val="2"/>
          </w:tcPr>
          <w:p>
            <w:pPr>
              <w:spacing w:after="0"/>
              <w:rPr>
                <w:sz w:val="3"/>
                <w:szCs w:val="3"/>
                <w:color w:val="auto"/>
              </w:rPr>
            </w:pPr>
          </w:p>
        </w:tc>
        <w:tc>
          <w:tcPr>
            <w:tcW w:w="10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gridSpan w:val="2"/>
          </w:tcPr>
          <w:p>
            <w:pPr>
              <w:spacing w:after="0"/>
              <w:rPr>
                <w:sz w:val="3"/>
                <w:szCs w:val="3"/>
                <w:color w:val="auto"/>
              </w:rPr>
            </w:pPr>
          </w:p>
        </w:tc>
        <w:tc>
          <w:tcPr>
            <w:tcW w:w="42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180" w:type="dxa"/>
            <w:vAlign w:val="bottom"/>
            <w:tcBorders>
              <w:bottom w:val="single" w:sz="8" w:color="4C4C4C"/>
            </w:tcBorders>
          </w:tcPr>
          <w:p>
            <w:pPr>
              <w:spacing w:after="0"/>
              <w:rPr>
                <w:sz w:val="3"/>
                <w:szCs w:val="3"/>
                <w:color w:val="auto"/>
              </w:rPr>
            </w:pPr>
          </w:p>
        </w:tc>
        <w:tc>
          <w:tcPr>
            <w:tcW w:w="420" w:type="dxa"/>
            <w:vAlign w:val="bottom"/>
            <w:tcBorders>
              <w:bottom w:val="single" w:sz="8" w:color="4C4C4C"/>
            </w:tcBorders>
          </w:tcPr>
          <w:p>
            <w:pPr>
              <w:spacing w:after="0"/>
              <w:rPr>
                <w:sz w:val="3"/>
                <w:szCs w:val="3"/>
                <w:color w:val="auto"/>
              </w:rPr>
            </w:pPr>
          </w:p>
        </w:tc>
        <w:tc>
          <w:tcPr>
            <w:tcW w:w="800" w:type="dxa"/>
            <w:vAlign w:val="bottom"/>
            <w:tcBorders>
              <w:bottom w:val="single" w:sz="8" w:color="4C4C4C"/>
            </w:tcBorders>
          </w:tcPr>
          <w:p>
            <w:pPr>
              <w:spacing w:after="0"/>
              <w:rPr>
                <w:sz w:val="3"/>
                <w:szCs w:val="3"/>
                <w:color w:val="auto"/>
              </w:rPr>
            </w:pPr>
          </w:p>
        </w:tc>
        <w:tc>
          <w:tcPr>
            <w:tcW w:w="280" w:type="dxa"/>
            <w:vAlign w:val="bottom"/>
            <w:tcBorders>
              <w:bottom w:val="single" w:sz="8" w:color="4C4C4C"/>
            </w:tcBorders>
          </w:tcPr>
          <w:p>
            <w:pPr>
              <w:spacing w:after="0"/>
              <w:rPr>
                <w:sz w:val="3"/>
                <w:szCs w:val="3"/>
                <w:color w:val="auto"/>
              </w:rPr>
            </w:pPr>
          </w:p>
        </w:tc>
        <w:tc>
          <w:tcPr>
            <w:tcW w:w="740" w:type="dxa"/>
            <w:vAlign w:val="bottom"/>
            <w:tcBorders>
              <w:bottom w:val="single" w:sz="8" w:color="4C4C4C"/>
            </w:tcBorders>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60" w:type="dxa"/>
            <w:vAlign w:val="bottom"/>
            <w:tcBorders>
              <w:bottom w:val="single" w:sz="8" w:color="62259D"/>
            </w:tcBorders>
          </w:tcPr>
          <w:p>
            <w:pPr>
              <w:spacing w:after="0"/>
              <w:rPr>
                <w:sz w:val="20"/>
                <w:szCs w:val="20"/>
                <w:color w:val="auto"/>
              </w:rPr>
            </w:pPr>
          </w:p>
        </w:tc>
        <w:tc>
          <w:tcPr>
            <w:tcW w:w="2060" w:type="dxa"/>
            <w:vAlign w:val="bottom"/>
            <w:tcBorders>
              <w:bottom w:val="single" w:sz="8" w:color="62259D"/>
            </w:tcBorders>
            <w:vMerge w:val="continue"/>
          </w:tcPr>
          <w:p>
            <w:pPr>
              <w:spacing w:after="0"/>
              <w:rPr>
                <w:sz w:val="20"/>
                <w:szCs w:val="20"/>
                <w:color w:val="auto"/>
              </w:rPr>
            </w:pPr>
          </w:p>
        </w:tc>
        <w:tc>
          <w:tcPr>
            <w:tcW w:w="100" w:type="dxa"/>
            <w:vAlign w:val="bottom"/>
            <w:tcBorders>
              <w:bottom w:val="single" w:sz="8" w:color="62259D"/>
            </w:tcBorders>
          </w:tcPr>
          <w:p>
            <w:pPr>
              <w:spacing w:after="0"/>
              <w:rPr>
                <w:sz w:val="20"/>
                <w:szCs w:val="20"/>
                <w:color w:val="auto"/>
              </w:rPr>
            </w:pPr>
          </w:p>
        </w:tc>
        <w:tc>
          <w:tcPr>
            <w:tcW w:w="1280" w:type="dxa"/>
            <w:vAlign w:val="bottom"/>
            <w:tcBorders>
              <w:bottom w:val="single" w:sz="8" w:color="62259D"/>
            </w:tcBorders>
            <w:gridSpan w:val="2"/>
          </w:tcPr>
          <w:p>
            <w:pPr>
              <w:jc w:val="right"/>
              <w:spacing w:after="0" w:line="236"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4"/>
                <w:szCs w:val="14"/>
                <w:color w:val="auto"/>
              </w:rPr>
              <w:t>​2023</w:t>
            </w:r>
            <w:r>
              <w:rPr>
                <w:rFonts w:ascii="Arial" w:cs="Arial" w:eastAsia="Arial" w:hAnsi="Arial"/>
                <w:sz w:val="27"/>
                <w:szCs w:val="27"/>
                <w:color w:val="auto"/>
                <w:vertAlign w:val="superscript"/>
              </w:rPr>
              <w:t>​ ​ ​</w:t>
            </w:r>
            <w:r>
              <w:rPr>
                <w:rFonts w:ascii="Arial" w:cs="Arial" w:eastAsia="Arial" w:hAnsi="Arial"/>
                <w:sz w:val="14"/>
                <w:szCs w:val="14"/>
                <w:color w:val="auto"/>
              </w:rPr>
              <w:t>​405,000</w:t>
            </w:r>
            <w:r>
              <w:rPr>
                <w:rFonts w:ascii="Arial" w:cs="Arial" w:eastAsia="Arial" w:hAnsi="Arial"/>
                <w:sz w:val="27"/>
                <w:szCs w:val="27"/>
                <w:color w:val="auto"/>
                <w:vertAlign w:val="superscript"/>
              </w:rPr>
              <w:t>​ ​</w:t>
            </w:r>
          </w:p>
        </w:tc>
        <w:tc>
          <w:tcPr>
            <w:tcW w:w="400" w:type="dxa"/>
            <w:vAlign w:val="bottom"/>
            <w:tcBorders>
              <w:bottom w:val="single" w:sz="8" w:color="62259D"/>
            </w:tcBorders>
          </w:tcPr>
          <w:p>
            <w:pPr>
              <w:ind w:left="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360" w:type="dxa"/>
            <w:vAlign w:val="bottom"/>
            <w:tcBorders>
              <w:bottom w:val="single" w:sz="8" w:color="62259D"/>
            </w:tcBorders>
            <w:gridSpan w:val="2"/>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w:t>
            </w:r>
          </w:p>
        </w:tc>
        <w:tc>
          <w:tcPr>
            <w:tcW w:w="100" w:type="dxa"/>
            <w:vAlign w:val="bottom"/>
            <w:tcBorders>
              <w:bottom w:val="single" w:sz="8" w:color="62259D"/>
            </w:tcBorders>
          </w:tcPr>
          <w:p>
            <w:pPr>
              <w:ind w:left="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800" w:type="dxa"/>
            <w:vAlign w:val="bottom"/>
            <w:tcBorders>
              <w:bottom w:val="single" w:sz="8" w:color="62259D"/>
            </w:tcBorders>
            <w:gridSpan w:val="2"/>
          </w:tcPr>
          <w:p>
            <w:pPr>
              <w:jc w:val="right"/>
              <w:spacing w:after="0" w:line="236" w:lineRule="exact"/>
              <w:rPr>
                <w:sz w:val="20"/>
                <w:szCs w:val="20"/>
                <w:color w:val="auto"/>
              </w:rPr>
            </w:pPr>
            <w:r>
              <w:rPr>
                <w:rFonts w:ascii="Arial" w:cs="Arial" w:eastAsia="Arial" w:hAnsi="Arial"/>
                <w:sz w:val="14"/>
                <w:szCs w:val="14"/>
                <w:color w:val="auto"/>
              </w:rPr>
              <w:t>800,289</w:t>
            </w:r>
            <w:r>
              <w:rPr>
                <w:rFonts w:ascii="Arial" w:cs="Arial" w:eastAsia="Arial" w:hAnsi="Arial"/>
                <w:sz w:val="27"/>
                <w:szCs w:val="27"/>
                <w:color w:val="auto"/>
                <w:vertAlign w:val="superscript"/>
              </w:rPr>
              <w:t>​ ​</w:t>
            </w:r>
          </w:p>
        </w:tc>
        <w:tc>
          <w:tcPr>
            <w:tcW w:w="420" w:type="dxa"/>
            <w:vAlign w:val="bottom"/>
            <w:tcBorders>
              <w:bottom w:val="single" w:sz="8" w:color="62259D"/>
            </w:tcBorders>
          </w:tcPr>
          <w:p>
            <w:pPr>
              <w:ind w:left="3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800" w:type="dxa"/>
            <w:vAlign w:val="bottom"/>
            <w:tcBorders>
              <w:bottom w:val="single" w:sz="8" w:color="62259D"/>
            </w:tcBorders>
          </w:tcPr>
          <w:p>
            <w:pPr>
              <w:jc w:val="right"/>
              <w:ind w:right="256"/>
              <w:spacing w:after="0"/>
              <w:rPr>
                <w:sz w:val="20"/>
                <w:szCs w:val="20"/>
                <w:color w:val="auto"/>
              </w:rPr>
            </w:pPr>
            <w:r>
              <w:rPr>
                <w:rFonts w:ascii="Arial" w:cs="Arial" w:eastAsia="Arial" w:hAnsi="Arial"/>
                <w:sz w:val="14"/>
                <w:szCs w:val="14"/>
                <w:color w:val="auto"/>
              </w:rPr>
              <w:t>45,600</w:t>
            </w:r>
          </w:p>
        </w:tc>
        <w:tc>
          <w:tcPr>
            <w:tcW w:w="180" w:type="dxa"/>
            <w:vAlign w:val="bottom"/>
            <w:tcBorders>
              <w:bottom w:val="single" w:sz="8" w:color="62259D"/>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62259D"/>
            </w:tcBorders>
          </w:tcPr>
          <w:p>
            <w:pPr>
              <w:ind w:left="32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bscript"/>
              </w:rPr>
              <w:t>​</w:t>
            </w:r>
          </w:p>
        </w:tc>
        <w:tc>
          <w:tcPr>
            <w:tcW w:w="800" w:type="dxa"/>
            <w:vAlign w:val="bottom"/>
            <w:tcBorders>
              <w:bottom w:val="single" w:sz="8" w:color="62259D"/>
            </w:tcBorders>
          </w:tcPr>
          <w:p>
            <w:pPr>
              <w:jc w:val="right"/>
              <w:ind w:right="252"/>
              <w:spacing w:after="0"/>
              <w:rPr>
                <w:sz w:val="20"/>
                <w:szCs w:val="20"/>
                <w:color w:val="auto"/>
              </w:rPr>
            </w:pPr>
            <w:r>
              <w:rPr>
                <w:rFonts w:ascii="Arial" w:cs="Arial" w:eastAsia="Arial" w:hAnsi="Arial"/>
                <w:sz w:val="14"/>
                <w:szCs w:val="14"/>
                <w:color w:val="auto"/>
              </w:rPr>
              <w:t>36,550</w:t>
            </w:r>
          </w:p>
        </w:tc>
        <w:tc>
          <w:tcPr>
            <w:tcW w:w="280" w:type="dxa"/>
            <w:vAlign w:val="bottom"/>
            <w:tcBorders>
              <w:bottom w:val="single" w:sz="8" w:color="62259D"/>
            </w:tcBorders>
          </w:tcPr>
          <w:p>
            <w:pPr>
              <w:jc w:val="center"/>
              <w:spacing w:after="0" w:line="236" w:lineRule="exact"/>
              <w:rPr>
                <w:sz w:val="20"/>
                <w:szCs w:val="20"/>
                <w:color w:val="auto"/>
              </w:rPr>
            </w:pPr>
            <w:r>
              <w:rPr>
                <w:rFonts w:ascii="Arial" w:cs="Arial" w:eastAsia="Arial" w:hAnsi="Arial"/>
                <w:sz w:val="14"/>
                <w:szCs w:val="14"/>
                <w:color w:val="auto"/>
              </w:rPr>
              <w:t>​​ ​ ​</w:t>
            </w:r>
            <w:r>
              <w:rPr>
                <w:rFonts w:ascii="Arial" w:cs="Arial" w:eastAsia="Arial" w:hAnsi="Arial"/>
                <w:sz w:val="27"/>
                <w:szCs w:val="27"/>
                <w:color w:val="auto"/>
                <w:vertAlign w:val="subscript"/>
              </w:rPr>
              <w:t>​</w:t>
            </w:r>
          </w:p>
        </w:tc>
        <w:tc>
          <w:tcPr>
            <w:tcW w:w="740" w:type="dxa"/>
            <w:vAlign w:val="bottom"/>
            <w:tcBorders>
              <w:bottom w:val="single" w:sz="8" w:color="62259D"/>
            </w:tcBorders>
          </w:tcPr>
          <w:p>
            <w:pPr>
              <w:jc w:val="right"/>
              <w:spacing w:after="0" w:line="236" w:lineRule="exact"/>
              <w:rPr>
                <w:sz w:val="20"/>
                <w:szCs w:val="20"/>
                <w:color w:val="auto"/>
              </w:rPr>
            </w:pPr>
            <w:r>
              <w:rPr>
                <w:rFonts w:ascii="Arial" w:cs="Arial" w:eastAsia="Arial" w:hAnsi="Arial"/>
                <w:sz w:val="14"/>
                <w:szCs w:val="14"/>
                <w:color w:val="auto"/>
              </w:rPr>
              <w:t>1,287,439</w:t>
            </w:r>
            <w:r>
              <w:rPr>
                <w:rFonts w:ascii="Arial" w:cs="Arial" w:eastAsia="Arial" w:hAnsi="Arial"/>
                <w:sz w:val="27"/>
                <w:szCs w:val="27"/>
                <w:color w:val="auto"/>
                <w:vertAlign w:val="superscript"/>
              </w:rPr>
              <w:t>​</w:t>
            </w:r>
          </w:p>
        </w:tc>
        <w:tc>
          <w:tcPr>
            <w:tcW w:w="60" w:type="dxa"/>
            <w:vAlign w:val="bottom"/>
            <w:tcBorders>
              <w:bottom w:val="single" w:sz="8" w:color="62259D"/>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400" w:right="139" w:hanging="368"/>
        <w:spacing w:after="0" w:line="259" w:lineRule="auto"/>
        <w:tabs>
          <w:tab w:leader="none" w:pos="14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amounts shown in this column do not reflect compensation actually received by the NEO. Instead, the amounts primarily reflect the grant date fair value of each stock award granted to each NEO. The grant date fair values of stock awards were calculated in accordance with ASC 718. The methodology for calculating the grant date fair value of stock awards is discussed in Note 19 to our Audited Financial Statements for the year ended December 31, 2025. The grant date fair value of restricted stock units is equal to the closing price of our common stock on the date of grant. In 2025, 2024 and 2023, we granted PSUs with both performance and service conditions to all of the NEOs. PSUs that include a market condition require the use of a Monte Carlo simulation approach to model future stock price movements based upon the risk-free rate of return, the volatility of each entity and, where applicable, the pair-wise covariance between each entity. These results are then used to calculate the grant date fair values of the respective PSUs.</w:t>
      </w:r>
    </w:p>
    <w:p>
      <w:pPr>
        <w:spacing w:after="0" w:line="216" w:lineRule="exact"/>
        <w:rPr>
          <w:rFonts w:ascii="Arial" w:cs="Arial" w:eastAsia="Arial" w:hAnsi="Arial"/>
          <w:sz w:val="14"/>
          <w:szCs w:val="14"/>
          <w:color w:val="auto"/>
        </w:rPr>
      </w:pPr>
    </w:p>
    <w:p>
      <w:pPr>
        <w:ind w:left="1400" w:hanging="368"/>
        <w:spacing w:after="0"/>
        <w:tabs>
          <w:tab w:leader="none" w:pos="14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amounts shown in this column represent the cash amounts earned under our SMCIP.</w:t>
      </w:r>
    </w:p>
    <w:p>
      <w:pPr>
        <w:spacing w:after="0" w:line="68" w:lineRule="exact"/>
        <w:rPr>
          <w:rFonts w:ascii="Arial" w:cs="Arial" w:eastAsia="Arial" w:hAnsi="Arial"/>
          <w:sz w:val="14"/>
          <w:szCs w:val="14"/>
          <w:color w:val="auto"/>
        </w:rPr>
      </w:pPr>
    </w:p>
    <w:p>
      <w:pPr>
        <w:ind w:left="1400" w:right="619" w:hanging="368"/>
        <w:spacing w:after="0" w:line="305" w:lineRule="auto"/>
        <w:tabs>
          <w:tab w:leader="none" w:pos="14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This column includes the incremental cost of certain perquisites and other personal benefits provided to the NEOs. The components of All Other Compensation for 2025 are as follows:</w:t>
      </w:r>
    </w:p>
    <w:p>
      <w:pPr>
        <w:spacing w:after="0" w:line="86"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2280" w:type="dxa"/>
            <w:vAlign w:val="bottom"/>
            <w:shd w:val="clear" w:color="auto" w:fill="62259D"/>
          </w:tcPr>
          <w:p>
            <w:pPr>
              <w:spacing w:after="0"/>
              <w:rPr>
                <w:sz w:val="18"/>
                <w:szCs w:val="18"/>
                <w:color w:val="auto"/>
              </w:rPr>
            </w:pPr>
          </w:p>
        </w:tc>
        <w:tc>
          <w:tcPr>
            <w:tcW w:w="200" w:type="dxa"/>
            <w:vAlign w:val="bottom"/>
            <w:shd w:val="clear" w:color="auto" w:fill="62259D"/>
          </w:tcPr>
          <w:p>
            <w:pPr>
              <w:spacing w:after="0"/>
              <w:rPr>
                <w:sz w:val="18"/>
                <w:szCs w:val="18"/>
                <w:color w:val="auto"/>
              </w:rPr>
            </w:pPr>
          </w:p>
        </w:tc>
        <w:tc>
          <w:tcPr>
            <w:tcW w:w="940" w:type="dxa"/>
            <w:vAlign w:val="bottom"/>
            <w:gridSpan w:val="2"/>
            <w:shd w:val="clear" w:color="auto" w:fill="62259D"/>
          </w:tcPr>
          <w:p>
            <w:pPr>
              <w:jc w:val="right"/>
              <w:ind w:right="143"/>
              <w:spacing w:after="0"/>
              <w:rPr>
                <w:sz w:val="20"/>
                <w:szCs w:val="20"/>
                <w:color w:val="auto"/>
              </w:rPr>
            </w:pPr>
            <w:r>
              <w:rPr>
                <w:rFonts w:ascii="Arial" w:cs="Arial" w:eastAsia="Arial" w:hAnsi="Arial"/>
                <w:sz w:val="16"/>
                <w:szCs w:val="16"/>
                <w:b w:val="1"/>
                <w:bCs w:val="1"/>
                <w:color w:val="FEFEFE"/>
              </w:rPr>
              <w:t>Bruce</w:t>
            </w:r>
          </w:p>
        </w:tc>
        <w:tc>
          <w:tcPr>
            <w:tcW w:w="220" w:type="dxa"/>
            <w:vAlign w:val="bottom"/>
            <w:shd w:val="clear" w:color="auto" w:fill="62259D"/>
          </w:tcPr>
          <w:p>
            <w:pPr>
              <w:spacing w:after="0"/>
              <w:rPr>
                <w:sz w:val="18"/>
                <w:szCs w:val="18"/>
                <w:color w:val="auto"/>
              </w:rPr>
            </w:pPr>
          </w:p>
        </w:tc>
        <w:tc>
          <w:tcPr>
            <w:tcW w:w="220" w:type="dxa"/>
            <w:vAlign w:val="bottom"/>
            <w:shd w:val="clear" w:color="auto" w:fill="62259D"/>
          </w:tcPr>
          <w:p>
            <w:pPr>
              <w:spacing w:after="0"/>
              <w:rPr>
                <w:sz w:val="18"/>
                <w:szCs w:val="18"/>
                <w:color w:val="auto"/>
              </w:rPr>
            </w:pPr>
          </w:p>
        </w:tc>
        <w:tc>
          <w:tcPr>
            <w:tcW w:w="640" w:type="dxa"/>
            <w:vAlign w:val="bottom"/>
            <w:shd w:val="clear" w:color="auto" w:fill="62259D"/>
          </w:tcPr>
          <w:p>
            <w:pPr>
              <w:jc w:val="right"/>
              <w:ind w:right="142"/>
              <w:spacing w:after="0"/>
              <w:rPr>
                <w:sz w:val="20"/>
                <w:szCs w:val="20"/>
                <w:color w:val="auto"/>
              </w:rPr>
            </w:pPr>
            <w:r>
              <w:rPr>
                <w:rFonts w:ascii="Arial" w:cs="Arial" w:eastAsia="Arial" w:hAnsi="Arial"/>
                <w:sz w:val="16"/>
                <w:szCs w:val="16"/>
                <w:b w:val="1"/>
                <w:bCs w:val="1"/>
                <w:color w:val="FEFEFE"/>
              </w:rPr>
              <w:t>John</w:t>
            </w:r>
          </w:p>
        </w:tc>
        <w:tc>
          <w:tcPr>
            <w:tcW w:w="280" w:type="dxa"/>
            <w:vAlign w:val="bottom"/>
            <w:shd w:val="clear" w:color="auto" w:fill="62259D"/>
          </w:tcPr>
          <w:p>
            <w:pPr>
              <w:spacing w:after="0"/>
              <w:rPr>
                <w:sz w:val="18"/>
                <w:szCs w:val="18"/>
                <w:color w:val="auto"/>
              </w:rPr>
            </w:pPr>
          </w:p>
        </w:tc>
        <w:tc>
          <w:tcPr>
            <w:tcW w:w="640" w:type="dxa"/>
            <w:vAlign w:val="bottom"/>
            <w:shd w:val="clear" w:color="auto" w:fill="62259D"/>
          </w:tcPr>
          <w:p>
            <w:pPr>
              <w:jc w:val="right"/>
              <w:ind w:right="201"/>
              <w:spacing w:after="0"/>
              <w:rPr>
                <w:sz w:val="20"/>
                <w:szCs w:val="20"/>
                <w:color w:val="auto"/>
              </w:rPr>
            </w:pPr>
            <w:r>
              <w:rPr>
                <w:rFonts w:ascii="Arial" w:cs="Arial" w:eastAsia="Arial" w:hAnsi="Arial"/>
                <w:sz w:val="16"/>
                <w:szCs w:val="16"/>
                <w:b w:val="1"/>
                <w:bCs w:val="1"/>
                <w:color w:val="FEFEFE"/>
              </w:rPr>
              <w:t>Sam</w:t>
            </w:r>
          </w:p>
        </w:tc>
        <w:tc>
          <w:tcPr>
            <w:tcW w:w="660" w:type="dxa"/>
            <w:vAlign w:val="bottom"/>
            <w:gridSpan w:val="2"/>
            <w:shd w:val="clear" w:color="auto" w:fill="62259D"/>
          </w:tcPr>
          <w:p>
            <w:pPr>
              <w:ind w:left="20"/>
              <w:spacing w:after="0"/>
              <w:rPr>
                <w:sz w:val="20"/>
                <w:szCs w:val="20"/>
                <w:color w:val="auto"/>
              </w:rPr>
            </w:pPr>
            <w:r>
              <w:rPr>
                <w:rFonts w:ascii="Arial" w:cs="Arial" w:eastAsia="Arial" w:hAnsi="Arial"/>
                <w:sz w:val="16"/>
                <w:szCs w:val="16"/>
                <w:b w:val="1"/>
                <w:bCs w:val="1"/>
                <w:color w:val="FEFEFE"/>
              </w:rPr>
              <w:t>Patrick</w:t>
            </w:r>
          </w:p>
        </w:tc>
        <w:tc>
          <w:tcPr>
            <w:tcW w:w="200" w:type="dxa"/>
            <w:vAlign w:val="bottom"/>
            <w:shd w:val="clear" w:color="auto" w:fill="62259D"/>
          </w:tcPr>
          <w:p>
            <w:pPr>
              <w:spacing w:after="0"/>
              <w:rPr>
                <w:sz w:val="18"/>
                <w:szCs w:val="18"/>
                <w:color w:val="auto"/>
              </w:rPr>
            </w:pPr>
          </w:p>
        </w:tc>
        <w:tc>
          <w:tcPr>
            <w:tcW w:w="880" w:type="dxa"/>
            <w:vAlign w:val="bottom"/>
            <w:gridSpan w:val="2"/>
            <w:shd w:val="clear" w:color="auto" w:fill="62259D"/>
          </w:tcPr>
          <w:p>
            <w:pPr>
              <w:jc w:val="right"/>
              <w:ind w:right="143"/>
              <w:spacing w:after="0"/>
              <w:rPr>
                <w:sz w:val="20"/>
                <w:szCs w:val="20"/>
                <w:color w:val="auto"/>
              </w:rPr>
            </w:pPr>
            <w:r>
              <w:rPr>
                <w:rFonts w:ascii="Arial" w:cs="Arial" w:eastAsia="Arial" w:hAnsi="Arial"/>
                <w:sz w:val="16"/>
                <w:szCs w:val="16"/>
                <w:b w:val="1"/>
                <w:bCs w:val="1"/>
                <w:color w:val="FEFEFE"/>
              </w:rPr>
              <w:t>Steve</w:t>
            </w:r>
          </w:p>
        </w:tc>
        <w:tc>
          <w:tcPr>
            <w:tcW w:w="280" w:type="dxa"/>
            <w:vAlign w:val="bottom"/>
            <w:shd w:val="clear" w:color="auto" w:fill="62259D"/>
          </w:tcPr>
          <w:p>
            <w:pPr>
              <w:spacing w:after="0"/>
              <w:rPr>
                <w:sz w:val="18"/>
                <w:szCs w:val="18"/>
                <w:color w:val="auto"/>
              </w:rPr>
            </w:pPr>
          </w:p>
        </w:tc>
        <w:tc>
          <w:tcPr>
            <w:tcW w:w="160" w:type="dxa"/>
            <w:vAlign w:val="bottom"/>
            <w:shd w:val="clear" w:color="auto" w:fill="62259D"/>
          </w:tcPr>
          <w:p>
            <w:pPr>
              <w:spacing w:after="0"/>
              <w:rPr>
                <w:sz w:val="18"/>
                <w:szCs w:val="18"/>
                <w:color w:val="auto"/>
              </w:rPr>
            </w:pPr>
          </w:p>
        </w:tc>
        <w:tc>
          <w:tcPr>
            <w:tcW w:w="640" w:type="dxa"/>
            <w:vAlign w:val="bottom"/>
            <w:shd w:val="clear" w:color="auto" w:fill="62259D"/>
          </w:tcPr>
          <w:p>
            <w:pPr>
              <w:jc w:val="right"/>
              <w:ind w:right="202"/>
              <w:spacing w:after="0"/>
              <w:rPr>
                <w:sz w:val="20"/>
                <w:szCs w:val="20"/>
                <w:color w:val="auto"/>
              </w:rPr>
            </w:pPr>
            <w:r>
              <w:rPr>
                <w:rFonts w:ascii="Arial" w:cs="Arial" w:eastAsia="Arial" w:hAnsi="Arial"/>
                <w:sz w:val="16"/>
                <w:szCs w:val="16"/>
                <w:b w:val="1"/>
                <w:bCs w:val="1"/>
                <w:color w:val="FEFEFE"/>
              </w:rPr>
              <w:t>Dan</w:t>
            </w:r>
          </w:p>
        </w:tc>
        <w:tc>
          <w:tcPr>
            <w:tcW w:w="140" w:type="dxa"/>
            <w:vAlign w:val="bottom"/>
            <w:shd w:val="clear" w:color="auto" w:fill="62259D"/>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2280" w:type="dxa"/>
            <w:vAlign w:val="bottom"/>
            <w:shd w:val="clear" w:color="auto" w:fill="62259D"/>
          </w:tcPr>
          <w:p>
            <w:pPr>
              <w:ind w:left="40"/>
              <w:spacing w:after="0"/>
              <w:rPr>
                <w:sz w:val="20"/>
                <w:szCs w:val="20"/>
                <w:color w:val="auto"/>
              </w:rPr>
            </w:pPr>
            <w:r>
              <w:rPr>
                <w:rFonts w:ascii="Arial" w:cs="Arial" w:eastAsia="Arial" w:hAnsi="Arial"/>
                <w:sz w:val="16"/>
                <w:szCs w:val="16"/>
                <w:b w:val="1"/>
                <w:bCs w:val="1"/>
                <w:color w:val="FEFEFE"/>
              </w:rPr>
              <w:t>2025 Compensation</w:t>
            </w:r>
          </w:p>
        </w:tc>
        <w:tc>
          <w:tcPr>
            <w:tcW w:w="200" w:type="dxa"/>
            <w:vAlign w:val="bottom"/>
            <w:shd w:val="clear" w:color="auto" w:fill="62259D"/>
          </w:tcPr>
          <w:p>
            <w:pPr>
              <w:spacing w:after="0"/>
              <w:rPr>
                <w:sz w:val="16"/>
                <w:szCs w:val="16"/>
                <w:color w:val="auto"/>
              </w:rPr>
            </w:pPr>
          </w:p>
        </w:tc>
        <w:tc>
          <w:tcPr>
            <w:tcW w:w="94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McClelland</w:t>
            </w:r>
          </w:p>
        </w:tc>
        <w:tc>
          <w:tcPr>
            <w:tcW w:w="220" w:type="dxa"/>
            <w:vAlign w:val="bottom"/>
            <w:shd w:val="clear" w:color="auto" w:fill="62259D"/>
          </w:tcPr>
          <w:p>
            <w:pPr>
              <w:spacing w:after="0"/>
              <w:rPr>
                <w:sz w:val="16"/>
                <w:szCs w:val="16"/>
                <w:color w:val="auto"/>
              </w:rPr>
            </w:pPr>
          </w:p>
        </w:tc>
        <w:tc>
          <w:tcPr>
            <w:tcW w:w="86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Townsend</w:t>
            </w:r>
          </w:p>
        </w:tc>
        <w:tc>
          <w:tcPr>
            <w:tcW w:w="920" w:type="dxa"/>
            <w:vAlign w:val="bottom"/>
            <w:gridSpan w:val="2"/>
            <w:shd w:val="clear" w:color="auto" w:fill="62259D"/>
          </w:tcPr>
          <w:p>
            <w:pPr>
              <w:jc w:val="right"/>
              <w:ind w:right="141"/>
              <w:spacing w:after="0"/>
              <w:rPr>
                <w:sz w:val="20"/>
                <w:szCs w:val="20"/>
                <w:color w:val="auto"/>
              </w:rPr>
            </w:pPr>
            <w:r>
              <w:rPr>
                <w:rFonts w:ascii="Arial" w:cs="Arial" w:eastAsia="Arial" w:hAnsi="Arial"/>
                <w:sz w:val="16"/>
                <w:szCs w:val="16"/>
                <w:b w:val="1"/>
                <w:bCs w:val="1"/>
                <w:color w:val="FEFEFE"/>
              </w:rPr>
              <w:t>Bucci</w:t>
            </w:r>
          </w:p>
        </w:tc>
        <w:tc>
          <w:tcPr>
            <w:tcW w:w="660" w:type="dxa"/>
            <w:vAlign w:val="bottom"/>
            <w:gridSpan w:val="2"/>
            <w:shd w:val="clear" w:color="auto" w:fill="62259D"/>
          </w:tcPr>
          <w:p>
            <w:pPr>
              <w:spacing w:after="0"/>
              <w:rPr>
                <w:sz w:val="20"/>
                <w:szCs w:val="20"/>
                <w:color w:val="auto"/>
              </w:rPr>
            </w:pPr>
            <w:r>
              <w:rPr>
                <w:rFonts w:ascii="Arial" w:cs="Arial" w:eastAsia="Arial" w:hAnsi="Arial"/>
                <w:sz w:val="16"/>
                <w:szCs w:val="16"/>
                <w:b w:val="1"/>
                <w:bCs w:val="1"/>
                <w:color w:val="FEFEFE"/>
              </w:rPr>
              <w:t>Macken</w:t>
            </w:r>
          </w:p>
        </w:tc>
        <w:tc>
          <w:tcPr>
            <w:tcW w:w="200" w:type="dxa"/>
            <w:vAlign w:val="bottom"/>
            <w:shd w:val="clear" w:color="auto" w:fill="62259D"/>
          </w:tcPr>
          <w:p>
            <w:pPr>
              <w:spacing w:after="0"/>
              <w:rPr>
                <w:sz w:val="16"/>
                <w:szCs w:val="16"/>
                <w:color w:val="auto"/>
              </w:rPr>
            </w:pPr>
          </w:p>
        </w:tc>
        <w:tc>
          <w:tcPr>
            <w:tcW w:w="880" w:type="dxa"/>
            <w:vAlign w:val="bottom"/>
            <w:gridSpan w:val="2"/>
            <w:shd w:val="clear" w:color="auto" w:fill="62259D"/>
          </w:tcPr>
          <w:p>
            <w:pPr>
              <w:jc w:val="right"/>
              <w:spacing w:after="0"/>
              <w:rPr>
                <w:sz w:val="20"/>
                <w:szCs w:val="20"/>
                <w:color w:val="auto"/>
              </w:rPr>
            </w:pPr>
            <w:r>
              <w:rPr>
                <w:rFonts w:ascii="Arial" w:cs="Arial" w:eastAsia="Arial" w:hAnsi="Arial"/>
                <w:sz w:val="16"/>
                <w:szCs w:val="16"/>
                <w:b w:val="1"/>
                <w:bCs w:val="1"/>
                <w:color w:val="FEFEFE"/>
              </w:rPr>
              <w:t>McCaffery</w:t>
            </w:r>
          </w:p>
        </w:tc>
        <w:tc>
          <w:tcPr>
            <w:tcW w:w="1080" w:type="dxa"/>
            <w:vAlign w:val="bottom"/>
            <w:gridSpan w:val="3"/>
            <w:shd w:val="clear" w:color="auto" w:fill="62259D"/>
          </w:tcPr>
          <w:p>
            <w:pPr>
              <w:jc w:val="right"/>
              <w:spacing w:after="0"/>
              <w:rPr>
                <w:sz w:val="20"/>
                <w:szCs w:val="20"/>
                <w:color w:val="auto"/>
              </w:rPr>
            </w:pPr>
            <w:r>
              <w:rPr>
                <w:rFonts w:ascii="Arial" w:cs="Arial" w:eastAsia="Arial" w:hAnsi="Arial"/>
                <w:sz w:val="16"/>
                <w:szCs w:val="16"/>
                <w:b w:val="1"/>
                <w:bCs w:val="1"/>
                <w:color w:val="FEFEFE"/>
              </w:rPr>
              <w:t>Redington</w:t>
            </w:r>
          </w:p>
        </w:tc>
        <w:tc>
          <w:tcPr>
            <w:tcW w:w="140" w:type="dxa"/>
            <w:vAlign w:val="bottom"/>
            <w:shd w:val="clear" w:color="auto" w:fill="62259D"/>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2280" w:type="dxa"/>
            <w:vAlign w:val="bottom"/>
            <w:shd w:val="clear" w:color="auto" w:fill="62259D"/>
          </w:tcPr>
          <w:p>
            <w:pPr>
              <w:ind w:left="20"/>
              <w:spacing w:after="0"/>
              <w:rPr>
                <w:sz w:val="20"/>
                <w:szCs w:val="20"/>
                <w:color w:val="auto"/>
              </w:rPr>
            </w:pPr>
            <w:r>
              <w:rPr>
                <w:rFonts w:ascii="Arial" w:cs="Arial" w:eastAsia="Arial" w:hAnsi="Arial"/>
                <w:sz w:val="16"/>
                <w:szCs w:val="16"/>
                <w:b w:val="1"/>
                <w:bCs w:val="1"/>
                <w:color w:val="FEFEFE"/>
              </w:rPr>
              <w:t>​Components</w:t>
            </w:r>
          </w:p>
        </w:tc>
        <w:tc>
          <w:tcPr>
            <w:tcW w:w="200" w:type="dxa"/>
            <w:vAlign w:val="bottom"/>
            <w:shd w:val="clear" w:color="auto" w:fill="62259D"/>
          </w:tcPr>
          <w:p>
            <w:pPr>
              <w:ind w:left="80"/>
              <w:spacing w:after="0"/>
              <w:rPr>
                <w:sz w:val="20"/>
                <w:szCs w:val="20"/>
                <w:color w:val="auto"/>
              </w:rPr>
            </w:pPr>
            <w:r>
              <w:rPr>
                <w:rFonts w:ascii="Arial" w:cs="Arial" w:eastAsia="Arial" w:hAnsi="Arial"/>
                <w:sz w:val="16"/>
                <w:szCs w:val="16"/>
                <w:b w:val="1"/>
                <w:bCs w:val="1"/>
                <w:color w:val="FEFEFE"/>
              </w:rPr>
              <w:t>​ ​</w:t>
            </w:r>
          </w:p>
        </w:tc>
        <w:tc>
          <w:tcPr>
            <w:tcW w:w="320" w:type="dxa"/>
            <w:vAlign w:val="bottom"/>
            <w:shd w:val="clear" w:color="auto" w:fill="62259D"/>
          </w:tcPr>
          <w:p>
            <w:pPr>
              <w:spacing w:after="0"/>
              <w:rPr>
                <w:sz w:val="17"/>
                <w:szCs w:val="17"/>
                <w:color w:val="auto"/>
              </w:rPr>
            </w:pPr>
          </w:p>
        </w:tc>
        <w:tc>
          <w:tcPr>
            <w:tcW w:w="620" w:type="dxa"/>
            <w:vAlign w:val="bottom"/>
            <w:shd w:val="clear" w:color="auto" w:fill="62259D"/>
          </w:tcPr>
          <w:p>
            <w:pPr>
              <w:jc w:val="right"/>
              <w:ind w:right="263"/>
              <w:spacing w:after="0"/>
              <w:rPr>
                <w:sz w:val="20"/>
                <w:szCs w:val="20"/>
                <w:color w:val="auto"/>
              </w:rPr>
            </w:pPr>
            <w:r>
              <w:rPr>
                <w:rFonts w:ascii="Arial" w:cs="Arial" w:eastAsia="Arial" w:hAnsi="Arial"/>
                <w:sz w:val="16"/>
                <w:szCs w:val="16"/>
                <w:b w:val="1"/>
                <w:bCs w:val="1"/>
                <w:color w:val="FEFEFE"/>
              </w:rPr>
              <w:t>($)</w:t>
            </w:r>
          </w:p>
        </w:tc>
        <w:tc>
          <w:tcPr>
            <w:tcW w:w="22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 ​</w:t>
            </w:r>
          </w:p>
        </w:tc>
        <w:tc>
          <w:tcPr>
            <w:tcW w:w="220" w:type="dxa"/>
            <w:vAlign w:val="bottom"/>
            <w:shd w:val="clear" w:color="auto" w:fill="62259D"/>
          </w:tcPr>
          <w:p>
            <w:pPr>
              <w:spacing w:after="0"/>
              <w:rPr>
                <w:sz w:val="17"/>
                <w:szCs w:val="17"/>
                <w:color w:val="auto"/>
              </w:rPr>
            </w:pPr>
          </w:p>
        </w:tc>
        <w:tc>
          <w:tcPr>
            <w:tcW w:w="640" w:type="dxa"/>
            <w:vAlign w:val="bottom"/>
            <w:shd w:val="clear" w:color="auto" w:fill="62259D"/>
          </w:tcPr>
          <w:p>
            <w:pPr>
              <w:jc w:val="right"/>
              <w:ind w:right="222"/>
              <w:spacing w:after="0"/>
              <w:rPr>
                <w:sz w:val="20"/>
                <w:szCs w:val="20"/>
                <w:color w:val="auto"/>
              </w:rPr>
            </w:pPr>
            <w:r>
              <w:rPr>
                <w:rFonts w:ascii="Arial" w:cs="Arial" w:eastAsia="Arial" w:hAnsi="Arial"/>
                <w:sz w:val="16"/>
                <w:szCs w:val="16"/>
                <w:b w:val="1"/>
                <w:bCs w:val="1"/>
                <w:color w:val="FEFEFE"/>
              </w:rPr>
              <w:t>($)</w:t>
            </w:r>
          </w:p>
        </w:tc>
        <w:tc>
          <w:tcPr>
            <w:tcW w:w="28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 ​</w:t>
            </w:r>
          </w:p>
        </w:tc>
        <w:tc>
          <w:tcPr>
            <w:tcW w:w="64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  ​ ​</w:t>
            </w:r>
          </w:p>
        </w:tc>
        <w:tc>
          <w:tcPr>
            <w:tcW w:w="180" w:type="dxa"/>
            <w:vAlign w:val="bottom"/>
            <w:shd w:val="clear" w:color="auto" w:fill="62259D"/>
          </w:tcPr>
          <w:p>
            <w:pPr>
              <w:spacing w:after="0"/>
              <w:rPr>
                <w:sz w:val="17"/>
                <w:szCs w:val="17"/>
                <w:color w:val="auto"/>
              </w:rPr>
            </w:pPr>
          </w:p>
        </w:tc>
        <w:tc>
          <w:tcPr>
            <w:tcW w:w="480" w:type="dxa"/>
            <w:vAlign w:val="bottom"/>
            <w:shd w:val="clear" w:color="auto" w:fill="62259D"/>
          </w:tcPr>
          <w:p>
            <w:pPr>
              <w:jc w:val="right"/>
              <w:ind w:right="123"/>
              <w:spacing w:after="0"/>
              <w:rPr>
                <w:sz w:val="20"/>
                <w:szCs w:val="20"/>
                <w:color w:val="auto"/>
              </w:rPr>
            </w:pPr>
            <w:r>
              <w:rPr>
                <w:rFonts w:ascii="Arial" w:cs="Arial" w:eastAsia="Arial" w:hAnsi="Arial"/>
                <w:sz w:val="16"/>
                <w:szCs w:val="16"/>
                <w:b w:val="1"/>
                <w:bCs w:val="1"/>
                <w:color w:val="FEFEFE"/>
              </w:rPr>
              <w:t>($)</w:t>
            </w:r>
          </w:p>
        </w:tc>
        <w:tc>
          <w:tcPr>
            <w:tcW w:w="200" w:type="dxa"/>
            <w:vAlign w:val="bottom"/>
            <w:shd w:val="clear" w:color="auto" w:fill="62259D"/>
          </w:tcPr>
          <w:p>
            <w:pPr>
              <w:jc w:val="right"/>
              <w:spacing w:after="0"/>
              <w:rPr>
                <w:sz w:val="20"/>
                <w:szCs w:val="20"/>
                <w:color w:val="auto"/>
              </w:rPr>
            </w:pPr>
            <w:r>
              <w:rPr>
                <w:rFonts w:ascii="Arial" w:cs="Arial" w:eastAsia="Arial" w:hAnsi="Arial"/>
                <w:sz w:val="16"/>
                <w:szCs w:val="16"/>
                <w:b w:val="1"/>
                <w:bCs w:val="1"/>
                <w:color w:val="FEFEFE"/>
              </w:rPr>
              <w:t>​ ​</w:t>
            </w:r>
          </w:p>
        </w:tc>
        <w:tc>
          <w:tcPr>
            <w:tcW w:w="300" w:type="dxa"/>
            <w:vAlign w:val="bottom"/>
            <w:shd w:val="clear" w:color="auto" w:fill="62259D"/>
          </w:tcPr>
          <w:p>
            <w:pPr>
              <w:spacing w:after="0"/>
              <w:rPr>
                <w:sz w:val="17"/>
                <w:szCs w:val="17"/>
                <w:color w:val="auto"/>
              </w:rPr>
            </w:pPr>
          </w:p>
        </w:tc>
        <w:tc>
          <w:tcPr>
            <w:tcW w:w="580" w:type="dxa"/>
            <w:vAlign w:val="bottom"/>
            <w:shd w:val="clear" w:color="auto" w:fill="62259D"/>
          </w:tcPr>
          <w:p>
            <w:pPr>
              <w:jc w:val="right"/>
              <w:ind w:right="243"/>
              <w:spacing w:after="0"/>
              <w:rPr>
                <w:sz w:val="20"/>
                <w:szCs w:val="20"/>
                <w:color w:val="auto"/>
              </w:rPr>
            </w:pPr>
            <w:r>
              <w:rPr>
                <w:rFonts w:ascii="Arial" w:cs="Arial" w:eastAsia="Arial" w:hAnsi="Arial"/>
                <w:sz w:val="16"/>
                <w:szCs w:val="16"/>
                <w:b w:val="1"/>
                <w:bCs w:val="1"/>
                <w:color w:val="FEFEFE"/>
              </w:rPr>
              <w:t>($)</w:t>
            </w:r>
          </w:p>
        </w:tc>
        <w:tc>
          <w:tcPr>
            <w:tcW w:w="280" w:type="dxa"/>
            <w:vAlign w:val="bottom"/>
            <w:shd w:val="clear" w:color="auto" w:fill="62259D"/>
          </w:tcPr>
          <w:p>
            <w:pPr>
              <w:ind w:left="80"/>
              <w:spacing w:after="0"/>
              <w:rPr>
                <w:sz w:val="20"/>
                <w:szCs w:val="20"/>
                <w:color w:val="auto"/>
              </w:rPr>
            </w:pPr>
            <w:r>
              <w:rPr>
                <w:rFonts w:ascii="Arial" w:cs="Arial" w:eastAsia="Arial" w:hAnsi="Arial"/>
                <w:sz w:val="16"/>
                <w:szCs w:val="16"/>
                <w:b w:val="1"/>
                <w:bCs w:val="1"/>
                <w:color w:val="FEFEFE"/>
              </w:rPr>
              <w:t>​ ​</w:t>
            </w:r>
          </w:p>
        </w:tc>
        <w:tc>
          <w:tcPr>
            <w:tcW w:w="160" w:type="dxa"/>
            <w:vAlign w:val="bottom"/>
            <w:shd w:val="clear" w:color="auto" w:fill="62259D"/>
          </w:tcPr>
          <w:p>
            <w:pPr>
              <w:spacing w:after="0"/>
              <w:rPr>
                <w:sz w:val="17"/>
                <w:szCs w:val="17"/>
                <w:color w:val="auto"/>
              </w:rPr>
            </w:pPr>
          </w:p>
        </w:tc>
        <w:tc>
          <w:tcPr>
            <w:tcW w:w="640" w:type="dxa"/>
            <w:vAlign w:val="bottom"/>
            <w:shd w:val="clear" w:color="auto" w:fill="62259D"/>
          </w:tcPr>
          <w:p>
            <w:pPr>
              <w:jc w:val="right"/>
              <w:ind w:right="222"/>
              <w:spacing w:after="0"/>
              <w:rPr>
                <w:sz w:val="20"/>
                <w:szCs w:val="20"/>
                <w:color w:val="auto"/>
              </w:rPr>
            </w:pPr>
            <w:r>
              <w:rPr>
                <w:rFonts w:ascii="Arial" w:cs="Arial" w:eastAsia="Arial" w:hAnsi="Arial"/>
                <w:sz w:val="16"/>
                <w:szCs w:val="16"/>
                <w:b w:val="1"/>
                <w:bCs w:val="1"/>
                <w:color w:val="FEFEFE"/>
              </w:rPr>
              <w:t>($)</w:t>
            </w:r>
          </w:p>
        </w:tc>
        <w:tc>
          <w:tcPr>
            <w:tcW w:w="14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w:t>
            </w:r>
          </w:p>
        </w:tc>
        <w:tc>
          <w:tcPr>
            <w:tcW w:w="20" w:type="dxa"/>
            <w:vAlign w:val="bottom"/>
          </w:tcPr>
          <w:p>
            <w:pPr>
              <w:spacing w:after="0"/>
              <w:rPr>
                <w:sz w:val="17"/>
                <w:szCs w:val="17"/>
                <w:color w:val="auto"/>
              </w:rPr>
            </w:pPr>
          </w:p>
        </w:tc>
      </w:tr>
      <w:tr>
        <w:trPr>
          <w:trHeight w:val="175"/>
        </w:trPr>
        <w:tc>
          <w:tcPr>
            <w:tcW w:w="2280" w:type="dxa"/>
            <w:vAlign w:val="bottom"/>
            <w:tcBorders>
              <w:bottom w:val="single" w:sz="8" w:color="E7417A"/>
            </w:tcBorders>
          </w:tcPr>
          <w:p>
            <w:pPr>
              <w:spacing w:after="0" w:line="175" w:lineRule="exact"/>
              <w:rPr>
                <w:sz w:val="20"/>
                <w:szCs w:val="20"/>
                <w:color w:val="auto"/>
              </w:rPr>
            </w:pPr>
            <w:r>
              <w:rPr>
                <w:rFonts w:ascii="Arial" w:cs="Arial" w:eastAsia="Arial" w:hAnsi="Arial"/>
                <w:sz w:val="15"/>
                <w:szCs w:val="15"/>
                <w:color w:val="auto"/>
              </w:rPr>
              <w:t>​Health Benefits</w:t>
            </w:r>
            <w:r>
              <w:rPr>
                <w:rFonts w:ascii="Arial" w:cs="Arial" w:eastAsia="Arial" w:hAnsi="Arial"/>
                <w:sz w:val="19"/>
                <w:szCs w:val="19"/>
                <w:color w:val="auto"/>
                <w:vertAlign w:val="superscript"/>
              </w:rPr>
              <w:t>(a)</w:t>
            </w:r>
          </w:p>
        </w:tc>
        <w:tc>
          <w:tcPr>
            <w:tcW w:w="200" w:type="dxa"/>
            <w:vAlign w:val="bottom"/>
            <w:tcBorders>
              <w:bottom w:val="single" w:sz="8" w:color="E7417A"/>
            </w:tcBorders>
          </w:tcPr>
          <w:p>
            <w:pPr>
              <w:ind w:left="40"/>
              <w:spacing w:after="0"/>
              <w:rPr>
                <w:sz w:val="20"/>
                <w:szCs w:val="20"/>
                <w:color w:val="auto"/>
              </w:rPr>
            </w:pPr>
            <w:r>
              <w:rPr>
                <w:rFonts w:ascii="Arial" w:cs="Arial" w:eastAsia="Arial" w:hAnsi="Arial"/>
                <w:sz w:val="15"/>
                <w:szCs w:val="15"/>
                <w:color w:val="auto"/>
              </w:rPr>
              <w:t>​ ​</w:t>
            </w:r>
          </w:p>
        </w:tc>
        <w:tc>
          <w:tcPr>
            <w:tcW w:w="940" w:type="dxa"/>
            <w:vAlign w:val="bottom"/>
            <w:tcBorders>
              <w:bottom w:val="single" w:sz="8" w:color="E7417A"/>
            </w:tcBorders>
            <w:gridSpan w:val="2"/>
          </w:tcPr>
          <w:p>
            <w:pPr>
              <w:jc w:val="right"/>
              <w:ind w:right="103"/>
              <w:spacing w:after="0"/>
              <w:rPr>
                <w:sz w:val="20"/>
                <w:szCs w:val="20"/>
                <w:color w:val="auto"/>
              </w:rPr>
            </w:pPr>
            <w:r>
              <w:rPr>
                <w:rFonts w:ascii="Arial" w:cs="Arial" w:eastAsia="Arial" w:hAnsi="Arial"/>
                <w:sz w:val="15"/>
                <w:szCs w:val="15"/>
                <w:color w:val="auto"/>
              </w:rPr>
              <w:t>​​22,866</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5"/>
                <w:szCs w:val="15"/>
                <w:color w:val="auto"/>
              </w:rPr>
              <w:t>​​ ​</w:t>
            </w:r>
          </w:p>
        </w:tc>
        <w:tc>
          <w:tcPr>
            <w:tcW w:w="860" w:type="dxa"/>
            <w:vAlign w:val="bottom"/>
            <w:tcBorders>
              <w:bottom w:val="single" w:sz="8" w:color="E7417A"/>
            </w:tcBorders>
            <w:gridSpan w:val="2"/>
          </w:tcPr>
          <w:p>
            <w:pPr>
              <w:jc w:val="right"/>
              <w:ind w:right="62"/>
              <w:spacing w:after="0"/>
              <w:rPr>
                <w:sz w:val="20"/>
                <w:szCs w:val="20"/>
                <w:color w:val="auto"/>
              </w:rPr>
            </w:pPr>
            <w:r>
              <w:rPr>
                <w:rFonts w:ascii="Arial" w:cs="Arial" w:eastAsia="Arial" w:hAnsi="Arial"/>
                <w:sz w:val="15"/>
                <w:szCs w:val="15"/>
                <w:color w:val="auto"/>
              </w:rPr>
              <w:t>​​ 21,000</w:t>
            </w:r>
          </w:p>
        </w:tc>
        <w:tc>
          <w:tcPr>
            <w:tcW w:w="920" w:type="dxa"/>
            <w:vAlign w:val="bottom"/>
            <w:tcBorders>
              <w:bottom w:val="single" w:sz="8" w:color="E7417A"/>
            </w:tcBorders>
            <w:gridSpan w:val="2"/>
          </w:tcPr>
          <w:p>
            <w:pPr>
              <w:jc w:val="right"/>
              <w:spacing w:after="0"/>
              <w:rPr>
                <w:sz w:val="20"/>
                <w:szCs w:val="20"/>
                <w:color w:val="auto"/>
              </w:rPr>
            </w:pPr>
            <w:r>
              <w:rPr>
                <w:rFonts w:ascii="Arial" w:cs="Arial" w:eastAsia="Arial" w:hAnsi="Arial"/>
                <w:sz w:val="15"/>
                <w:szCs w:val="15"/>
                <w:color w:val="auto"/>
              </w:rPr>
              <w:t>​​ ​ ​ 6,747​ ​</w:t>
            </w:r>
          </w:p>
        </w:tc>
        <w:tc>
          <w:tcPr>
            <w:tcW w:w="860" w:type="dxa"/>
            <w:vAlign w:val="bottom"/>
            <w:tcBorders>
              <w:bottom w:val="single" w:sz="8" w:color="E7417A"/>
            </w:tcBorders>
            <w:gridSpan w:val="3"/>
          </w:tcPr>
          <w:p>
            <w:pPr>
              <w:jc w:val="right"/>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31,165 ​​ ​</w:t>
            </w:r>
          </w:p>
        </w:tc>
        <w:tc>
          <w:tcPr>
            <w:tcW w:w="300" w:type="dxa"/>
            <w:vAlign w:val="bottom"/>
            <w:tcBorders>
              <w:bottom w:val="single" w:sz="8" w:color="E7417A"/>
            </w:tcBorders>
          </w:tcPr>
          <w:p>
            <w:pPr>
              <w:ind w:left="16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E7417A"/>
            </w:tcBorders>
          </w:tcPr>
          <w:p>
            <w:pPr>
              <w:jc w:val="right"/>
              <w:ind w:right="83"/>
              <w:spacing w:after="0"/>
              <w:rPr>
                <w:sz w:val="20"/>
                <w:szCs w:val="20"/>
                <w:color w:val="auto"/>
              </w:rPr>
            </w:pPr>
            <w:r>
              <w:rPr>
                <w:rFonts w:ascii="Arial" w:cs="Arial" w:eastAsia="Arial" w:hAnsi="Arial"/>
                <w:sz w:val="15"/>
                <w:szCs w:val="15"/>
                <w:color w:val="auto"/>
              </w:rPr>
              <w:t>489</w:t>
            </w:r>
          </w:p>
        </w:tc>
        <w:tc>
          <w:tcPr>
            <w:tcW w:w="280" w:type="dxa"/>
            <w:vAlign w:val="bottom"/>
            <w:tcBorders>
              <w:bottom w:val="single" w:sz="8" w:color="E7417A"/>
            </w:tcBorders>
          </w:tcPr>
          <w:p>
            <w:pPr>
              <w:spacing w:after="0"/>
              <w:rPr>
                <w:sz w:val="20"/>
                <w:szCs w:val="20"/>
                <w:color w:val="auto"/>
              </w:rPr>
            </w:pPr>
            <w:r>
              <w:rPr>
                <w:rFonts w:ascii="Arial" w:cs="Arial" w:eastAsia="Arial" w:hAnsi="Arial"/>
                <w:sz w:val="15"/>
                <w:szCs w:val="15"/>
                <w:color w:val="auto"/>
              </w:rPr>
              <w:t>​​ ​</w:t>
            </w:r>
          </w:p>
        </w:tc>
        <w:tc>
          <w:tcPr>
            <w:tcW w:w="160" w:type="dxa"/>
            <w:vAlign w:val="bottom"/>
            <w:tcBorders>
              <w:bottom w:val="single" w:sz="8" w:color="E7417A"/>
            </w:tcBorders>
          </w:tcPr>
          <w:p>
            <w:pPr>
              <w:ind w:left="6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E7417A"/>
            </w:tcBorders>
          </w:tcPr>
          <w:p>
            <w:pPr>
              <w:jc w:val="right"/>
              <w:ind w:right="22"/>
              <w:spacing w:after="0"/>
              <w:rPr>
                <w:sz w:val="20"/>
                <w:szCs w:val="20"/>
                <w:color w:val="auto"/>
              </w:rPr>
            </w:pPr>
            <w:r>
              <w:rPr>
                <w:rFonts w:ascii="Arial" w:cs="Arial" w:eastAsia="Arial" w:hAnsi="Arial"/>
                <w:sz w:val="15"/>
                <w:szCs w:val="15"/>
                <w:color w:val="auto"/>
              </w:rPr>
              <w:t>23,353</w:t>
            </w:r>
          </w:p>
        </w:tc>
        <w:tc>
          <w:tcPr>
            <w:tcW w:w="140" w:type="dxa"/>
            <w:vAlign w:val="bottom"/>
            <w:tcBorders>
              <w:bottom w:val="single" w:sz="8" w:color="E7417A"/>
            </w:tcBorders>
          </w:tcPr>
          <w:p>
            <w:pPr>
              <w:ind w:left="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r>
        <w:trPr>
          <w:trHeight w:val="152"/>
        </w:trPr>
        <w:tc>
          <w:tcPr>
            <w:tcW w:w="2280" w:type="dxa"/>
            <w:vAlign w:val="bottom"/>
          </w:tcPr>
          <w:p>
            <w:pPr>
              <w:ind w:left="40"/>
              <w:spacing w:after="0" w:line="151" w:lineRule="exact"/>
              <w:rPr>
                <w:sz w:val="20"/>
                <w:szCs w:val="20"/>
                <w:color w:val="auto"/>
              </w:rPr>
            </w:pPr>
            <w:r>
              <w:rPr>
                <w:rFonts w:ascii="Arial" w:cs="Arial" w:eastAsia="Arial" w:hAnsi="Arial"/>
                <w:sz w:val="15"/>
                <w:szCs w:val="15"/>
                <w:color w:val="auto"/>
              </w:rPr>
              <w:t>401(k) matching contributions/​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2280" w:type="dxa"/>
            <w:vAlign w:val="bottom"/>
          </w:tcPr>
          <w:p>
            <w:pPr>
              <w:ind w:left="40"/>
              <w:spacing w:after="0" w:line="163" w:lineRule="exact"/>
              <w:rPr>
                <w:sz w:val="20"/>
                <w:szCs w:val="20"/>
                <w:color w:val="auto"/>
              </w:rPr>
            </w:pPr>
            <w:r>
              <w:rPr>
                <w:rFonts w:ascii="Arial" w:cs="Arial" w:eastAsia="Arial" w:hAnsi="Arial"/>
                <w:sz w:val="15"/>
                <w:szCs w:val="15"/>
                <w:color w:val="auto"/>
              </w:rPr>
              <w:t>pension and profit sharing</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3"/>
        </w:trPr>
        <w:tc>
          <w:tcPr>
            <w:tcW w:w="2280" w:type="dxa"/>
            <w:vAlign w:val="bottom"/>
          </w:tcPr>
          <w:p>
            <w:pPr>
              <w:spacing w:after="0"/>
              <w:rPr>
                <w:sz w:val="20"/>
                <w:szCs w:val="20"/>
                <w:color w:val="auto"/>
              </w:rPr>
            </w:pPr>
            <w:r>
              <w:rPr>
                <w:rFonts w:ascii="Arial" w:cs="Arial" w:eastAsia="Arial" w:hAnsi="Arial"/>
                <w:sz w:val="15"/>
                <w:szCs w:val="15"/>
                <w:color w:val="auto"/>
              </w:rPr>
              <w:t>​contribution</w:t>
            </w:r>
            <w:r>
              <w:rPr>
                <w:rFonts w:ascii="Arial" w:cs="Arial" w:eastAsia="Arial" w:hAnsi="Arial"/>
                <w:sz w:val="19"/>
                <w:szCs w:val="19"/>
                <w:color w:val="auto"/>
                <w:vertAlign w:val="superscript"/>
              </w:rPr>
              <w:t>(b)</w:t>
            </w:r>
          </w:p>
        </w:tc>
        <w:tc>
          <w:tcPr>
            <w:tcW w:w="200" w:type="dxa"/>
            <w:vAlign w:val="bottom"/>
          </w:tcPr>
          <w:p>
            <w:pPr>
              <w:ind w:left="40"/>
              <w:spacing w:after="0"/>
              <w:rPr>
                <w:sz w:val="20"/>
                <w:szCs w:val="20"/>
                <w:color w:val="auto"/>
              </w:rPr>
            </w:pPr>
            <w:r>
              <w:rPr>
                <w:rFonts w:ascii="Arial" w:cs="Arial" w:eastAsia="Arial" w:hAnsi="Arial"/>
                <w:sz w:val="15"/>
                <w:szCs w:val="15"/>
                <w:color w:val="auto"/>
              </w:rPr>
              <w:t>​ ​</w:t>
            </w:r>
          </w:p>
        </w:tc>
        <w:tc>
          <w:tcPr>
            <w:tcW w:w="320" w:type="dxa"/>
            <w:vAlign w:val="bottom"/>
          </w:tcPr>
          <w:p>
            <w:pPr>
              <w:ind w:left="20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103"/>
              <w:spacing w:after="0"/>
              <w:rPr>
                <w:sz w:val="20"/>
                <w:szCs w:val="20"/>
                <w:color w:val="auto"/>
              </w:rPr>
            </w:pPr>
            <w:r>
              <w:rPr>
                <w:rFonts w:ascii="Arial" w:cs="Arial" w:eastAsia="Arial" w:hAnsi="Arial"/>
                <w:sz w:val="15"/>
                <w:szCs w:val="15"/>
                <w:color w:val="auto"/>
              </w:rPr>
              <w:t>5,231</w:t>
            </w:r>
          </w:p>
        </w:tc>
        <w:tc>
          <w:tcPr>
            <w:tcW w:w="220" w:type="dxa"/>
            <w:vAlign w:val="bottom"/>
          </w:tcPr>
          <w:p>
            <w:pPr>
              <w:ind w:left="20"/>
              <w:spacing w:after="0"/>
              <w:rPr>
                <w:sz w:val="20"/>
                <w:szCs w:val="20"/>
                <w:color w:val="auto"/>
              </w:rPr>
            </w:pPr>
            <w:r>
              <w:rPr>
                <w:rFonts w:ascii="Arial" w:cs="Arial" w:eastAsia="Arial" w:hAnsi="Arial"/>
                <w:sz w:val="15"/>
                <w:szCs w:val="15"/>
                <w:color w:val="auto"/>
              </w:rPr>
              <w:t>​​ ​</w:t>
            </w:r>
          </w:p>
        </w:tc>
        <w:tc>
          <w:tcPr>
            <w:tcW w:w="220" w:type="dxa"/>
            <w:vAlign w:val="bottom"/>
          </w:tcPr>
          <w:p>
            <w:pPr>
              <w:ind w:left="16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2"/>
              <w:spacing w:after="0"/>
              <w:rPr>
                <w:sz w:val="20"/>
                <w:szCs w:val="20"/>
                <w:color w:val="auto"/>
              </w:rPr>
            </w:pPr>
            <w:r>
              <w:rPr>
                <w:rFonts w:ascii="Arial" w:cs="Arial" w:eastAsia="Arial" w:hAnsi="Arial"/>
                <w:sz w:val="15"/>
                <w:szCs w:val="15"/>
                <w:color w:val="auto"/>
              </w:rPr>
              <w:t>7,000</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 ​ ​15,299​ ​</w:t>
            </w:r>
          </w:p>
        </w:tc>
        <w:tc>
          <w:tcPr>
            <w:tcW w:w="18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7,000</w:t>
            </w:r>
          </w:p>
        </w:tc>
        <w:tc>
          <w:tcPr>
            <w:tcW w:w="200" w:type="dxa"/>
            <w:vAlign w:val="bottom"/>
          </w:tcPr>
          <w:p>
            <w:pPr>
              <w:jc w:val="right"/>
              <w:spacing w:after="0"/>
              <w:rPr>
                <w:sz w:val="20"/>
                <w:szCs w:val="20"/>
                <w:color w:val="auto"/>
              </w:rPr>
            </w:pPr>
            <w:r>
              <w:rPr>
                <w:rFonts w:ascii="Arial" w:cs="Arial" w:eastAsia="Arial" w:hAnsi="Arial"/>
                <w:sz w:val="15"/>
                <w:szCs w:val="15"/>
                <w:color w:val="auto"/>
              </w:rPr>
              <w:t>​​ ​</w:t>
            </w:r>
          </w:p>
        </w:tc>
        <w:tc>
          <w:tcPr>
            <w:tcW w:w="880" w:type="dxa"/>
            <w:vAlign w:val="bottom"/>
            <w:gridSpan w:val="2"/>
          </w:tcPr>
          <w:p>
            <w:pPr>
              <w:jc w:val="right"/>
              <w:ind w:right="83"/>
              <w:spacing w:after="0"/>
              <w:rPr>
                <w:sz w:val="20"/>
                <w:szCs w:val="20"/>
                <w:color w:val="auto"/>
              </w:rPr>
            </w:pPr>
            <w:r>
              <w:rPr>
                <w:rFonts w:ascii="Arial" w:cs="Arial" w:eastAsia="Arial" w:hAnsi="Arial"/>
                <w:sz w:val="15"/>
                <w:szCs w:val="15"/>
                <w:color w:val="auto"/>
              </w:rPr>
              <w:t>​​10,634</w:t>
            </w:r>
          </w:p>
        </w:tc>
        <w:tc>
          <w:tcPr>
            <w:tcW w:w="280" w:type="dxa"/>
            <w:vAlign w:val="bottom"/>
          </w:tcPr>
          <w:p>
            <w:pPr>
              <w:spacing w:after="0"/>
              <w:rPr>
                <w:sz w:val="20"/>
                <w:szCs w:val="20"/>
                <w:color w:val="auto"/>
              </w:rPr>
            </w:pPr>
            <w:r>
              <w:rPr>
                <w:rFonts w:ascii="Arial" w:cs="Arial" w:eastAsia="Arial" w:hAnsi="Arial"/>
                <w:sz w:val="15"/>
                <w:szCs w:val="15"/>
                <w:color w:val="auto"/>
              </w:rPr>
              <w:t>​​ ​</w:t>
            </w:r>
          </w:p>
        </w:tc>
        <w:tc>
          <w:tcPr>
            <w:tcW w:w="160" w:type="dxa"/>
            <w:vAlign w:val="bottom"/>
          </w:tcPr>
          <w:p>
            <w:pPr>
              <w:ind w:left="6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2"/>
              <w:spacing w:after="0"/>
              <w:rPr>
                <w:sz w:val="20"/>
                <w:szCs w:val="20"/>
                <w:color w:val="auto"/>
              </w:rPr>
            </w:pPr>
            <w:r>
              <w:rPr>
                <w:rFonts w:ascii="Arial" w:cs="Arial" w:eastAsia="Arial" w:hAnsi="Arial"/>
                <w:sz w:val="15"/>
                <w:szCs w:val="15"/>
                <w:color w:val="auto"/>
              </w:rPr>
              <w:t>7,000</w:t>
            </w:r>
          </w:p>
        </w:tc>
        <w:tc>
          <w:tcPr>
            <w:tcW w:w="160" w:type="dxa"/>
            <w:vAlign w:val="bottom"/>
            <w:gridSpan w:val="2"/>
          </w:tcPr>
          <w:p>
            <w:pPr>
              <w:ind w:left="20"/>
              <w:spacing w:after="0"/>
              <w:rPr>
                <w:sz w:val="20"/>
                <w:szCs w:val="20"/>
                <w:color w:val="auto"/>
              </w:rPr>
            </w:pPr>
            <w:r>
              <w:rPr>
                <w:rFonts w:ascii="Arial" w:cs="Arial" w:eastAsia="Arial" w:hAnsi="Arial"/>
                <w:sz w:val="15"/>
                <w:szCs w:val="15"/>
                <w:color w:val="auto"/>
              </w:rPr>
              <w:t>​​</w:t>
            </w:r>
          </w:p>
        </w:tc>
      </w:tr>
      <w:tr>
        <w:trPr>
          <w:trHeight w:val="139"/>
        </w:trPr>
        <w:tc>
          <w:tcPr>
            <w:tcW w:w="2280" w:type="dxa"/>
            <w:vAlign w:val="bottom"/>
            <w:tcBorders>
              <w:top w:val="single" w:sz="8" w:color="E7417A"/>
            </w:tcBorders>
          </w:tcPr>
          <w:p>
            <w:pPr>
              <w:ind w:left="40"/>
              <w:spacing w:after="0" w:line="139" w:lineRule="exact"/>
              <w:rPr>
                <w:sz w:val="20"/>
                <w:szCs w:val="20"/>
                <w:color w:val="auto"/>
              </w:rPr>
            </w:pPr>
            <w:r>
              <w:rPr>
                <w:rFonts w:ascii="Arial" w:cs="Arial" w:eastAsia="Arial" w:hAnsi="Arial"/>
                <w:sz w:val="15"/>
                <w:szCs w:val="15"/>
                <w:color w:val="auto"/>
              </w:rPr>
              <w:t>Life, disability and excess</w:t>
            </w:r>
          </w:p>
        </w:tc>
        <w:tc>
          <w:tcPr>
            <w:tcW w:w="200" w:type="dxa"/>
            <w:vAlign w:val="bottom"/>
            <w:tcBorders>
              <w:top w:val="single" w:sz="8" w:color="E7417A"/>
            </w:tcBorders>
          </w:tcPr>
          <w:p>
            <w:pPr>
              <w:spacing w:after="0"/>
              <w:rPr>
                <w:sz w:val="12"/>
                <w:szCs w:val="12"/>
                <w:color w:val="auto"/>
              </w:rPr>
            </w:pPr>
          </w:p>
        </w:tc>
        <w:tc>
          <w:tcPr>
            <w:tcW w:w="320" w:type="dxa"/>
            <w:vAlign w:val="bottom"/>
            <w:tcBorders>
              <w:top w:val="single" w:sz="8" w:color="E7417A"/>
            </w:tcBorders>
          </w:tcPr>
          <w:p>
            <w:pPr>
              <w:spacing w:after="0"/>
              <w:rPr>
                <w:sz w:val="12"/>
                <w:szCs w:val="12"/>
                <w:color w:val="auto"/>
              </w:rPr>
            </w:pPr>
          </w:p>
        </w:tc>
        <w:tc>
          <w:tcPr>
            <w:tcW w:w="620" w:type="dxa"/>
            <w:vAlign w:val="bottom"/>
            <w:tcBorders>
              <w:top w:val="single" w:sz="8" w:color="E7417A"/>
            </w:tcBorders>
          </w:tcPr>
          <w:p>
            <w:pPr>
              <w:spacing w:after="0"/>
              <w:rPr>
                <w:sz w:val="12"/>
                <w:szCs w:val="12"/>
                <w:color w:val="auto"/>
              </w:rPr>
            </w:pPr>
          </w:p>
        </w:tc>
        <w:tc>
          <w:tcPr>
            <w:tcW w:w="220" w:type="dxa"/>
            <w:vAlign w:val="bottom"/>
            <w:tcBorders>
              <w:top w:val="single" w:sz="8" w:color="E7417A"/>
            </w:tcBorders>
          </w:tcPr>
          <w:p>
            <w:pPr>
              <w:spacing w:after="0"/>
              <w:rPr>
                <w:sz w:val="12"/>
                <w:szCs w:val="12"/>
                <w:color w:val="auto"/>
              </w:rPr>
            </w:pPr>
          </w:p>
        </w:tc>
        <w:tc>
          <w:tcPr>
            <w:tcW w:w="220" w:type="dxa"/>
            <w:vAlign w:val="bottom"/>
            <w:tcBorders>
              <w:top w:val="single" w:sz="8" w:color="E7417A"/>
            </w:tcBorders>
          </w:tcPr>
          <w:p>
            <w:pPr>
              <w:spacing w:after="0"/>
              <w:rPr>
                <w:sz w:val="12"/>
                <w:szCs w:val="12"/>
                <w:color w:val="auto"/>
              </w:rPr>
            </w:pPr>
          </w:p>
        </w:tc>
        <w:tc>
          <w:tcPr>
            <w:tcW w:w="640" w:type="dxa"/>
            <w:vAlign w:val="bottom"/>
            <w:tcBorders>
              <w:top w:val="single" w:sz="8" w:color="E7417A"/>
            </w:tcBorders>
          </w:tcPr>
          <w:p>
            <w:pPr>
              <w:spacing w:after="0"/>
              <w:rPr>
                <w:sz w:val="12"/>
                <w:szCs w:val="12"/>
                <w:color w:val="auto"/>
              </w:rPr>
            </w:pPr>
          </w:p>
        </w:tc>
        <w:tc>
          <w:tcPr>
            <w:tcW w:w="280" w:type="dxa"/>
            <w:vAlign w:val="bottom"/>
            <w:tcBorders>
              <w:top w:val="single" w:sz="8" w:color="E7417A"/>
            </w:tcBorders>
          </w:tcPr>
          <w:p>
            <w:pPr>
              <w:spacing w:after="0"/>
              <w:rPr>
                <w:sz w:val="12"/>
                <w:szCs w:val="12"/>
                <w:color w:val="auto"/>
              </w:rPr>
            </w:pPr>
          </w:p>
        </w:tc>
        <w:tc>
          <w:tcPr>
            <w:tcW w:w="640" w:type="dxa"/>
            <w:vAlign w:val="bottom"/>
            <w:tcBorders>
              <w:top w:val="single" w:sz="8" w:color="E7417A"/>
            </w:tcBorders>
          </w:tcPr>
          <w:p>
            <w:pPr>
              <w:spacing w:after="0"/>
              <w:rPr>
                <w:sz w:val="12"/>
                <w:szCs w:val="12"/>
                <w:color w:val="auto"/>
              </w:rPr>
            </w:pPr>
          </w:p>
        </w:tc>
        <w:tc>
          <w:tcPr>
            <w:tcW w:w="180" w:type="dxa"/>
            <w:vAlign w:val="bottom"/>
            <w:tcBorders>
              <w:top w:val="single" w:sz="8" w:color="E7417A"/>
            </w:tcBorders>
          </w:tcPr>
          <w:p>
            <w:pPr>
              <w:spacing w:after="0"/>
              <w:rPr>
                <w:sz w:val="12"/>
                <w:szCs w:val="12"/>
                <w:color w:val="auto"/>
              </w:rPr>
            </w:pPr>
          </w:p>
        </w:tc>
        <w:tc>
          <w:tcPr>
            <w:tcW w:w="480" w:type="dxa"/>
            <w:vAlign w:val="bottom"/>
            <w:tcBorders>
              <w:top w:val="single" w:sz="8" w:color="E7417A"/>
            </w:tcBorders>
          </w:tcPr>
          <w:p>
            <w:pPr>
              <w:spacing w:after="0"/>
              <w:rPr>
                <w:sz w:val="12"/>
                <w:szCs w:val="12"/>
                <w:color w:val="auto"/>
              </w:rPr>
            </w:pPr>
          </w:p>
        </w:tc>
        <w:tc>
          <w:tcPr>
            <w:tcW w:w="200" w:type="dxa"/>
            <w:vAlign w:val="bottom"/>
            <w:tcBorders>
              <w:top w:val="single" w:sz="8" w:color="E7417A"/>
            </w:tcBorders>
          </w:tcPr>
          <w:p>
            <w:pPr>
              <w:spacing w:after="0"/>
              <w:rPr>
                <w:sz w:val="12"/>
                <w:szCs w:val="12"/>
                <w:color w:val="auto"/>
              </w:rPr>
            </w:pPr>
          </w:p>
        </w:tc>
        <w:tc>
          <w:tcPr>
            <w:tcW w:w="300" w:type="dxa"/>
            <w:vAlign w:val="bottom"/>
            <w:tcBorders>
              <w:top w:val="single" w:sz="8" w:color="E7417A"/>
            </w:tcBorders>
          </w:tcPr>
          <w:p>
            <w:pPr>
              <w:spacing w:after="0"/>
              <w:rPr>
                <w:sz w:val="12"/>
                <w:szCs w:val="12"/>
                <w:color w:val="auto"/>
              </w:rPr>
            </w:pPr>
          </w:p>
        </w:tc>
        <w:tc>
          <w:tcPr>
            <w:tcW w:w="580" w:type="dxa"/>
            <w:vAlign w:val="bottom"/>
            <w:tcBorders>
              <w:top w:val="single" w:sz="8" w:color="E7417A"/>
            </w:tcBorders>
          </w:tcPr>
          <w:p>
            <w:pPr>
              <w:spacing w:after="0"/>
              <w:rPr>
                <w:sz w:val="12"/>
                <w:szCs w:val="12"/>
                <w:color w:val="auto"/>
              </w:rPr>
            </w:pPr>
          </w:p>
        </w:tc>
        <w:tc>
          <w:tcPr>
            <w:tcW w:w="280" w:type="dxa"/>
            <w:vAlign w:val="bottom"/>
            <w:tcBorders>
              <w:top w:val="single" w:sz="8" w:color="E7417A"/>
            </w:tcBorders>
          </w:tcPr>
          <w:p>
            <w:pPr>
              <w:spacing w:after="0"/>
              <w:rPr>
                <w:sz w:val="12"/>
                <w:szCs w:val="12"/>
                <w:color w:val="auto"/>
              </w:rPr>
            </w:pPr>
          </w:p>
        </w:tc>
        <w:tc>
          <w:tcPr>
            <w:tcW w:w="160" w:type="dxa"/>
            <w:vAlign w:val="bottom"/>
            <w:tcBorders>
              <w:top w:val="single" w:sz="8" w:color="E7417A"/>
            </w:tcBorders>
          </w:tcPr>
          <w:p>
            <w:pPr>
              <w:spacing w:after="0"/>
              <w:rPr>
                <w:sz w:val="12"/>
                <w:szCs w:val="12"/>
                <w:color w:val="auto"/>
              </w:rPr>
            </w:pPr>
          </w:p>
        </w:tc>
        <w:tc>
          <w:tcPr>
            <w:tcW w:w="640" w:type="dxa"/>
            <w:vAlign w:val="bottom"/>
            <w:tcBorders>
              <w:top w:val="single" w:sz="8" w:color="E7417A"/>
            </w:tcBorders>
          </w:tcPr>
          <w:p>
            <w:pPr>
              <w:spacing w:after="0"/>
              <w:rPr>
                <w:sz w:val="12"/>
                <w:szCs w:val="12"/>
                <w:color w:val="auto"/>
              </w:rPr>
            </w:pPr>
          </w:p>
        </w:tc>
        <w:tc>
          <w:tcPr>
            <w:tcW w:w="140" w:type="dxa"/>
            <w:vAlign w:val="bottom"/>
            <w:tcBorders>
              <w:top w:val="single" w:sz="8" w:color="E7417A"/>
            </w:tcBorders>
          </w:tcPr>
          <w:p>
            <w:pPr>
              <w:spacing w:after="0"/>
              <w:rPr>
                <w:sz w:val="12"/>
                <w:szCs w:val="12"/>
                <w:color w:val="auto"/>
              </w:rPr>
            </w:pPr>
          </w:p>
        </w:tc>
        <w:tc>
          <w:tcPr>
            <w:tcW w:w="20" w:type="dxa"/>
            <w:vAlign w:val="bottom"/>
          </w:tcPr>
          <w:p>
            <w:pPr>
              <w:spacing w:after="0"/>
              <w:rPr>
                <w:sz w:val="12"/>
                <w:szCs w:val="12"/>
                <w:color w:val="auto"/>
              </w:rPr>
            </w:pPr>
          </w:p>
        </w:tc>
      </w:tr>
      <w:tr>
        <w:trPr>
          <w:trHeight w:val="219"/>
        </w:trPr>
        <w:tc>
          <w:tcPr>
            <w:tcW w:w="2280" w:type="dxa"/>
            <w:vAlign w:val="bottom"/>
          </w:tcPr>
          <w:p>
            <w:pPr>
              <w:spacing w:after="0"/>
              <w:rPr>
                <w:sz w:val="20"/>
                <w:szCs w:val="20"/>
                <w:color w:val="auto"/>
              </w:rPr>
            </w:pPr>
            <w:r>
              <w:rPr>
                <w:rFonts w:ascii="Arial" w:cs="Arial" w:eastAsia="Arial" w:hAnsi="Arial"/>
                <w:sz w:val="15"/>
                <w:szCs w:val="15"/>
                <w:color w:val="auto"/>
              </w:rPr>
              <w:t>​liability insurance</w:t>
            </w:r>
            <w:r>
              <w:rPr>
                <w:rFonts w:ascii="Arial" w:cs="Arial" w:eastAsia="Arial" w:hAnsi="Arial"/>
                <w:sz w:val="19"/>
                <w:szCs w:val="19"/>
                <w:color w:val="auto"/>
                <w:vertAlign w:val="superscript"/>
              </w:rPr>
              <w:t>(a)</w:t>
            </w:r>
          </w:p>
        </w:tc>
        <w:tc>
          <w:tcPr>
            <w:tcW w:w="200" w:type="dxa"/>
            <w:vAlign w:val="bottom"/>
          </w:tcPr>
          <w:p>
            <w:pPr>
              <w:ind w:left="40"/>
              <w:spacing w:after="0"/>
              <w:rPr>
                <w:sz w:val="20"/>
                <w:szCs w:val="20"/>
                <w:color w:val="auto"/>
              </w:rPr>
            </w:pPr>
            <w:r>
              <w:rPr>
                <w:rFonts w:ascii="Arial" w:cs="Arial" w:eastAsia="Arial" w:hAnsi="Arial"/>
                <w:sz w:val="15"/>
                <w:szCs w:val="15"/>
                <w:color w:val="auto"/>
              </w:rPr>
              <w:t>​ ​</w:t>
            </w:r>
          </w:p>
        </w:tc>
        <w:tc>
          <w:tcPr>
            <w:tcW w:w="320" w:type="dxa"/>
            <w:vAlign w:val="bottom"/>
          </w:tcPr>
          <w:p>
            <w:pPr>
              <w:ind w:left="20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103"/>
              <w:spacing w:after="0"/>
              <w:rPr>
                <w:sz w:val="20"/>
                <w:szCs w:val="20"/>
                <w:color w:val="auto"/>
              </w:rPr>
            </w:pPr>
            <w:r>
              <w:rPr>
                <w:rFonts w:ascii="Arial" w:cs="Arial" w:eastAsia="Arial" w:hAnsi="Arial"/>
                <w:sz w:val="15"/>
                <w:szCs w:val="15"/>
                <w:color w:val="auto"/>
              </w:rPr>
              <w:t>1,128</w:t>
            </w:r>
          </w:p>
        </w:tc>
        <w:tc>
          <w:tcPr>
            <w:tcW w:w="220" w:type="dxa"/>
            <w:vAlign w:val="bottom"/>
          </w:tcPr>
          <w:p>
            <w:pPr>
              <w:ind w:left="20"/>
              <w:spacing w:after="0"/>
              <w:rPr>
                <w:sz w:val="20"/>
                <w:szCs w:val="20"/>
                <w:color w:val="auto"/>
              </w:rPr>
            </w:pPr>
            <w:r>
              <w:rPr>
                <w:rFonts w:ascii="Arial" w:cs="Arial" w:eastAsia="Arial" w:hAnsi="Arial"/>
                <w:sz w:val="15"/>
                <w:szCs w:val="15"/>
                <w:color w:val="auto"/>
              </w:rPr>
              <w:t>​​ ​</w:t>
            </w:r>
          </w:p>
        </w:tc>
        <w:tc>
          <w:tcPr>
            <w:tcW w:w="220" w:type="dxa"/>
            <w:vAlign w:val="bottom"/>
          </w:tcPr>
          <w:p>
            <w:pPr>
              <w:ind w:left="16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62"/>
              <w:spacing w:after="0"/>
              <w:rPr>
                <w:sz w:val="20"/>
                <w:szCs w:val="20"/>
                <w:color w:val="auto"/>
              </w:rPr>
            </w:pPr>
            <w:r>
              <w:rPr>
                <w:rFonts w:ascii="Arial" w:cs="Arial" w:eastAsia="Arial" w:hAnsi="Arial"/>
                <w:sz w:val="15"/>
                <w:szCs w:val="15"/>
                <w:color w:val="auto"/>
              </w:rPr>
              <w:t>1,128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 ​ ​ 3,436​ ​</w:t>
            </w:r>
          </w:p>
        </w:tc>
        <w:tc>
          <w:tcPr>
            <w:tcW w:w="18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1,128</w:t>
            </w:r>
          </w:p>
        </w:tc>
        <w:tc>
          <w:tcPr>
            <w:tcW w:w="200" w:type="dxa"/>
            <w:vAlign w:val="bottom"/>
          </w:tcPr>
          <w:p>
            <w:pPr>
              <w:jc w:val="right"/>
              <w:spacing w:after="0"/>
              <w:rPr>
                <w:sz w:val="20"/>
                <w:szCs w:val="20"/>
                <w:color w:val="auto"/>
              </w:rPr>
            </w:pPr>
            <w:r>
              <w:rPr>
                <w:rFonts w:ascii="Arial" w:cs="Arial" w:eastAsia="Arial" w:hAnsi="Arial"/>
                <w:sz w:val="15"/>
                <w:szCs w:val="15"/>
                <w:color w:val="auto"/>
              </w:rPr>
              <w:t>​​ ​</w:t>
            </w:r>
          </w:p>
        </w:tc>
        <w:tc>
          <w:tcPr>
            <w:tcW w:w="300" w:type="dxa"/>
            <w:vAlign w:val="bottom"/>
          </w:tcPr>
          <w:p>
            <w:pPr>
              <w:ind w:left="160"/>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83"/>
              <w:spacing w:after="0"/>
              <w:rPr>
                <w:sz w:val="20"/>
                <w:szCs w:val="20"/>
                <w:color w:val="auto"/>
              </w:rPr>
            </w:pPr>
            <w:r>
              <w:rPr>
                <w:rFonts w:ascii="Arial" w:cs="Arial" w:eastAsia="Arial" w:hAnsi="Arial"/>
                <w:sz w:val="15"/>
                <w:szCs w:val="15"/>
                <w:color w:val="auto"/>
              </w:rPr>
              <w:t>900</w:t>
            </w:r>
          </w:p>
        </w:tc>
        <w:tc>
          <w:tcPr>
            <w:tcW w:w="280" w:type="dxa"/>
            <w:vAlign w:val="bottom"/>
          </w:tcPr>
          <w:p>
            <w:pPr>
              <w:spacing w:after="0"/>
              <w:rPr>
                <w:sz w:val="20"/>
                <w:szCs w:val="20"/>
                <w:color w:val="auto"/>
              </w:rPr>
            </w:pPr>
            <w:r>
              <w:rPr>
                <w:rFonts w:ascii="Arial" w:cs="Arial" w:eastAsia="Arial" w:hAnsi="Arial"/>
                <w:sz w:val="15"/>
                <w:szCs w:val="15"/>
                <w:color w:val="auto"/>
              </w:rPr>
              <w:t>​​ ​</w:t>
            </w:r>
          </w:p>
        </w:tc>
        <w:tc>
          <w:tcPr>
            <w:tcW w:w="160" w:type="dxa"/>
            <w:vAlign w:val="bottom"/>
          </w:tcPr>
          <w:p>
            <w:pPr>
              <w:ind w:left="60"/>
              <w:spacing w:after="0"/>
              <w:rPr>
                <w:sz w:val="20"/>
                <w:szCs w:val="20"/>
                <w:color w:val="auto"/>
              </w:rPr>
            </w:pPr>
            <w:r>
              <w:rPr>
                <w:rFonts w:ascii="Arial" w:cs="Arial" w:eastAsia="Arial" w:hAnsi="Arial"/>
                <w:sz w:val="15"/>
                <w:szCs w:val="15"/>
                <w:color w:val="auto"/>
              </w:rPr>
              <w:t>​​</w:t>
            </w:r>
          </w:p>
        </w:tc>
        <w:tc>
          <w:tcPr>
            <w:tcW w:w="640" w:type="dxa"/>
            <w:vAlign w:val="bottom"/>
          </w:tcPr>
          <w:p>
            <w:pPr>
              <w:jc w:val="right"/>
              <w:ind w:right="22"/>
              <w:spacing w:after="0"/>
              <w:rPr>
                <w:sz w:val="20"/>
                <w:szCs w:val="20"/>
                <w:color w:val="auto"/>
              </w:rPr>
            </w:pPr>
            <w:r>
              <w:rPr>
                <w:rFonts w:ascii="Arial" w:cs="Arial" w:eastAsia="Arial" w:hAnsi="Arial"/>
                <w:sz w:val="15"/>
                <w:szCs w:val="15"/>
                <w:color w:val="auto"/>
              </w:rPr>
              <w:t>846</w:t>
            </w:r>
          </w:p>
        </w:tc>
        <w:tc>
          <w:tcPr>
            <w:tcW w:w="160" w:type="dxa"/>
            <w:vAlign w:val="bottom"/>
            <w:gridSpan w:val="2"/>
          </w:tcPr>
          <w:p>
            <w:pPr>
              <w:ind w:left="20"/>
              <w:spacing w:after="0"/>
              <w:rPr>
                <w:sz w:val="20"/>
                <w:szCs w:val="20"/>
                <w:color w:val="auto"/>
              </w:rPr>
            </w:pPr>
            <w:r>
              <w:rPr>
                <w:rFonts w:ascii="Arial" w:cs="Arial" w:eastAsia="Arial" w:hAnsi="Arial"/>
                <w:sz w:val="15"/>
                <w:szCs w:val="15"/>
                <w:color w:val="auto"/>
              </w:rPr>
              <w:t>​​</w:t>
            </w:r>
          </w:p>
        </w:tc>
      </w:tr>
      <w:tr>
        <w:trPr>
          <w:trHeight w:val="155"/>
        </w:trPr>
        <w:tc>
          <w:tcPr>
            <w:tcW w:w="2280" w:type="dxa"/>
            <w:vAlign w:val="bottom"/>
            <w:tcBorders>
              <w:top w:val="single" w:sz="8" w:color="E7417A"/>
              <w:bottom w:val="single" w:sz="8" w:color="E7417A"/>
            </w:tcBorders>
          </w:tcPr>
          <w:p>
            <w:pPr>
              <w:spacing w:after="0" w:line="156" w:lineRule="exact"/>
              <w:rPr>
                <w:sz w:val="20"/>
                <w:szCs w:val="20"/>
                <w:color w:val="auto"/>
              </w:rPr>
            </w:pPr>
            <w:r>
              <w:rPr>
                <w:rFonts w:ascii="Arial" w:cs="Arial" w:eastAsia="Arial" w:hAnsi="Arial"/>
                <w:sz w:val="15"/>
                <w:szCs w:val="15"/>
                <w:color w:val="auto"/>
              </w:rPr>
              <w:t>​Travel medical coverage</w:t>
            </w:r>
            <w:r>
              <w:rPr>
                <w:rFonts w:ascii="Arial" w:cs="Arial" w:eastAsia="Arial" w:hAnsi="Arial"/>
                <w:sz w:val="18"/>
                <w:szCs w:val="18"/>
                <w:color w:val="auto"/>
                <w:vertAlign w:val="superscript"/>
              </w:rPr>
              <w:t>(a)</w:t>
            </w:r>
          </w:p>
        </w:tc>
        <w:tc>
          <w:tcPr>
            <w:tcW w:w="200" w:type="dxa"/>
            <w:vAlign w:val="bottom"/>
            <w:tcBorders>
              <w:top w:val="single" w:sz="8" w:color="E7417A"/>
              <w:bottom w:val="single" w:sz="8" w:color="E7417A"/>
            </w:tcBorders>
          </w:tcPr>
          <w:p>
            <w:pPr>
              <w:ind w:left="40"/>
              <w:spacing w:after="0" w:line="156" w:lineRule="exact"/>
              <w:rPr>
                <w:sz w:val="20"/>
                <w:szCs w:val="20"/>
                <w:color w:val="auto"/>
              </w:rPr>
            </w:pPr>
            <w:r>
              <w:rPr>
                <w:rFonts w:ascii="Arial" w:cs="Arial" w:eastAsia="Arial" w:hAnsi="Arial"/>
                <w:sz w:val="15"/>
                <w:szCs w:val="15"/>
                <w:color w:val="auto"/>
              </w:rPr>
              <w:t>​ ​</w:t>
            </w:r>
          </w:p>
        </w:tc>
        <w:tc>
          <w:tcPr>
            <w:tcW w:w="320" w:type="dxa"/>
            <w:vAlign w:val="bottom"/>
            <w:tcBorders>
              <w:top w:val="single" w:sz="8" w:color="E7417A"/>
              <w:bottom w:val="single" w:sz="8" w:color="E7417A"/>
            </w:tcBorders>
          </w:tcPr>
          <w:p>
            <w:pPr>
              <w:ind w:left="200"/>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E7417A"/>
              <w:bottom w:val="single" w:sz="8" w:color="E7417A"/>
            </w:tcBorders>
          </w:tcPr>
          <w:p>
            <w:pPr>
              <w:jc w:val="right"/>
              <w:ind w:right="103"/>
              <w:spacing w:after="0" w:line="156" w:lineRule="exact"/>
              <w:rPr>
                <w:sz w:val="20"/>
                <w:szCs w:val="20"/>
                <w:color w:val="auto"/>
              </w:rPr>
            </w:pPr>
            <w:r>
              <w:rPr>
                <w:rFonts w:ascii="Arial" w:cs="Arial" w:eastAsia="Arial" w:hAnsi="Arial"/>
                <w:sz w:val="15"/>
                <w:szCs w:val="15"/>
                <w:color w:val="auto"/>
              </w:rPr>
              <w:t>2</w:t>
            </w:r>
          </w:p>
        </w:tc>
        <w:tc>
          <w:tcPr>
            <w:tcW w:w="220" w:type="dxa"/>
            <w:vAlign w:val="bottom"/>
            <w:tcBorders>
              <w:top w:val="single" w:sz="8" w:color="E7417A"/>
              <w:bottom w:val="single" w:sz="8" w:color="E7417A"/>
            </w:tcBorders>
          </w:tcPr>
          <w:p>
            <w:pPr>
              <w:ind w:left="20"/>
              <w:spacing w:after="0" w:line="156" w:lineRule="exact"/>
              <w:rPr>
                <w:sz w:val="20"/>
                <w:szCs w:val="20"/>
                <w:color w:val="auto"/>
              </w:rPr>
            </w:pPr>
            <w:r>
              <w:rPr>
                <w:rFonts w:ascii="Arial" w:cs="Arial" w:eastAsia="Arial" w:hAnsi="Arial"/>
                <w:sz w:val="15"/>
                <w:szCs w:val="15"/>
                <w:color w:val="auto"/>
              </w:rPr>
              <w:t>​​ ​</w:t>
            </w:r>
          </w:p>
        </w:tc>
        <w:tc>
          <w:tcPr>
            <w:tcW w:w="220" w:type="dxa"/>
            <w:vAlign w:val="bottom"/>
            <w:tcBorders>
              <w:top w:val="single" w:sz="8" w:color="E7417A"/>
              <w:bottom w:val="single" w:sz="8" w:color="E7417A"/>
            </w:tcBorders>
          </w:tcPr>
          <w:p>
            <w:pPr>
              <w:ind w:left="160"/>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E7417A"/>
              <w:bottom w:val="single" w:sz="8" w:color="E7417A"/>
            </w:tcBorders>
          </w:tcPr>
          <w:p>
            <w:pPr>
              <w:jc w:val="right"/>
              <w:ind w:right="62"/>
              <w:spacing w:after="0" w:line="156" w:lineRule="exact"/>
              <w:rPr>
                <w:sz w:val="20"/>
                <w:szCs w:val="20"/>
                <w:color w:val="auto"/>
              </w:rPr>
            </w:pPr>
            <w:r>
              <w:rPr>
                <w:rFonts w:ascii="Arial" w:cs="Arial" w:eastAsia="Arial" w:hAnsi="Arial"/>
                <w:sz w:val="15"/>
                <w:szCs w:val="15"/>
                <w:color w:val="auto"/>
              </w:rPr>
              <w:t>2</w:t>
            </w:r>
          </w:p>
        </w:tc>
        <w:tc>
          <w:tcPr>
            <w:tcW w:w="280" w:type="dxa"/>
            <w:vAlign w:val="bottom"/>
            <w:tcBorders>
              <w:top w:val="single" w:sz="8" w:color="E7417A"/>
              <w:bottom w:val="single" w:sz="8" w:color="E7417A"/>
            </w:tcBorders>
          </w:tcPr>
          <w:p>
            <w:pPr>
              <w:jc w:val="center"/>
              <w:spacing w:after="0" w:line="156" w:lineRule="exact"/>
              <w:rPr>
                <w:sz w:val="20"/>
                <w:szCs w:val="20"/>
                <w:color w:val="auto"/>
              </w:rPr>
            </w:pPr>
            <w:r>
              <w:rPr>
                <w:rFonts w:ascii="Arial" w:cs="Arial" w:eastAsia="Arial" w:hAnsi="Arial"/>
                <w:sz w:val="15"/>
                <w:szCs w:val="15"/>
                <w:color w:val="auto"/>
              </w:rPr>
              <w:t>​​ ​ ​</w:t>
            </w:r>
          </w:p>
        </w:tc>
        <w:tc>
          <w:tcPr>
            <w:tcW w:w="640" w:type="dxa"/>
            <w:vAlign w:val="bottom"/>
            <w:tcBorders>
              <w:top w:val="single" w:sz="8" w:color="E7417A"/>
              <w:bottom w:val="single" w:sz="8" w:color="E7417A"/>
            </w:tcBorders>
          </w:tcPr>
          <w:p>
            <w:pPr>
              <w:jc w:val="right"/>
              <w:spacing w:after="0" w:line="156" w:lineRule="exact"/>
              <w:rPr>
                <w:sz w:val="20"/>
                <w:szCs w:val="20"/>
                <w:color w:val="auto"/>
              </w:rPr>
            </w:pPr>
            <w:r>
              <w:rPr>
                <w:rFonts w:ascii="Arial" w:cs="Arial" w:eastAsia="Arial" w:hAnsi="Arial"/>
                <w:sz w:val="15"/>
                <w:szCs w:val="15"/>
                <w:color w:val="auto"/>
              </w:rPr>
              <w:t>2​ ​</w:t>
            </w:r>
          </w:p>
        </w:tc>
        <w:tc>
          <w:tcPr>
            <w:tcW w:w="180" w:type="dxa"/>
            <w:vAlign w:val="bottom"/>
            <w:tcBorders>
              <w:top w:val="single" w:sz="8" w:color="E7417A"/>
              <w:bottom w:val="single" w:sz="8" w:color="E7417A"/>
            </w:tcBorders>
          </w:tcPr>
          <w:p>
            <w:pPr>
              <w:ind w:left="60"/>
              <w:spacing w:after="0" w:line="156" w:lineRule="exact"/>
              <w:rPr>
                <w:sz w:val="20"/>
                <w:szCs w:val="20"/>
                <w:color w:val="auto"/>
              </w:rPr>
            </w:pPr>
            <w:r>
              <w:rPr>
                <w:rFonts w:ascii="Arial" w:cs="Arial" w:eastAsia="Arial" w:hAnsi="Arial"/>
                <w:sz w:val="15"/>
                <w:szCs w:val="15"/>
                <w:b w:val="1"/>
                <w:bCs w:val="1"/>
                <w:color w:val="auto"/>
              </w:rPr>
              <w:t>​</w:t>
            </w:r>
          </w:p>
        </w:tc>
        <w:tc>
          <w:tcPr>
            <w:tcW w:w="480" w:type="dxa"/>
            <w:vAlign w:val="bottom"/>
            <w:tcBorders>
              <w:top w:val="single" w:sz="8" w:color="E7417A"/>
              <w:bottom w:val="single" w:sz="8" w:color="E7417A"/>
            </w:tcBorders>
          </w:tcPr>
          <w:p>
            <w:pPr>
              <w:jc w:val="right"/>
              <w:spacing w:after="0" w:line="156" w:lineRule="exact"/>
              <w:rPr>
                <w:sz w:val="20"/>
                <w:szCs w:val="20"/>
                <w:color w:val="auto"/>
              </w:rPr>
            </w:pPr>
            <w:r>
              <w:rPr>
                <w:rFonts w:ascii="Arial" w:cs="Arial" w:eastAsia="Arial" w:hAnsi="Arial"/>
                <w:sz w:val="15"/>
                <w:szCs w:val="15"/>
                <w:color w:val="auto"/>
              </w:rPr>
              <w:t>2</w:t>
            </w:r>
          </w:p>
        </w:tc>
        <w:tc>
          <w:tcPr>
            <w:tcW w:w="200" w:type="dxa"/>
            <w:vAlign w:val="bottom"/>
            <w:tcBorders>
              <w:top w:val="single" w:sz="8" w:color="E7417A"/>
              <w:bottom w:val="single" w:sz="8" w:color="E7417A"/>
            </w:tcBorders>
          </w:tcPr>
          <w:p>
            <w:pPr>
              <w:jc w:val="right"/>
              <w:spacing w:after="0" w:line="156" w:lineRule="exact"/>
              <w:rPr>
                <w:sz w:val="20"/>
                <w:szCs w:val="20"/>
                <w:color w:val="auto"/>
              </w:rPr>
            </w:pPr>
            <w:r>
              <w:rPr>
                <w:rFonts w:ascii="Arial" w:cs="Arial" w:eastAsia="Arial" w:hAnsi="Arial"/>
                <w:sz w:val="15"/>
                <w:szCs w:val="15"/>
                <w:color w:val="auto"/>
              </w:rPr>
              <w:t>​​ ​</w:t>
            </w:r>
          </w:p>
        </w:tc>
        <w:tc>
          <w:tcPr>
            <w:tcW w:w="300" w:type="dxa"/>
            <w:vAlign w:val="bottom"/>
            <w:tcBorders>
              <w:top w:val="single" w:sz="8" w:color="E7417A"/>
              <w:bottom w:val="single" w:sz="8" w:color="E7417A"/>
            </w:tcBorders>
          </w:tcPr>
          <w:p>
            <w:pPr>
              <w:ind w:left="160"/>
              <w:spacing w:after="0" w:line="156"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E7417A"/>
              <w:bottom w:val="single" w:sz="8" w:color="E7417A"/>
            </w:tcBorders>
          </w:tcPr>
          <w:p>
            <w:pPr>
              <w:jc w:val="right"/>
              <w:ind w:right="83"/>
              <w:spacing w:after="0" w:line="156" w:lineRule="exact"/>
              <w:rPr>
                <w:sz w:val="20"/>
                <w:szCs w:val="20"/>
                <w:color w:val="auto"/>
              </w:rPr>
            </w:pPr>
            <w:r>
              <w:rPr>
                <w:rFonts w:ascii="Arial" w:cs="Arial" w:eastAsia="Arial" w:hAnsi="Arial"/>
                <w:sz w:val="15"/>
                <w:szCs w:val="15"/>
                <w:color w:val="auto"/>
              </w:rPr>
              <w:t>0</w:t>
            </w:r>
          </w:p>
        </w:tc>
        <w:tc>
          <w:tcPr>
            <w:tcW w:w="280" w:type="dxa"/>
            <w:vAlign w:val="bottom"/>
            <w:tcBorders>
              <w:top w:val="single" w:sz="8" w:color="E7417A"/>
              <w:bottom w:val="single" w:sz="8" w:color="E7417A"/>
            </w:tcBorders>
          </w:tcPr>
          <w:p>
            <w:pPr>
              <w:spacing w:after="0" w:line="156" w:lineRule="exact"/>
              <w:rPr>
                <w:sz w:val="20"/>
                <w:szCs w:val="20"/>
                <w:color w:val="auto"/>
              </w:rPr>
            </w:pPr>
            <w:r>
              <w:rPr>
                <w:rFonts w:ascii="Arial" w:cs="Arial" w:eastAsia="Arial" w:hAnsi="Arial"/>
                <w:sz w:val="15"/>
                <w:szCs w:val="15"/>
                <w:color w:val="auto"/>
              </w:rPr>
              <w:t>​​ ​</w:t>
            </w:r>
          </w:p>
        </w:tc>
        <w:tc>
          <w:tcPr>
            <w:tcW w:w="160" w:type="dxa"/>
            <w:vAlign w:val="bottom"/>
            <w:tcBorders>
              <w:top w:val="single" w:sz="8" w:color="E7417A"/>
              <w:bottom w:val="single" w:sz="8" w:color="E7417A"/>
            </w:tcBorders>
          </w:tcPr>
          <w:p>
            <w:pPr>
              <w:ind w:left="60"/>
              <w:spacing w:after="0" w:line="156" w:lineRule="exact"/>
              <w:rPr>
                <w:sz w:val="20"/>
                <w:szCs w:val="20"/>
                <w:color w:val="auto"/>
              </w:rPr>
            </w:pPr>
            <w:r>
              <w:rPr>
                <w:rFonts w:ascii="Arial" w:cs="Arial" w:eastAsia="Arial" w:hAnsi="Arial"/>
                <w:sz w:val="15"/>
                <w:szCs w:val="15"/>
                <w:color w:val="auto"/>
              </w:rPr>
              <w:t>​​</w:t>
            </w:r>
          </w:p>
        </w:tc>
        <w:tc>
          <w:tcPr>
            <w:tcW w:w="640" w:type="dxa"/>
            <w:vAlign w:val="bottom"/>
            <w:tcBorders>
              <w:top w:val="single" w:sz="8" w:color="E7417A"/>
              <w:bottom w:val="single" w:sz="8" w:color="E7417A"/>
            </w:tcBorders>
          </w:tcPr>
          <w:p>
            <w:pPr>
              <w:jc w:val="right"/>
              <w:ind w:right="22"/>
              <w:spacing w:after="0" w:line="156" w:lineRule="exact"/>
              <w:rPr>
                <w:sz w:val="20"/>
                <w:szCs w:val="20"/>
                <w:color w:val="auto"/>
              </w:rPr>
            </w:pPr>
            <w:r>
              <w:rPr>
                <w:rFonts w:ascii="Arial" w:cs="Arial" w:eastAsia="Arial" w:hAnsi="Arial"/>
                <w:sz w:val="15"/>
                <w:szCs w:val="15"/>
                <w:color w:val="auto"/>
              </w:rPr>
              <w:t>2</w:t>
            </w:r>
          </w:p>
        </w:tc>
        <w:tc>
          <w:tcPr>
            <w:tcW w:w="140" w:type="dxa"/>
            <w:vAlign w:val="bottom"/>
            <w:tcBorders>
              <w:top w:val="single" w:sz="8" w:color="E7417A"/>
              <w:bottom w:val="single" w:sz="8" w:color="E7417A"/>
            </w:tcBorders>
          </w:tcPr>
          <w:p>
            <w:pPr>
              <w:ind w:left="20"/>
              <w:spacing w:after="0" w:line="156"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r>
      <w:tr>
        <w:trPr>
          <w:trHeight w:val="139"/>
        </w:trPr>
        <w:tc>
          <w:tcPr>
            <w:tcW w:w="2280" w:type="dxa"/>
            <w:vAlign w:val="bottom"/>
          </w:tcPr>
          <w:p>
            <w:pPr>
              <w:ind w:left="40"/>
              <w:spacing w:after="0" w:line="139" w:lineRule="exact"/>
              <w:rPr>
                <w:sz w:val="20"/>
                <w:szCs w:val="20"/>
                <w:color w:val="auto"/>
              </w:rPr>
            </w:pPr>
            <w:r>
              <w:rPr>
                <w:rFonts w:ascii="Arial" w:cs="Arial" w:eastAsia="Arial" w:hAnsi="Arial"/>
                <w:sz w:val="15"/>
                <w:szCs w:val="15"/>
                <w:color w:val="auto"/>
              </w:rPr>
              <w:t>Severance and related</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9"/>
        </w:trPr>
        <w:tc>
          <w:tcPr>
            <w:tcW w:w="2280" w:type="dxa"/>
            <w:vAlign w:val="bottom"/>
            <w:tcBorders>
              <w:bottom w:val="single" w:sz="8" w:color="E7417A"/>
            </w:tcBorders>
          </w:tcPr>
          <w:p>
            <w:pPr>
              <w:spacing w:after="0"/>
              <w:rPr>
                <w:sz w:val="20"/>
                <w:szCs w:val="20"/>
                <w:color w:val="auto"/>
              </w:rPr>
            </w:pPr>
            <w:r>
              <w:rPr>
                <w:rFonts w:ascii="Arial" w:cs="Arial" w:eastAsia="Arial" w:hAnsi="Arial"/>
                <w:sz w:val="15"/>
                <w:szCs w:val="15"/>
                <w:color w:val="auto"/>
              </w:rPr>
              <w:t>​payments</w:t>
            </w:r>
            <w:r>
              <w:rPr>
                <w:rFonts w:ascii="Arial" w:cs="Arial" w:eastAsia="Arial" w:hAnsi="Arial"/>
                <w:sz w:val="19"/>
                <w:szCs w:val="19"/>
                <w:color w:val="auto"/>
                <w:vertAlign w:val="superscript"/>
              </w:rPr>
              <w:t>(c)</w:t>
            </w:r>
          </w:p>
        </w:tc>
        <w:tc>
          <w:tcPr>
            <w:tcW w:w="200" w:type="dxa"/>
            <w:vAlign w:val="bottom"/>
            <w:tcBorders>
              <w:bottom w:val="single" w:sz="8" w:color="E7417A"/>
            </w:tcBorders>
          </w:tcPr>
          <w:p>
            <w:pPr>
              <w:ind w:left="40"/>
              <w:spacing w:after="0"/>
              <w:rPr>
                <w:sz w:val="20"/>
                <w:szCs w:val="20"/>
                <w:color w:val="auto"/>
              </w:rPr>
            </w:pPr>
            <w:r>
              <w:rPr>
                <w:rFonts w:ascii="Arial" w:cs="Arial" w:eastAsia="Arial" w:hAnsi="Arial"/>
                <w:sz w:val="15"/>
                <w:szCs w:val="15"/>
                <w:color w:val="auto"/>
              </w:rPr>
              <w:t>​ ​</w:t>
            </w:r>
          </w:p>
        </w:tc>
        <w:tc>
          <w:tcPr>
            <w:tcW w:w="320" w:type="dxa"/>
            <w:vAlign w:val="bottom"/>
            <w:tcBorders>
              <w:bottom w:val="single" w:sz="8" w:color="E7417A"/>
            </w:tcBorders>
          </w:tcPr>
          <w:p>
            <w:pPr>
              <w:ind w:left="200"/>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E7417A"/>
            </w:tcBorders>
          </w:tcPr>
          <w:p>
            <w:pPr>
              <w:jc w:val="right"/>
              <w:ind w:right="10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5"/>
                <w:szCs w:val="15"/>
                <w:color w:val="auto"/>
              </w:rPr>
              <w:t>​​ ​</w:t>
            </w:r>
          </w:p>
        </w:tc>
        <w:tc>
          <w:tcPr>
            <w:tcW w:w="220" w:type="dxa"/>
            <w:vAlign w:val="bottom"/>
            <w:tcBorders>
              <w:bottom w:val="single" w:sz="8" w:color="E7417A"/>
            </w:tcBorders>
          </w:tcPr>
          <w:p>
            <w:pPr>
              <w:ind w:left="160"/>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E7417A"/>
            </w:tcBorders>
          </w:tcPr>
          <w:p>
            <w:pPr>
              <w:jc w:val="right"/>
              <w:ind w:right="62"/>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E7417A"/>
            </w:tcBorders>
          </w:tcPr>
          <w:p>
            <w:pPr>
              <w:jc w:val="center"/>
              <w:spacing w:after="0"/>
              <w:rPr>
                <w:sz w:val="20"/>
                <w:szCs w:val="20"/>
                <w:color w:val="auto"/>
              </w:rPr>
            </w:pPr>
            <w:r>
              <w:rPr>
                <w:rFonts w:ascii="Arial" w:cs="Arial" w:eastAsia="Arial" w:hAnsi="Arial"/>
                <w:sz w:val="15"/>
                <w:szCs w:val="15"/>
                <w:color w:val="auto"/>
              </w:rPr>
              <w:t>​​ ​ ​</w:t>
            </w:r>
          </w:p>
        </w:tc>
        <w:tc>
          <w:tcPr>
            <w:tcW w:w="640" w:type="dxa"/>
            <w:vAlign w:val="bottom"/>
            <w:tcBorders>
              <w:bottom w:val="single" w:sz="8" w:color="E7417A"/>
            </w:tcBorders>
          </w:tcPr>
          <w:p>
            <w:pPr>
              <w:jc w:val="right"/>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E7417A"/>
            </w:tcBorders>
          </w:tcPr>
          <w:p>
            <w:pPr>
              <w:ind w:left="60"/>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E7417A"/>
            </w:tcBorders>
            <w:gridSpan w:val="2"/>
          </w:tcPr>
          <w:p>
            <w:pPr>
              <w:jc w:val="right"/>
              <w:spacing w:after="0"/>
              <w:rPr>
                <w:sz w:val="20"/>
                <w:szCs w:val="20"/>
                <w:color w:val="auto"/>
              </w:rPr>
            </w:pPr>
            <w:r>
              <w:rPr>
                <w:rFonts w:ascii="Arial" w:cs="Arial" w:eastAsia="Arial" w:hAnsi="Arial"/>
                <w:sz w:val="15"/>
                <w:szCs w:val="15"/>
                <w:color w:val="auto"/>
              </w:rPr>
              <w:t>— ​​ ​</w:t>
            </w:r>
          </w:p>
        </w:tc>
        <w:tc>
          <w:tcPr>
            <w:tcW w:w="300" w:type="dxa"/>
            <w:vAlign w:val="bottom"/>
            <w:tcBorders>
              <w:bottom w:val="single" w:sz="8" w:color="E7417A"/>
            </w:tcBorders>
          </w:tcPr>
          <w:p>
            <w:pPr>
              <w:ind w:left="160"/>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E7417A"/>
            </w:tcBorders>
          </w:tcPr>
          <w:p>
            <w:pPr>
              <w:jc w:val="right"/>
              <w:ind w:right="83"/>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E7417A"/>
            </w:tcBorders>
          </w:tcPr>
          <w:p>
            <w:pPr>
              <w:spacing w:after="0"/>
              <w:rPr>
                <w:sz w:val="20"/>
                <w:szCs w:val="20"/>
                <w:color w:val="auto"/>
              </w:rPr>
            </w:pPr>
            <w:r>
              <w:rPr>
                <w:rFonts w:ascii="Arial" w:cs="Arial" w:eastAsia="Arial" w:hAnsi="Arial"/>
                <w:sz w:val="15"/>
                <w:szCs w:val="15"/>
                <w:color w:val="auto"/>
              </w:rPr>
              <w:t>​​ ​</w:t>
            </w:r>
          </w:p>
        </w:tc>
        <w:tc>
          <w:tcPr>
            <w:tcW w:w="800" w:type="dxa"/>
            <w:vAlign w:val="bottom"/>
            <w:tcBorders>
              <w:bottom w:val="single" w:sz="8" w:color="E7417A"/>
            </w:tcBorders>
            <w:gridSpan w:val="2"/>
          </w:tcPr>
          <w:p>
            <w:pPr>
              <w:jc w:val="right"/>
              <w:ind w:right="22"/>
              <w:spacing w:after="0"/>
              <w:rPr>
                <w:sz w:val="20"/>
                <w:szCs w:val="20"/>
                <w:color w:val="auto"/>
              </w:rPr>
            </w:pPr>
            <w:r>
              <w:rPr>
                <w:rFonts w:ascii="Arial" w:cs="Arial" w:eastAsia="Arial" w:hAnsi="Arial"/>
                <w:sz w:val="15"/>
                <w:szCs w:val="15"/>
                <w:color w:val="auto"/>
              </w:rPr>
              <w:t>​​ 132,422</w:t>
            </w:r>
          </w:p>
        </w:tc>
        <w:tc>
          <w:tcPr>
            <w:tcW w:w="140" w:type="dxa"/>
            <w:vAlign w:val="bottom"/>
            <w:tcBorders>
              <w:bottom w:val="single" w:sz="8" w:color="E7417A"/>
            </w:tcBorders>
          </w:tcPr>
          <w:p>
            <w:pPr>
              <w:ind w:left="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r>
      <w:tr>
        <w:trPr>
          <w:trHeight w:val="183"/>
        </w:trPr>
        <w:tc>
          <w:tcPr>
            <w:tcW w:w="2280" w:type="dxa"/>
            <w:vAlign w:val="bottom"/>
            <w:tcBorders>
              <w:bottom w:val="single" w:sz="8" w:color="62259D"/>
            </w:tcBorders>
          </w:tcPr>
          <w:p>
            <w:pPr>
              <w:spacing w:after="0"/>
              <w:rPr>
                <w:sz w:val="20"/>
                <w:szCs w:val="20"/>
                <w:color w:val="auto"/>
              </w:rPr>
            </w:pPr>
            <w:r>
              <w:rPr>
                <w:rFonts w:ascii="Arial" w:cs="Arial" w:eastAsia="Arial" w:hAnsi="Arial"/>
                <w:sz w:val="15"/>
                <w:szCs w:val="15"/>
                <w:color w:val="auto"/>
              </w:rPr>
              <w:t>​Total All Other Compensation</w:t>
            </w:r>
          </w:p>
        </w:tc>
        <w:tc>
          <w:tcPr>
            <w:tcW w:w="200" w:type="dxa"/>
            <w:vAlign w:val="bottom"/>
            <w:tcBorders>
              <w:bottom w:val="single" w:sz="8" w:color="62259D"/>
            </w:tcBorders>
          </w:tcPr>
          <w:p>
            <w:pPr>
              <w:ind w:left="40"/>
              <w:spacing w:after="0"/>
              <w:rPr>
                <w:sz w:val="20"/>
                <w:szCs w:val="20"/>
                <w:color w:val="auto"/>
              </w:rPr>
            </w:pPr>
            <w:r>
              <w:rPr>
                <w:rFonts w:ascii="Arial" w:cs="Arial" w:eastAsia="Arial" w:hAnsi="Arial"/>
                <w:sz w:val="15"/>
                <w:szCs w:val="15"/>
                <w:color w:val="auto"/>
              </w:rPr>
              <w:t>​ ​</w:t>
            </w:r>
          </w:p>
        </w:tc>
        <w:tc>
          <w:tcPr>
            <w:tcW w:w="940" w:type="dxa"/>
            <w:vAlign w:val="bottom"/>
            <w:tcBorders>
              <w:bottom w:val="single" w:sz="8" w:color="62259D"/>
            </w:tcBorders>
            <w:gridSpan w:val="2"/>
          </w:tcPr>
          <w:p>
            <w:pPr>
              <w:jc w:val="right"/>
              <w:ind w:right="103"/>
              <w:spacing w:after="0"/>
              <w:rPr>
                <w:sz w:val="20"/>
                <w:szCs w:val="20"/>
                <w:color w:val="auto"/>
              </w:rPr>
            </w:pPr>
            <w:r>
              <w:rPr>
                <w:rFonts w:ascii="Arial" w:cs="Arial" w:eastAsia="Arial" w:hAnsi="Arial"/>
                <w:sz w:val="15"/>
                <w:szCs w:val="15"/>
                <w:color w:val="auto"/>
              </w:rPr>
              <w:t>​​29,227</w:t>
            </w:r>
          </w:p>
        </w:tc>
        <w:tc>
          <w:tcPr>
            <w:tcW w:w="220" w:type="dxa"/>
            <w:vAlign w:val="bottom"/>
            <w:tcBorders>
              <w:bottom w:val="single" w:sz="8" w:color="62259D"/>
            </w:tcBorders>
          </w:tcPr>
          <w:p>
            <w:pPr>
              <w:ind w:left="20"/>
              <w:spacing w:after="0"/>
              <w:rPr>
                <w:sz w:val="20"/>
                <w:szCs w:val="20"/>
                <w:color w:val="auto"/>
              </w:rPr>
            </w:pPr>
            <w:r>
              <w:rPr>
                <w:rFonts w:ascii="Arial" w:cs="Arial" w:eastAsia="Arial" w:hAnsi="Arial"/>
                <w:sz w:val="15"/>
                <w:szCs w:val="15"/>
                <w:color w:val="auto"/>
              </w:rPr>
              <w:t>​​ ​</w:t>
            </w:r>
          </w:p>
        </w:tc>
        <w:tc>
          <w:tcPr>
            <w:tcW w:w="860" w:type="dxa"/>
            <w:vAlign w:val="bottom"/>
            <w:tcBorders>
              <w:bottom w:val="single" w:sz="8" w:color="62259D"/>
            </w:tcBorders>
            <w:gridSpan w:val="2"/>
          </w:tcPr>
          <w:p>
            <w:pPr>
              <w:jc w:val="right"/>
              <w:ind w:right="62"/>
              <w:spacing w:after="0"/>
              <w:rPr>
                <w:sz w:val="20"/>
                <w:szCs w:val="20"/>
                <w:color w:val="auto"/>
              </w:rPr>
            </w:pPr>
            <w:r>
              <w:rPr>
                <w:rFonts w:ascii="Arial" w:cs="Arial" w:eastAsia="Arial" w:hAnsi="Arial"/>
                <w:sz w:val="15"/>
                <w:szCs w:val="15"/>
                <w:color w:val="auto"/>
              </w:rPr>
              <w:t>​​ 29,130</w:t>
            </w:r>
          </w:p>
        </w:tc>
        <w:tc>
          <w:tcPr>
            <w:tcW w:w="920" w:type="dxa"/>
            <w:vAlign w:val="bottom"/>
            <w:tcBorders>
              <w:bottom w:val="single" w:sz="8" w:color="62259D"/>
            </w:tcBorders>
            <w:gridSpan w:val="2"/>
          </w:tcPr>
          <w:p>
            <w:pPr>
              <w:jc w:val="right"/>
              <w:spacing w:after="0"/>
              <w:rPr>
                <w:sz w:val="20"/>
                <w:szCs w:val="20"/>
                <w:color w:val="auto"/>
              </w:rPr>
            </w:pPr>
            <w:r>
              <w:rPr>
                <w:rFonts w:ascii="Arial" w:cs="Arial" w:eastAsia="Arial" w:hAnsi="Arial"/>
                <w:sz w:val="15"/>
                <w:szCs w:val="15"/>
                <w:color w:val="auto"/>
              </w:rPr>
              <w:t>​​ ​ ​​25,484​ ​</w:t>
            </w:r>
          </w:p>
        </w:tc>
        <w:tc>
          <w:tcPr>
            <w:tcW w:w="860" w:type="dxa"/>
            <w:vAlign w:val="bottom"/>
            <w:tcBorders>
              <w:bottom w:val="single" w:sz="8" w:color="62259D"/>
            </w:tcBorders>
            <w:gridSpan w:val="3"/>
          </w:tcPr>
          <w:p>
            <w:pPr>
              <w:jc w:val="right"/>
              <w:spacing w:after="0"/>
              <w:rPr>
                <w:sz w:val="20"/>
                <w:szCs w:val="20"/>
                <w:color w:val="auto"/>
              </w:rPr>
            </w:pPr>
            <w:r>
              <w:rPr>
                <w:rFonts w:ascii="Arial" w:cs="Arial" w:eastAsia="Arial" w:hAnsi="Arial"/>
                <w:sz w:val="15"/>
                <w:szCs w:val="15"/>
                <w:color w:val="auto"/>
              </w:rPr>
              <w:t>​ 39,295 ​​ ​</w:t>
            </w:r>
          </w:p>
        </w:tc>
        <w:tc>
          <w:tcPr>
            <w:tcW w:w="880" w:type="dxa"/>
            <w:vAlign w:val="bottom"/>
            <w:tcBorders>
              <w:bottom w:val="single" w:sz="8" w:color="62259D"/>
            </w:tcBorders>
            <w:gridSpan w:val="2"/>
          </w:tcPr>
          <w:p>
            <w:pPr>
              <w:jc w:val="right"/>
              <w:ind w:right="83"/>
              <w:spacing w:after="0"/>
              <w:rPr>
                <w:sz w:val="20"/>
                <w:szCs w:val="20"/>
                <w:color w:val="auto"/>
              </w:rPr>
            </w:pPr>
            <w:r>
              <w:rPr>
                <w:rFonts w:ascii="Arial" w:cs="Arial" w:eastAsia="Arial" w:hAnsi="Arial"/>
                <w:sz w:val="15"/>
                <w:szCs w:val="15"/>
                <w:color w:val="auto"/>
              </w:rPr>
              <w:t>​​12,023</w:t>
            </w:r>
          </w:p>
        </w:tc>
        <w:tc>
          <w:tcPr>
            <w:tcW w:w="280" w:type="dxa"/>
            <w:vAlign w:val="bottom"/>
            <w:tcBorders>
              <w:bottom w:val="single" w:sz="8" w:color="62259D"/>
            </w:tcBorders>
          </w:tcPr>
          <w:p>
            <w:pPr>
              <w:spacing w:after="0"/>
              <w:rPr>
                <w:sz w:val="20"/>
                <w:szCs w:val="20"/>
                <w:color w:val="auto"/>
              </w:rPr>
            </w:pPr>
            <w:r>
              <w:rPr>
                <w:rFonts w:ascii="Arial" w:cs="Arial" w:eastAsia="Arial" w:hAnsi="Arial"/>
                <w:sz w:val="15"/>
                <w:szCs w:val="15"/>
                <w:color w:val="auto"/>
              </w:rPr>
              <w:t>​​ ​</w:t>
            </w:r>
          </w:p>
        </w:tc>
        <w:tc>
          <w:tcPr>
            <w:tcW w:w="800" w:type="dxa"/>
            <w:vAlign w:val="bottom"/>
            <w:tcBorders>
              <w:bottom w:val="single" w:sz="8" w:color="62259D"/>
            </w:tcBorders>
            <w:gridSpan w:val="2"/>
          </w:tcPr>
          <w:p>
            <w:pPr>
              <w:jc w:val="right"/>
              <w:ind w:right="22"/>
              <w:spacing w:after="0"/>
              <w:rPr>
                <w:sz w:val="20"/>
                <w:szCs w:val="20"/>
                <w:color w:val="auto"/>
              </w:rPr>
            </w:pPr>
            <w:r>
              <w:rPr>
                <w:rFonts w:ascii="Arial" w:cs="Arial" w:eastAsia="Arial" w:hAnsi="Arial"/>
                <w:sz w:val="15"/>
                <w:szCs w:val="15"/>
                <w:color w:val="auto"/>
              </w:rPr>
              <w:t>​​ 163,623</w:t>
            </w:r>
          </w:p>
        </w:tc>
        <w:tc>
          <w:tcPr>
            <w:tcW w:w="140" w:type="dxa"/>
            <w:vAlign w:val="bottom"/>
            <w:tcBorders>
              <w:bottom w:val="single" w:sz="8" w:color="62259D"/>
            </w:tcBorders>
          </w:tcPr>
          <w:p>
            <w:pPr>
              <w:ind w:left="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r>
    </w:tbl>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63" w:lineRule="exact"/>
        <w:rPr>
          <w:sz w:val="20"/>
          <w:szCs w:val="20"/>
          <w:color w:val="auto"/>
        </w:rPr>
      </w:pPr>
    </w:p>
    <w:p>
      <w:pPr>
        <w:ind w:left="1860" w:hanging="360"/>
        <w:spacing w:after="0"/>
        <w:tabs>
          <w:tab w:leader="none" w:pos="1860" w:val="left"/>
        </w:tabs>
        <w:numPr>
          <w:ilvl w:val="1"/>
          <w:numId w:val="120"/>
        </w:numPr>
        <w:rPr>
          <w:rFonts w:ascii="Arial" w:cs="Arial" w:eastAsia="Arial" w:hAnsi="Arial"/>
          <w:sz w:val="14"/>
          <w:szCs w:val="14"/>
          <w:color w:val="auto"/>
        </w:rPr>
      </w:pPr>
      <w:r>
        <w:rPr>
          <w:rFonts w:ascii="Arial" w:cs="Arial" w:eastAsia="Arial" w:hAnsi="Arial"/>
          <w:sz w:val="14"/>
          <w:szCs w:val="14"/>
          <w:color w:val="auto"/>
        </w:rPr>
        <w:t>Represents the Company’s portion of such benefits.</w:t>
      </w:r>
    </w:p>
    <w:p>
      <w:pPr>
        <w:spacing w:after="0" w:line="82" w:lineRule="exact"/>
        <w:rPr>
          <w:rFonts w:ascii="Arial" w:cs="Arial" w:eastAsia="Arial" w:hAnsi="Arial"/>
          <w:sz w:val="14"/>
          <w:szCs w:val="14"/>
          <w:color w:val="auto"/>
        </w:rPr>
      </w:pPr>
    </w:p>
    <w:p>
      <w:pPr>
        <w:ind w:left="1860" w:right="619" w:hanging="360"/>
        <w:spacing w:after="0" w:line="305" w:lineRule="auto"/>
        <w:tabs>
          <w:tab w:leader="none" w:pos="1860" w:val="left"/>
        </w:tabs>
        <w:numPr>
          <w:ilvl w:val="1"/>
          <w:numId w:val="120"/>
        </w:numPr>
        <w:rPr>
          <w:rFonts w:ascii="Arial" w:cs="Arial" w:eastAsia="Arial" w:hAnsi="Arial"/>
          <w:sz w:val="14"/>
          <w:szCs w:val="14"/>
          <w:color w:val="auto"/>
        </w:rPr>
      </w:pPr>
      <w:r>
        <w:rPr>
          <w:rFonts w:ascii="Arial" w:cs="Arial" w:eastAsia="Arial" w:hAnsi="Arial"/>
          <w:sz w:val="14"/>
          <w:szCs w:val="14"/>
          <w:color w:val="auto"/>
        </w:rPr>
        <w:t>Represents pension and profit sharing contributions for Messrs. Bucci and McCaffery and the Company’s 401(k) matching contributions for all other NEOs.</w:t>
      </w:r>
    </w:p>
    <w:p>
      <w:pPr>
        <w:spacing w:after="0" w:line="9" w:lineRule="exact"/>
        <w:rPr>
          <w:rFonts w:ascii="Arial" w:cs="Arial" w:eastAsia="Arial" w:hAnsi="Arial"/>
          <w:sz w:val="14"/>
          <w:szCs w:val="14"/>
          <w:color w:val="auto"/>
        </w:rPr>
      </w:pPr>
    </w:p>
    <w:p>
      <w:pPr>
        <w:ind w:left="1860" w:right="339" w:hanging="360"/>
        <w:spacing w:after="0" w:line="285" w:lineRule="auto"/>
        <w:tabs>
          <w:tab w:leader="none" w:pos="1860" w:val="left"/>
        </w:tabs>
        <w:numPr>
          <w:ilvl w:val="1"/>
          <w:numId w:val="120"/>
        </w:numPr>
        <w:rPr>
          <w:rFonts w:ascii="Arial" w:cs="Arial" w:eastAsia="Arial" w:hAnsi="Arial"/>
          <w:sz w:val="14"/>
          <w:szCs w:val="14"/>
          <w:color w:val="auto"/>
        </w:rPr>
      </w:pPr>
      <w:r>
        <w:rPr>
          <w:rFonts w:ascii="Arial" w:cs="Arial" w:eastAsia="Arial" w:hAnsi="Arial"/>
          <w:sz w:val="14"/>
          <w:szCs w:val="14"/>
          <w:color w:val="auto"/>
        </w:rPr>
        <w:t>Comprised of severance, payout of accrued but unused paid time off and payment for transition services provided to the Company.</w:t>
      </w:r>
    </w:p>
    <w:p>
      <w:pPr>
        <w:spacing w:after="0" w:line="22" w:lineRule="exact"/>
        <w:rPr>
          <w:rFonts w:ascii="Arial" w:cs="Arial" w:eastAsia="Arial" w:hAnsi="Arial"/>
          <w:sz w:val="14"/>
          <w:szCs w:val="14"/>
          <w:color w:val="auto"/>
        </w:rPr>
      </w:pPr>
    </w:p>
    <w:p>
      <w:pPr>
        <w:ind w:left="1400" w:hanging="368"/>
        <w:spacing w:after="0"/>
        <w:tabs>
          <w:tab w:leader="none" w:pos="14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Relocation bonus in connection with permanent relocation to Texas.</w:t>
      </w:r>
    </w:p>
    <w:p>
      <w:pPr>
        <w:spacing w:after="0" w:line="82" w:lineRule="exact"/>
        <w:rPr>
          <w:rFonts w:ascii="Arial" w:cs="Arial" w:eastAsia="Arial" w:hAnsi="Arial"/>
          <w:sz w:val="14"/>
          <w:szCs w:val="14"/>
          <w:color w:val="auto"/>
        </w:rPr>
      </w:pPr>
    </w:p>
    <w:p>
      <w:pPr>
        <w:ind w:left="1400" w:right="539" w:hanging="368"/>
        <w:spacing w:after="0" w:line="305" w:lineRule="auto"/>
        <w:tabs>
          <w:tab w:leader="none" w:pos="14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Mr. Bucci’s compensation is paid in Canadian dollars. Amounts shown have been converted to U.S. dollars based on the exchange rate as of December 31 of the applicable year.</w:t>
      </w:r>
    </w:p>
    <w:p>
      <w:pPr>
        <w:spacing w:after="0" w:line="9" w:lineRule="exact"/>
        <w:rPr>
          <w:rFonts w:ascii="Arial" w:cs="Arial" w:eastAsia="Arial" w:hAnsi="Arial"/>
          <w:sz w:val="14"/>
          <w:szCs w:val="14"/>
          <w:color w:val="auto"/>
        </w:rPr>
      </w:pPr>
    </w:p>
    <w:p>
      <w:pPr>
        <w:ind w:left="1400" w:right="319" w:hanging="368"/>
        <w:spacing w:after="0" w:line="305" w:lineRule="auto"/>
        <w:tabs>
          <w:tab w:leader="none" w:pos="14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Reflect pro-rated amounts based on time employed by the Company during 2025. Mr. McCaffery’s compensation is paid in British pounds. Amounts shown have been converted to U.S. dollars based on the exchange rate as of December 31, 2025.</w:t>
      </w:r>
    </w:p>
    <w:p>
      <w:pPr>
        <w:spacing w:after="0" w:line="9" w:lineRule="exact"/>
        <w:rPr>
          <w:rFonts w:ascii="Arial" w:cs="Arial" w:eastAsia="Arial" w:hAnsi="Arial"/>
          <w:sz w:val="14"/>
          <w:szCs w:val="14"/>
          <w:color w:val="auto"/>
        </w:rPr>
      </w:pPr>
    </w:p>
    <w:p>
      <w:pPr>
        <w:ind w:left="1400" w:hanging="368"/>
        <w:spacing w:after="0"/>
        <w:tabs>
          <w:tab w:leader="none" w:pos="140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Mr. Redington left the Company effective September 30, 2025. Amounts reflect compensation paid through that date.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Grants of Plan-Based Awards in 2025</w:t>
      </w:r>
    </w:p>
    <w:p>
      <w:pPr>
        <w:spacing w:after="0" w:line="152" w:lineRule="exact"/>
        <w:rPr>
          <w:sz w:val="20"/>
          <w:szCs w:val="20"/>
          <w:color w:val="auto"/>
        </w:rPr>
      </w:pPr>
    </w:p>
    <w:p>
      <w:pPr>
        <w:ind w:left="920" w:right="339"/>
        <w:spacing w:after="0" w:line="271" w:lineRule="auto"/>
        <w:rPr>
          <w:sz w:val="20"/>
          <w:szCs w:val="20"/>
          <w:color w:val="auto"/>
        </w:rPr>
      </w:pPr>
      <w:r>
        <w:rPr>
          <w:rFonts w:ascii="Arial" w:cs="Arial" w:eastAsia="Arial" w:hAnsi="Arial"/>
          <w:sz w:val="18"/>
          <w:szCs w:val="18"/>
          <w:color w:val="auto"/>
        </w:rPr>
        <w:t>The following table sets forth information about incentive plan awards made to the NEOs during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49530</wp:posOffset>
            </wp:positionV>
            <wp:extent cx="51435" cy="5314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531495"/>
                    </a:xfrm>
                    <a:prstGeom prst="rect">
                      <a:avLst/>
                    </a:prstGeom>
                    <a:noFill/>
                  </pic:spPr>
                </pic:pic>
              </a:graphicData>
            </a:graphic>
          </wp:anchor>
        </w:drawing>
      </w:r>
    </w:p>
    <w:p>
      <w:pPr>
        <w:spacing w:after="0" w:line="58" w:lineRule="exact"/>
        <w:rPr>
          <w:sz w:val="20"/>
          <w:szCs w:val="20"/>
          <w:color w:val="auto"/>
        </w:rPr>
      </w:pPr>
    </w:p>
    <w:tbl>
      <w:tblPr>
        <w:tblLayout w:type="fixed"/>
        <w:tblInd w:w="920" w:type="dxa"/>
        <w:tblCellMar>
          <w:top w:w="0" w:type="dxa"/>
          <w:left w:w="0" w:type="dxa"/>
          <w:bottom w:w="0" w:type="dxa"/>
          <w:right w:w="0" w:type="dxa"/>
        </w:tblCellMar>
      </w:tblPr>
      <w:tr>
        <w:trPr>
          <w:trHeight w:val="183"/>
        </w:trPr>
        <w:tc>
          <w:tcPr>
            <w:tcW w:w="80" w:type="dxa"/>
            <w:vAlign w:val="bottom"/>
            <w:shd w:val="clear" w:color="auto" w:fill="62259D"/>
          </w:tcPr>
          <w:p>
            <w:pPr>
              <w:spacing w:after="0"/>
              <w:rPr>
                <w:sz w:val="15"/>
                <w:szCs w:val="15"/>
                <w:color w:val="auto"/>
              </w:rPr>
            </w:pPr>
          </w:p>
        </w:tc>
        <w:tc>
          <w:tcPr>
            <w:tcW w:w="920" w:type="dxa"/>
            <w:vAlign w:val="bottom"/>
            <w:shd w:val="clear" w:color="auto" w:fill="62259D"/>
          </w:tcPr>
          <w:p>
            <w:pPr>
              <w:spacing w:after="0"/>
              <w:rPr>
                <w:sz w:val="15"/>
                <w:szCs w:val="15"/>
                <w:color w:val="auto"/>
              </w:rPr>
            </w:pPr>
          </w:p>
        </w:tc>
        <w:tc>
          <w:tcPr>
            <w:tcW w:w="60" w:type="dxa"/>
            <w:vAlign w:val="bottom"/>
            <w:shd w:val="clear" w:color="auto" w:fill="62259D"/>
          </w:tcPr>
          <w:p>
            <w:pPr>
              <w:spacing w:after="0"/>
              <w:rPr>
                <w:sz w:val="15"/>
                <w:szCs w:val="15"/>
                <w:color w:val="auto"/>
              </w:rPr>
            </w:pPr>
          </w:p>
        </w:tc>
        <w:tc>
          <w:tcPr>
            <w:tcW w:w="140" w:type="dxa"/>
            <w:vAlign w:val="bottom"/>
            <w:shd w:val="clear" w:color="auto" w:fill="62259D"/>
          </w:tcPr>
          <w:p>
            <w:pPr>
              <w:spacing w:after="0"/>
              <w:rPr>
                <w:sz w:val="15"/>
                <w:szCs w:val="15"/>
                <w:color w:val="auto"/>
              </w:rPr>
            </w:pPr>
          </w:p>
        </w:tc>
        <w:tc>
          <w:tcPr>
            <w:tcW w:w="1020" w:type="dxa"/>
            <w:vAlign w:val="bottom"/>
            <w:shd w:val="clear" w:color="auto" w:fill="62259D"/>
          </w:tcPr>
          <w:p>
            <w:pPr>
              <w:spacing w:after="0"/>
              <w:rPr>
                <w:sz w:val="15"/>
                <w:szCs w:val="15"/>
                <w:color w:val="auto"/>
              </w:rPr>
            </w:pPr>
          </w:p>
        </w:tc>
        <w:tc>
          <w:tcPr>
            <w:tcW w:w="200" w:type="dxa"/>
            <w:vAlign w:val="bottom"/>
            <w:shd w:val="clear" w:color="auto" w:fill="62259D"/>
          </w:tcPr>
          <w:p>
            <w:pPr>
              <w:spacing w:after="0"/>
              <w:rPr>
                <w:sz w:val="15"/>
                <w:szCs w:val="15"/>
                <w:color w:val="auto"/>
              </w:rPr>
            </w:pPr>
          </w:p>
        </w:tc>
        <w:tc>
          <w:tcPr>
            <w:tcW w:w="2120" w:type="dxa"/>
            <w:vAlign w:val="bottom"/>
            <w:gridSpan w:val="4"/>
            <w:shd w:val="clear" w:color="auto" w:fill="62259D"/>
          </w:tcPr>
          <w:p>
            <w:pPr>
              <w:jc w:val="center"/>
              <w:spacing w:after="0"/>
              <w:rPr>
                <w:sz w:val="20"/>
                <w:szCs w:val="20"/>
                <w:color w:val="auto"/>
              </w:rPr>
            </w:pPr>
            <w:r>
              <w:rPr>
                <w:rFonts w:ascii="Arial" w:cs="Arial" w:eastAsia="Arial" w:hAnsi="Arial"/>
                <w:sz w:val="13"/>
                <w:szCs w:val="13"/>
                <w:b w:val="1"/>
                <w:bCs w:val="1"/>
                <w:color w:val="FEFEFE"/>
              </w:rPr>
              <w:t>Estimated Future Payouts</w:t>
            </w:r>
          </w:p>
        </w:tc>
        <w:tc>
          <w:tcPr>
            <w:tcW w:w="200" w:type="dxa"/>
            <w:vAlign w:val="bottom"/>
            <w:shd w:val="clear" w:color="auto" w:fill="62259D"/>
          </w:tcPr>
          <w:p>
            <w:pPr>
              <w:spacing w:after="0"/>
              <w:rPr>
                <w:sz w:val="15"/>
                <w:szCs w:val="15"/>
                <w:color w:val="auto"/>
              </w:rPr>
            </w:pPr>
          </w:p>
        </w:tc>
        <w:tc>
          <w:tcPr>
            <w:tcW w:w="2100" w:type="dxa"/>
            <w:vAlign w:val="bottom"/>
            <w:gridSpan w:val="5"/>
            <w:shd w:val="clear" w:color="auto" w:fill="62259D"/>
          </w:tcPr>
          <w:p>
            <w:pPr>
              <w:jc w:val="right"/>
              <w:ind w:right="134"/>
              <w:spacing w:after="0"/>
              <w:rPr>
                <w:sz w:val="20"/>
                <w:szCs w:val="20"/>
                <w:color w:val="auto"/>
              </w:rPr>
            </w:pPr>
            <w:r>
              <w:rPr>
                <w:rFonts w:ascii="Arial" w:cs="Arial" w:eastAsia="Arial" w:hAnsi="Arial"/>
                <w:sz w:val="13"/>
                <w:szCs w:val="13"/>
                <w:b w:val="1"/>
                <w:bCs w:val="1"/>
                <w:color w:val="FEFEFE"/>
              </w:rPr>
              <w:t>Estimated Future Payouts</w:t>
            </w:r>
          </w:p>
        </w:tc>
        <w:tc>
          <w:tcPr>
            <w:tcW w:w="60" w:type="dxa"/>
            <w:vAlign w:val="bottom"/>
            <w:shd w:val="clear" w:color="auto" w:fill="62259D"/>
          </w:tcPr>
          <w:p>
            <w:pPr>
              <w:spacing w:after="0"/>
              <w:rPr>
                <w:sz w:val="15"/>
                <w:szCs w:val="15"/>
                <w:color w:val="auto"/>
              </w:rPr>
            </w:pPr>
          </w:p>
        </w:tc>
        <w:tc>
          <w:tcPr>
            <w:tcW w:w="60" w:type="dxa"/>
            <w:vAlign w:val="bottom"/>
            <w:shd w:val="clear" w:color="auto" w:fill="62259D"/>
          </w:tcPr>
          <w:p>
            <w:pPr>
              <w:spacing w:after="0"/>
              <w:rPr>
                <w:sz w:val="15"/>
                <w:szCs w:val="15"/>
                <w:color w:val="auto"/>
              </w:rPr>
            </w:pPr>
          </w:p>
        </w:tc>
        <w:tc>
          <w:tcPr>
            <w:tcW w:w="80" w:type="dxa"/>
            <w:vAlign w:val="bottom"/>
            <w:shd w:val="clear" w:color="auto" w:fill="62259D"/>
          </w:tcPr>
          <w:p>
            <w:pPr>
              <w:spacing w:after="0"/>
              <w:rPr>
                <w:sz w:val="15"/>
                <w:szCs w:val="15"/>
                <w:color w:val="auto"/>
              </w:rPr>
            </w:pPr>
          </w:p>
        </w:tc>
        <w:tc>
          <w:tcPr>
            <w:tcW w:w="120" w:type="dxa"/>
            <w:vAlign w:val="bottom"/>
            <w:shd w:val="clear" w:color="auto" w:fill="62259D"/>
          </w:tcPr>
          <w:p>
            <w:pPr>
              <w:spacing w:after="0"/>
              <w:rPr>
                <w:sz w:val="15"/>
                <w:szCs w:val="15"/>
                <w:color w:val="auto"/>
              </w:rPr>
            </w:pPr>
          </w:p>
        </w:tc>
        <w:tc>
          <w:tcPr>
            <w:tcW w:w="660" w:type="dxa"/>
            <w:vAlign w:val="bottom"/>
            <w:shd w:val="clear" w:color="auto" w:fill="62259D"/>
          </w:tcPr>
          <w:p>
            <w:pPr>
              <w:spacing w:after="0"/>
              <w:rPr>
                <w:sz w:val="15"/>
                <w:szCs w:val="15"/>
                <w:color w:val="auto"/>
              </w:rPr>
            </w:pPr>
          </w:p>
        </w:tc>
        <w:tc>
          <w:tcPr>
            <w:tcW w:w="180" w:type="dxa"/>
            <w:vAlign w:val="bottom"/>
            <w:shd w:val="clear" w:color="auto" w:fill="62259D"/>
          </w:tcPr>
          <w:p>
            <w:pPr>
              <w:spacing w:after="0"/>
              <w:rPr>
                <w:sz w:val="15"/>
                <w:szCs w:val="15"/>
                <w:color w:val="auto"/>
              </w:rPr>
            </w:pPr>
          </w:p>
        </w:tc>
        <w:tc>
          <w:tcPr>
            <w:tcW w:w="740" w:type="dxa"/>
            <w:vAlign w:val="bottom"/>
            <w:gridSpan w:val="2"/>
            <w:shd w:val="clear" w:color="auto" w:fill="62259D"/>
          </w:tcPr>
          <w:p>
            <w:pPr>
              <w:ind w:left="20"/>
              <w:spacing w:after="0"/>
              <w:rPr>
                <w:sz w:val="20"/>
                <w:szCs w:val="20"/>
                <w:color w:val="auto"/>
              </w:rPr>
            </w:pPr>
            <w:r>
              <w:rPr>
                <w:rFonts w:ascii="Arial" w:cs="Arial" w:eastAsia="Arial" w:hAnsi="Arial"/>
                <w:sz w:val="13"/>
                <w:szCs w:val="13"/>
                <w:b w:val="1"/>
                <w:bCs w:val="1"/>
                <w:color w:val="FEFEFE"/>
              </w:rPr>
              <w:t>Grant Date</w:t>
            </w:r>
          </w:p>
        </w:tc>
        <w:tc>
          <w:tcPr>
            <w:tcW w:w="120" w:type="dxa"/>
            <w:vAlign w:val="bottom"/>
            <w:shd w:val="clear" w:color="auto" w:fill="62259D"/>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80" w:type="dxa"/>
            <w:vAlign w:val="bottom"/>
            <w:shd w:val="clear" w:color="auto" w:fill="62259D"/>
          </w:tcPr>
          <w:p>
            <w:pPr>
              <w:spacing w:after="0"/>
              <w:rPr>
                <w:sz w:val="13"/>
                <w:szCs w:val="13"/>
                <w:color w:val="auto"/>
              </w:rPr>
            </w:pPr>
          </w:p>
        </w:tc>
        <w:tc>
          <w:tcPr>
            <w:tcW w:w="920" w:type="dxa"/>
            <w:vAlign w:val="bottom"/>
            <w:shd w:val="clear" w:color="auto" w:fill="62259D"/>
          </w:tcPr>
          <w:p>
            <w:pPr>
              <w:spacing w:after="0"/>
              <w:rPr>
                <w:sz w:val="13"/>
                <w:szCs w:val="13"/>
                <w:color w:val="auto"/>
              </w:rPr>
            </w:pPr>
          </w:p>
        </w:tc>
        <w:tc>
          <w:tcPr>
            <w:tcW w:w="60" w:type="dxa"/>
            <w:vAlign w:val="bottom"/>
            <w:shd w:val="clear" w:color="auto" w:fill="62259D"/>
          </w:tcPr>
          <w:p>
            <w:pPr>
              <w:spacing w:after="0"/>
              <w:rPr>
                <w:sz w:val="13"/>
                <w:szCs w:val="13"/>
                <w:color w:val="auto"/>
              </w:rPr>
            </w:pPr>
          </w:p>
        </w:tc>
        <w:tc>
          <w:tcPr>
            <w:tcW w:w="140" w:type="dxa"/>
            <w:vAlign w:val="bottom"/>
            <w:shd w:val="clear" w:color="auto" w:fill="62259D"/>
          </w:tcPr>
          <w:p>
            <w:pPr>
              <w:spacing w:after="0"/>
              <w:rPr>
                <w:sz w:val="13"/>
                <w:szCs w:val="13"/>
                <w:color w:val="auto"/>
              </w:rPr>
            </w:pPr>
          </w:p>
        </w:tc>
        <w:tc>
          <w:tcPr>
            <w:tcW w:w="1020" w:type="dxa"/>
            <w:vAlign w:val="bottom"/>
            <w:shd w:val="clear" w:color="auto" w:fill="62259D"/>
          </w:tcPr>
          <w:p>
            <w:pPr>
              <w:spacing w:after="0"/>
              <w:rPr>
                <w:sz w:val="13"/>
                <w:szCs w:val="13"/>
                <w:color w:val="auto"/>
              </w:rPr>
            </w:pPr>
          </w:p>
        </w:tc>
        <w:tc>
          <w:tcPr>
            <w:tcW w:w="200" w:type="dxa"/>
            <w:vAlign w:val="bottom"/>
            <w:shd w:val="clear" w:color="auto" w:fill="62259D"/>
          </w:tcPr>
          <w:p>
            <w:pPr>
              <w:spacing w:after="0"/>
              <w:rPr>
                <w:sz w:val="13"/>
                <w:szCs w:val="13"/>
                <w:color w:val="auto"/>
              </w:rPr>
            </w:pPr>
          </w:p>
        </w:tc>
        <w:tc>
          <w:tcPr>
            <w:tcW w:w="2120" w:type="dxa"/>
            <w:vAlign w:val="bottom"/>
            <w:gridSpan w:val="4"/>
            <w:shd w:val="clear" w:color="auto" w:fill="62259D"/>
          </w:tcPr>
          <w:p>
            <w:pPr>
              <w:jc w:val="center"/>
              <w:spacing w:after="0"/>
              <w:rPr>
                <w:sz w:val="20"/>
                <w:szCs w:val="20"/>
                <w:color w:val="auto"/>
              </w:rPr>
            </w:pPr>
            <w:r>
              <w:rPr>
                <w:rFonts w:ascii="Arial" w:cs="Arial" w:eastAsia="Arial" w:hAnsi="Arial"/>
                <w:sz w:val="13"/>
                <w:szCs w:val="13"/>
                <w:b w:val="1"/>
                <w:bCs w:val="1"/>
                <w:color w:val="FEFEFE"/>
              </w:rPr>
              <w:t>Under Non-Equity</w:t>
            </w:r>
          </w:p>
        </w:tc>
        <w:tc>
          <w:tcPr>
            <w:tcW w:w="200" w:type="dxa"/>
            <w:vAlign w:val="bottom"/>
            <w:shd w:val="clear" w:color="auto" w:fill="62259D"/>
          </w:tcPr>
          <w:p>
            <w:pPr>
              <w:spacing w:after="0"/>
              <w:rPr>
                <w:sz w:val="13"/>
                <w:szCs w:val="13"/>
                <w:color w:val="auto"/>
              </w:rPr>
            </w:pPr>
          </w:p>
        </w:tc>
        <w:tc>
          <w:tcPr>
            <w:tcW w:w="2100" w:type="dxa"/>
            <w:vAlign w:val="bottom"/>
            <w:gridSpan w:val="5"/>
            <w:shd w:val="clear" w:color="auto" w:fill="62259D"/>
          </w:tcPr>
          <w:p>
            <w:pPr>
              <w:jc w:val="right"/>
              <w:ind w:right="234"/>
              <w:spacing w:after="0"/>
              <w:rPr>
                <w:sz w:val="20"/>
                <w:szCs w:val="20"/>
                <w:color w:val="auto"/>
              </w:rPr>
            </w:pPr>
            <w:r>
              <w:rPr>
                <w:rFonts w:ascii="Arial" w:cs="Arial" w:eastAsia="Arial" w:hAnsi="Arial"/>
                <w:sz w:val="13"/>
                <w:szCs w:val="13"/>
                <w:b w:val="1"/>
                <w:bCs w:val="1"/>
                <w:color w:val="FEFEFE"/>
              </w:rPr>
              <w:t>Under Equity Incentive</w:t>
            </w:r>
          </w:p>
        </w:tc>
        <w:tc>
          <w:tcPr>
            <w:tcW w:w="60" w:type="dxa"/>
            <w:vAlign w:val="bottom"/>
            <w:shd w:val="clear" w:color="auto" w:fill="62259D"/>
          </w:tcPr>
          <w:p>
            <w:pPr>
              <w:spacing w:after="0"/>
              <w:rPr>
                <w:sz w:val="13"/>
                <w:szCs w:val="13"/>
                <w:color w:val="auto"/>
              </w:rPr>
            </w:pPr>
          </w:p>
        </w:tc>
        <w:tc>
          <w:tcPr>
            <w:tcW w:w="60" w:type="dxa"/>
            <w:vAlign w:val="bottom"/>
            <w:shd w:val="clear" w:color="auto" w:fill="62259D"/>
          </w:tcPr>
          <w:p>
            <w:pPr>
              <w:spacing w:after="0"/>
              <w:rPr>
                <w:sz w:val="13"/>
                <w:szCs w:val="13"/>
                <w:color w:val="auto"/>
              </w:rPr>
            </w:pPr>
          </w:p>
        </w:tc>
        <w:tc>
          <w:tcPr>
            <w:tcW w:w="80" w:type="dxa"/>
            <w:vAlign w:val="bottom"/>
            <w:shd w:val="clear" w:color="auto" w:fill="62259D"/>
          </w:tcPr>
          <w:p>
            <w:pPr>
              <w:spacing w:after="0"/>
              <w:rPr>
                <w:sz w:val="13"/>
                <w:szCs w:val="13"/>
                <w:color w:val="auto"/>
              </w:rPr>
            </w:pPr>
          </w:p>
        </w:tc>
        <w:tc>
          <w:tcPr>
            <w:tcW w:w="120" w:type="dxa"/>
            <w:vAlign w:val="bottom"/>
            <w:shd w:val="clear" w:color="auto" w:fill="62259D"/>
          </w:tcPr>
          <w:p>
            <w:pPr>
              <w:spacing w:after="0"/>
              <w:rPr>
                <w:sz w:val="13"/>
                <w:szCs w:val="13"/>
                <w:color w:val="auto"/>
              </w:rPr>
            </w:pPr>
          </w:p>
        </w:tc>
        <w:tc>
          <w:tcPr>
            <w:tcW w:w="660" w:type="dxa"/>
            <w:vAlign w:val="bottom"/>
            <w:shd w:val="clear" w:color="auto" w:fill="62259D"/>
          </w:tcPr>
          <w:p>
            <w:pPr>
              <w:spacing w:after="0"/>
              <w:rPr>
                <w:sz w:val="13"/>
                <w:szCs w:val="13"/>
                <w:color w:val="auto"/>
              </w:rPr>
            </w:pPr>
          </w:p>
        </w:tc>
        <w:tc>
          <w:tcPr>
            <w:tcW w:w="180" w:type="dxa"/>
            <w:vAlign w:val="bottom"/>
            <w:shd w:val="clear" w:color="auto" w:fill="62259D"/>
          </w:tcPr>
          <w:p>
            <w:pPr>
              <w:spacing w:after="0"/>
              <w:rPr>
                <w:sz w:val="13"/>
                <w:szCs w:val="13"/>
                <w:color w:val="auto"/>
              </w:rPr>
            </w:pPr>
          </w:p>
        </w:tc>
        <w:tc>
          <w:tcPr>
            <w:tcW w:w="7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Fair Value</w:t>
            </w:r>
          </w:p>
        </w:tc>
        <w:tc>
          <w:tcPr>
            <w:tcW w:w="120" w:type="dxa"/>
            <w:vAlign w:val="bottom"/>
            <w:shd w:val="clear" w:color="auto" w:fill="62259D"/>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000" w:type="dxa"/>
            <w:vAlign w:val="bottom"/>
            <w:gridSpan w:val="2"/>
            <w:shd w:val="clear" w:color="auto" w:fill="62259D"/>
          </w:tcPr>
          <w:p>
            <w:pPr>
              <w:ind w:left="40"/>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62259D"/>
          </w:tcPr>
          <w:p>
            <w:pPr>
              <w:ind w:left="40"/>
              <w:spacing w:after="0"/>
              <w:rPr>
                <w:sz w:val="20"/>
                <w:szCs w:val="20"/>
                <w:color w:val="auto"/>
              </w:rPr>
            </w:pPr>
            <w:r>
              <w:rPr>
                <w:rFonts w:ascii="Arial" w:cs="Arial" w:eastAsia="Arial" w:hAnsi="Arial"/>
                <w:sz w:val="1"/>
                <w:szCs w:val="1"/>
                <w:b w:val="1"/>
                <w:bCs w:val="1"/>
                <w:color w:val="FEFEFE"/>
                <w:w w:val="4294942296"/>
              </w:rPr>
              <w:t>​</w:t>
            </w:r>
          </w:p>
        </w:tc>
        <w:tc>
          <w:tcPr>
            <w:tcW w:w="140" w:type="dxa"/>
            <w:vAlign w:val="bottom"/>
            <w:shd w:val="clear" w:color="auto" w:fill="62259D"/>
          </w:tcPr>
          <w:p>
            <w:pPr>
              <w:spacing w:after="0"/>
              <w:rPr>
                <w:sz w:val="15"/>
                <w:szCs w:val="15"/>
                <w:color w:val="auto"/>
              </w:rPr>
            </w:pPr>
          </w:p>
        </w:tc>
        <w:tc>
          <w:tcPr>
            <w:tcW w:w="1020" w:type="dxa"/>
            <w:vAlign w:val="bottom"/>
            <w:shd w:val="clear" w:color="auto" w:fill="62259D"/>
          </w:tcPr>
          <w:p>
            <w:pPr>
              <w:spacing w:after="0"/>
              <w:rPr>
                <w:sz w:val="15"/>
                <w:szCs w:val="15"/>
                <w:color w:val="auto"/>
              </w:rPr>
            </w:pPr>
          </w:p>
        </w:tc>
        <w:tc>
          <w:tcPr>
            <w:tcW w:w="20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w:t>
            </w:r>
          </w:p>
        </w:tc>
        <w:tc>
          <w:tcPr>
            <w:tcW w:w="2120" w:type="dxa"/>
            <w:vAlign w:val="bottom"/>
            <w:gridSpan w:val="4"/>
            <w:shd w:val="clear" w:color="auto" w:fill="62259D"/>
          </w:tcPr>
          <w:p>
            <w:pPr>
              <w:ind w:left="300"/>
              <w:spacing w:after="0" w:line="162" w:lineRule="exact"/>
              <w:rPr>
                <w:sz w:val="20"/>
                <w:szCs w:val="20"/>
                <w:color w:val="auto"/>
              </w:rPr>
            </w:pPr>
            <w:r>
              <w:rPr>
                <w:rFonts w:ascii="Arial" w:cs="Arial" w:eastAsia="Arial" w:hAnsi="Arial"/>
                <w:sz w:val="13"/>
                <w:szCs w:val="13"/>
                <w:b w:val="1"/>
                <w:bCs w:val="1"/>
                <w:color w:val="FEFEFE"/>
              </w:rPr>
              <w:t>Incentive Plan Awards</w:t>
            </w:r>
            <w:r>
              <w:rPr>
                <w:rFonts w:ascii="Arial" w:cs="Arial" w:eastAsia="Arial" w:hAnsi="Arial"/>
                <w:sz w:val="16"/>
                <w:szCs w:val="16"/>
                <w:b w:val="1"/>
                <w:bCs w:val="1"/>
                <w:color w:val="FEFEFE"/>
                <w:vertAlign w:val="superscript"/>
              </w:rPr>
              <w:t>(1)</w:t>
            </w:r>
          </w:p>
        </w:tc>
        <w:tc>
          <w:tcPr>
            <w:tcW w:w="20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 ​</w:t>
            </w:r>
          </w:p>
        </w:tc>
        <w:tc>
          <w:tcPr>
            <w:tcW w:w="1540" w:type="dxa"/>
            <w:vAlign w:val="bottom"/>
            <w:gridSpan w:val="3"/>
            <w:shd w:val="clear" w:color="auto" w:fill="62259D"/>
          </w:tcPr>
          <w:p>
            <w:pPr>
              <w:jc w:val="right"/>
              <w:spacing w:after="0" w:line="162" w:lineRule="exact"/>
              <w:rPr>
                <w:sz w:val="20"/>
                <w:szCs w:val="20"/>
                <w:color w:val="auto"/>
              </w:rPr>
            </w:pPr>
            <w:r>
              <w:rPr>
                <w:rFonts w:ascii="Arial" w:cs="Arial" w:eastAsia="Arial" w:hAnsi="Arial"/>
                <w:sz w:val="13"/>
                <w:szCs w:val="13"/>
                <w:b w:val="1"/>
                <w:bCs w:val="1"/>
                <w:color w:val="FEFEFE"/>
              </w:rPr>
              <w:t>Plan Awards</w:t>
            </w:r>
            <w:r>
              <w:rPr>
                <w:rFonts w:ascii="Arial" w:cs="Arial" w:eastAsia="Arial" w:hAnsi="Arial"/>
                <w:sz w:val="16"/>
                <w:szCs w:val="16"/>
                <w:b w:val="1"/>
                <w:bCs w:val="1"/>
                <w:color w:val="FEFEFE"/>
                <w:vertAlign w:val="superscript"/>
              </w:rPr>
              <w:t>(1)</w:t>
            </w:r>
          </w:p>
        </w:tc>
        <w:tc>
          <w:tcPr>
            <w:tcW w:w="100" w:type="dxa"/>
            <w:vAlign w:val="bottom"/>
            <w:shd w:val="clear" w:color="auto" w:fill="62259D"/>
          </w:tcPr>
          <w:p>
            <w:pPr>
              <w:spacing w:after="0"/>
              <w:rPr>
                <w:sz w:val="15"/>
                <w:szCs w:val="15"/>
                <w:color w:val="auto"/>
              </w:rPr>
            </w:pPr>
          </w:p>
        </w:tc>
        <w:tc>
          <w:tcPr>
            <w:tcW w:w="460" w:type="dxa"/>
            <w:vAlign w:val="bottom"/>
            <w:shd w:val="clear" w:color="auto" w:fill="62259D"/>
          </w:tcPr>
          <w:p>
            <w:pPr>
              <w:spacing w:after="0"/>
              <w:rPr>
                <w:sz w:val="15"/>
                <w:szCs w:val="15"/>
                <w:color w:val="auto"/>
              </w:rPr>
            </w:pPr>
          </w:p>
        </w:tc>
        <w:tc>
          <w:tcPr>
            <w:tcW w:w="60" w:type="dxa"/>
            <w:vAlign w:val="bottom"/>
            <w:shd w:val="clear" w:color="auto" w:fill="62259D"/>
          </w:tcPr>
          <w:p>
            <w:pPr>
              <w:spacing w:after="0"/>
              <w:rPr>
                <w:sz w:val="15"/>
                <w:szCs w:val="15"/>
                <w:color w:val="auto"/>
              </w:rPr>
            </w:pPr>
          </w:p>
        </w:tc>
        <w:tc>
          <w:tcPr>
            <w:tcW w:w="60" w:type="dxa"/>
            <w:vAlign w:val="bottom"/>
            <w:shd w:val="clear" w:color="auto" w:fill="62259D"/>
          </w:tcPr>
          <w:p>
            <w:pPr>
              <w:ind w:left="40"/>
              <w:spacing w:after="0"/>
              <w:rPr>
                <w:sz w:val="20"/>
                <w:szCs w:val="20"/>
                <w:color w:val="auto"/>
              </w:rPr>
            </w:pPr>
            <w:r>
              <w:rPr>
                <w:rFonts w:ascii="Arial" w:cs="Arial" w:eastAsia="Arial" w:hAnsi="Arial"/>
                <w:sz w:val="1"/>
                <w:szCs w:val="1"/>
                <w:b w:val="1"/>
                <w:bCs w:val="1"/>
                <w:color w:val="FEFEFE"/>
                <w:w w:val="4294942296"/>
              </w:rPr>
              <w:t>​</w:t>
            </w:r>
          </w:p>
        </w:tc>
        <w:tc>
          <w:tcPr>
            <w:tcW w:w="80" w:type="dxa"/>
            <w:vAlign w:val="bottom"/>
            <w:shd w:val="clear" w:color="auto" w:fill="62259D"/>
          </w:tcPr>
          <w:p>
            <w:pPr>
              <w:spacing w:after="0"/>
              <w:rPr>
                <w:sz w:val="15"/>
                <w:szCs w:val="15"/>
                <w:color w:val="auto"/>
              </w:rPr>
            </w:pPr>
          </w:p>
        </w:tc>
        <w:tc>
          <w:tcPr>
            <w:tcW w:w="120" w:type="dxa"/>
            <w:vAlign w:val="bottom"/>
            <w:shd w:val="clear" w:color="auto" w:fill="62259D"/>
          </w:tcPr>
          <w:p>
            <w:pPr>
              <w:spacing w:after="0"/>
              <w:rPr>
                <w:sz w:val="15"/>
                <w:szCs w:val="15"/>
                <w:color w:val="auto"/>
              </w:rPr>
            </w:pPr>
          </w:p>
        </w:tc>
        <w:tc>
          <w:tcPr>
            <w:tcW w:w="660" w:type="dxa"/>
            <w:vAlign w:val="bottom"/>
            <w:shd w:val="clear" w:color="auto" w:fill="62259D"/>
          </w:tcPr>
          <w:p>
            <w:pPr>
              <w:jc w:val="center"/>
              <w:ind w:right="53"/>
              <w:spacing w:after="0"/>
              <w:rPr>
                <w:sz w:val="20"/>
                <w:szCs w:val="20"/>
                <w:color w:val="auto"/>
              </w:rPr>
            </w:pPr>
            <w:r>
              <w:rPr>
                <w:rFonts w:ascii="Arial" w:cs="Arial" w:eastAsia="Arial" w:hAnsi="Arial"/>
                <w:sz w:val="13"/>
                <w:szCs w:val="13"/>
                <w:b w:val="1"/>
                <w:bCs w:val="1"/>
                <w:color w:val="FEFEFE"/>
              </w:rPr>
              <w:t>Awards:</w:t>
            </w:r>
          </w:p>
        </w:tc>
        <w:tc>
          <w:tcPr>
            <w:tcW w:w="180" w:type="dxa"/>
            <w:vAlign w:val="bottom"/>
            <w:shd w:val="clear" w:color="auto" w:fill="62259D"/>
          </w:tcPr>
          <w:p>
            <w:pPr>
              <w:spacing w:after="0"/>
              <w:rPr>
                <w:sz w:val="15"/>
                <w:szCs w:val="15"/>
                <w:color w:val="auto"/>
              </w:rPr>
            </w:pPr>
          </w:p>
        </w:tc>
        <w:tc>
          <w:tcPr>
            <w:tcW w:w="80" w:type="dxa"/>
            <w:vAlign w:val="bottom"/>
            <w:shd w:val="clear" w:color="auto" w:fill="62259D"/>
          </w:tcPr>
          <w:p>
            <w:pPr>
              <w:spacing w:after="0"/>
              <w:rPr>
                <w:sz w:val="15"/>
                <w:szCs w:val="15"/>
                <w:color w:val="auto"/>
              </w:rPr>
            </w:pPr>
          </w:p>
        </w:tc>
        <w:tc>
          <w:tcPr>
            <w:tcW w:w="660" w:type="dxa"/>
            <w:vAlign w:val="bottom"/>
            <w:shd w:val="clear" w:color="auto" w:fill="62259D"/>
          </w:tcPr>
          <w:p>
            <w:pPr>
              <w:jc w:val="center"/>
              <w:ind w:right="13"/>
              <w:spacing w:after="0"/>
              <w:rPr>
                <w:sz w:val="20"/>
                <w:szCs w:val="20"/>
                <w:color w:val="auto"/>
              </w:rPr>
            </w:pPr>
            <w:r>
              <w:rPr>
                <w:rFonts w:ascii="Arial" w:cs="Arial" w:eastAsia="Arial" w:hAnsi="Arial"/>
                <w:sz w:val="13"/>
                <w:szCs w:val="13"/>
                <w:b w:val="1"/>
                <w:bCs w:val="1"/>
                <w:color w:val="FEFEFE"/>
              </w:rPr>
              <w:t>of Stock</w:t>
            </w:r>
          </w:p>
        </w:tc>
        <w:tc>
          <w:tcPr>
            <w:tcW w:w="120" w:type="dxa"/>
            <w:vAlign w:val="bottom"/>
            <w:shd w:val="clear" w:color="auto" w:fill="62259D"/>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920" w:type="dxa"/>
            <w:vAlign w:val="bottom"/>
            <w:shd w:val="clear" w:color="auto" w:fill="62259D"/>
          </w:tcPr>
          <w:p>
            <w:pPr>
              <w:spacing w:after="0"/>
              <w:rPr>
                <w:sz w:val="12"/>
                <w:szCs w:val="12"/>
                <w:color w:val="auto"/>
              </w:rPr>
            </w:pPr>
          </w:p>
        </w:tc>
        <w:tc>
          <w:tcPr>
            <w:tcW w:w="60" w:type="dxa"/>
            <w:vAlign w:val="bottom"/>
            <w:shd w:val="clear" w:color="auto" w:fill="62259D"/>
          </w:tcPr>
          <w:p>
            <w:pPr>
              <w:spacing w:after="0"/>
              <w:rPr>
                <w:sz w:val="12"/>
                <w:szCs w:val="12"/>
                <w:color w:val="auto"/>
              </w:rPr>
            </w:pPr>
          </w:p>
        </w:tc>
        <w:tc>
          <w:tcPr>
            <w:tcW w:w="140" w:type="dxa"/>
            <w:vAlign w:val="bottom"/>
            <w:shd w:val="clear" w:color="auto" w:fill="62259D"/>
          </w:tcPr>
          <w:p>
            <w:pPr>
              <w:spacing w:after="0"/>
              <w:rPr>
                <w:sz w:val="12"/>
                <w:szCs w:val="12"/>
                <w:color w:val="auto"/>
              </w:rPr>
            </w:pPr>
          </w:p>
        </w:tc>
        <w:tc>
          <w:tcPr>
            <w:tcW w:w="1020" w:type="dxa"/>
            <w:vAlign w:val="bottom"/>
            <w:shd w:val="clear" w:color="auto" w:fill="62259D"/>
          </w:tcPr>
          <w:p>
            <w:pPr>
              <w:spacing w:after="0"/>
              <w:rPr>
                <w:sz w:val="12"/>
                <w:szCs w:val="12"/>
                <w:color w:val="auto"/>
              </w:rPr>
            </w:pPr>
          </w:p>
        </w:tc>
        <w:tc>
          <w:tcPr>
            <w:tcW w:w="200" w:type="dxa"/>
            <w:vAlign w:val="bottom"/>
            <w:shd w:val="clear" w:color="auto" w:fill="62259D"/>
          </w:tcPr>
          <w:p>
            <w:pPr>
              <w:spacing w:after="0"/>
              <w:rPr>
                <w:sz w:val="12"/>
                <w:szCs w:val="12"/>
                <w:color w:val="auto"/>
              </w:rPr>
            </w:pPr>
          </w:p>
        </w:tc>
        <w:tc>
          <w:tcPr>
            <w:tcW w:w="700" w:type="dxa"/>
            <w:vAlign w:val="bottom"/>
            <w:shd w:val="clear" w:color="auto" w:fill="62259D"/>
          </w:tcPr>
          <w:p>
            <w:pPr>
              <w:spacing w:after="0" w:line="144" w:lineRule="exact"/>
              <w:rPr>
                <w:sz w:val="20"/>
                <w:szCs w:val="20"/>
                <w:color w:val="auto"/>
              </w:rPr>
            </w:pPr>
            <w:r>
              <w:rPr>
                <w:rFonts w:ascii="Arial" w:cs="Arial" w:eastAsia="Arial" w:hAnsi="Arial"/>
                <w:sz w:val="13"/>
                <w:szCs w:val="13"/>
                <w:b w:val="1"/>
                <w:bCs w:val="1"/>
                <w:color w:val="FEFEFE"/>
              </w:rPr>
              <w:t>Threshold</w:t>
            </w:r>
          </w:p>
        </w:tc>
        <w:tc>
          <w:tcPr>
            <w:tcW w:w="800" w:type="dxa"/>
            <w:vAlign w:val="bottom"/>
            <w:gridSpan w:val="2"/>
            <w:shd w:val="clear" w:color="auto" w:fill="62259D"/>
          </w:tcPr>
          <w:p>
            <w:pPr>
              <w:jc w:val="center"/>
              <w:spacing w:after="0" w:line="144" w:lineRule="exact"/>
              <w:rPr>
                <w:sz w:val="20"/>
                <w:szCs w:val="20"/>
                <w:color w:val="auto"/>
              </w:rPr>
            </w:pPr>
            <w:r>
              <w:rPr>
                <w:rFonts w:ascii="Arial" w:cs="Arial" w:eastAsia="Arial" w:hAnsi="Arial"/>
                <w:sz w:val="13"/>
                <w:szCs w:val="13"/>
                <w:b w:val="1"/>
                <w:bCs w:val="1"/>
                <w:color w:val="FEFEFE"/>
              </w:rPr>
              <w:t>Target</w:t>
            </w:r>
          </w:p>
        </w:tc>
        <w:tc>
          <w:tcPr>
            <w:tcW w:w="620" w:type="dxa"/>
            <w:vAlign w:val="bottom"/>
            <w:shd w:val="clear" w:color="auto" w:fill="62259D"/>
          </w:tcPr>
          <w:p>
            <w:pPr>
              <w:spacing w:after="0" w:line="144" w:lineRule="exact"/>
              <w:rPr>
                <w:sz w:val="20"/>
                <w:szCs w:val="20"/>
                <w:color w:val="auto"/>
              </w:rPr>
            </w:pPr>
            <w:r>
              <w:rPr>
                <w:rFonts w:ascii="Arial" w:cs="Arial" w:eastAsia="Arial" w:hAnsi="Arial"/>
                <w:sz w:val="13"/>
                <w:szCs w:val="13"/>
                <w:b w:val="1"/>
                <w:bCs w:val="1"/>
                <w:color w:val="FEFEFE"/>
                <w:w w:val="99"/>
              </w:rPr>
              <w:t>Maximum</w:t>
            </w:r>
          </w:p>
        </w:tc>
        <w:tc>
          <w:tcPr>
            <w:tcW w:w="200" w:type="dxa"/>
            <w:vAlign w:val="bottom"/>
            <w:shd w:val="clear" w:color="auto" w:fill="62259D"/>
          </w:tcPr>
          <w:p>
            <w:pPr>
              <w:spacing w:after="0"/>
              <w:rPr>
                <w:sz w:val="12"/>
                <w:szCs w:val="12"/>
                <w:color w:val="auto"/>
              </w:rPr>
            </w:pPr>
          </w:p>
        </w:tc>
        <w:tc>
          <w:tcPr>
            <w:tcW w:w="660" w:type="dxa"/>
            <w:vAlign w:val="bottom"/>
            <w:shd w:val="clear" w:color="auto" w:fill="62259D"/>
          </w:tcPr>
          <w:p>
            <w:pPr>
              <w:jc w:val="center"/>
              <w:spacing w:after="0" w:line="144" w:lineRule="exact"/>
              <w:rPr>
                <w:sz w:val="20"/>
                <w:szCs w:val="20"/>
                <w:color w:val="auto"/>
              </w:rPr>
            </w:pPr>
            <w:r>
              <w:rPr>
                <w:rFonts w:ascii="Arial" w:cs="Arial" w:eastAsia="Arial" w:hAnsi="Arial"/>
                <w:sz w:val="13"/>
                <w:szCs w:val="13"/>
                <w:b w:val="1"/>
                <w:bCs w:val="1"/>
                <w:color w:val="FEFEFE"/>
              </w:rPr>
              <w:t>Threshold</w:t>
            </w:r>
          </w:p>
        </w:tc>
        <w:tc>
          <w:tcPr>
            <w:tcW w:w="1500" w:type="dxa"/>
            <w:vAlign w:val="bottom"/>
            <w:gridSpan w:val="5"/>
            <w:shd w:val="clear" w:color="auto" w:fill="62259D"/>
          </w:tcPr>
          <w:p>
            <w:pPr>
              <w:ind w:left="200"/>
              <w:spacing w:after="0" w:line="144" w:lineRule="exact"/>
              <w:rPr>
                <w:sz w:val="20"/>
                <w:szCs w:val="20"/>
                <w:color w:val="auto"/>
              </w:rPr>
            </w:pPr>
            <w:r>
              <w:rPr>
                <w:rFonts w:ascii="Arial" w:cs="Arial" w:eastAsia="Arial" w:hAnsi="Arial"/>
                <w:sz w:val="13"/>
                <w:szCs w:val="13"/>
                <w:b w:val="1"/>
                <w:bCs w:val="1"/>
                <w:color w:val="FEFEFE"/>
              </w:rPr>
              <w:t>Target   Maximum</w:t>
            </w:r>
          </w:p>
        </w:tc>
        <w:tc>
          <w:tcPr>
            <w:tcW w:w="60" w:type="dxa"/>
            <w:vAlign w:val="bottom"/>
            <w:shd w:val="clear" w:color="auto" w:fill="62259D"/>
          </w:tcPr>
          <w:p>
            <w:pPr>
              <w:spacing w:after="0"/>
              <w:rPr>
                <w:sz w:val="12"/>
                <w:szCs w:val="12"/>
                <w:color w:val="auto"/>
              </w:rPr>
            </w:pPr>
          </w:p>
        </w:tc>
        <w:tc>
          <w:tcPr>
            <w:tcW w:w="80" w:type="dxa"/>
            <w:vAlign w:val="bottom"/>
            <w:shd w:val="clear" w:color="auto" w:fill="62259D"/>
          </w:tcPr>
          <w:p>
            <w:pPr>
              <w:spacing w:after="0"/>
              <w:rPr>
                <w:sz w:val="12"/>
                <w:szCs w:val="12"/>
                <w:color w:val="auto"/>
              </w:rPr>
            </w:pPr>
          </w:p>
        </w:tc>
        <w:tc>
          <w:tcPr>
            <w:tcW w:w="780" w:type="dxa"/>
            <w:vAlign w:val="bottom"/>
            <w:gridSpan w:val="2"/>
            <w:shd w:val="clear" w:color="auto" w:fill="62259D"/>
          </w:tcPr>
          <w:p>
            <w:pPr>
              <w:jc w:val="center"/>
              <w:spacing w:after="0" w:line="144" w:lineRule="exact"/>
              <w:rPr>
                <w:sz w:val="20"/>
                <w:szCs w:val="20"/>
                <w:color w:val="auto"/>
              </w:rPr>
            </w:pPr>
            <w:r>
              <w:rPr>
                <w:rFonts w:ascii="Arial" w:cs="Arial" w:eastAsia="Arial" w:hAnsi="Arial"/>
                <w:sz w:val="13"/>
                <w:szCs w:val="13"/>
                <w:b w:val="1"/>
                <w:bCs w:val="1"/>
                <w:color w:val="FEFEFE"/>
              </w:rPr>
              <w:t>No. of Units</w:t>
            </w:r>
          </w:p>
        </w:tc>
        <w:tc>
          <w:tcPr>
            <w:tcW w:w="180" w:type="dxa"/>
            <w:vAlign w:val="bottom"/>
            <w:shd w:val="clear" w:color="auto" w:fill="62259D"/>
          </w:tcPr>
          <w:p>
            <w:pPr>
              <w:spacing w:after="0"/>
              <w:rPr>
                <w:sz w:val="12"/>
                <w:szCs w:val="12"/>
                <w:color w:val="auto"/>
              </w:rPr>
            </w:pPr>
          </w:p>
        </w:tc>
        <w:tc>
          <w:tcPr>
            <w:tcW w:w="740" w:type="dxa"/>
            <w:vAlign w:val="bottom"/>
            <w:gridSpan w:val="2"/>
            <w:shd w:val="clear" w:color="auto" w:fill="62259D"/>
          </w:tcPr>
          <w:p>
            <w:pPr>
              <w:ind w:left="20"/>
              <w:spacing w:after="0" w:line="144" w:lineRule="exact"/>
              <w:rPr>
                <w:sz w:val="20"/>
                <w:szCs w:val="20"/>
                <w:color w:val="auto"/>
              </w:rPr>
            </w:pPr>
            <w:r>
              <w:rPr>
                <w:rFonts w:ascii="Arial" w:cs="Arial" w:eastAsia="Arial" w:hAnsi="Arial"/>
                <w:sz w:val="13"/>
                <w:szCs w:val="13"/>
                <w:b w:val="1"/>
                <w:bCs w:val="1"/>
                <w:color w:val="FEFEFE"/>
                <w:w w:val="95"/>
              </w:rPr>
              <w:t>Awards</w:t>
            </w:r>
            <w:r>
              <w:rPr>
                <w:rFonts w:ascii="Arial" w:cs="Arial" w:eastAsia="Arial" w:hAnsi="Arial"/>
                <w:sz w:val="16"/>
                <w:szCs w:val="16"/>
                <w:b w:val="1"/>
                <w:bCs w:val="1"/>
                <w:color w:val="FEFEFE"/>
                <w:w w:val="95"/>
                <w:vertAlign w:val="superscript"/>
              </w:rPr>
              <w:t>(2)(3)</w:t>
            </w:r>
          </w:p>
        </w:tc>
        <w:tc>
          <w:tcPr>
            <w:tcW w:w="120" w:type="dxa"/>
            <w:vAlign w:val="bottom"/>
            <w:shd w:val="clear" w:color="auto" w:fill="62259D"/>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0" w:type="dxa"/>
            <w:vAlign w:val="bottom"/>
          </w:tcPr>
          <w:p>
            <w:pPr>
              <w:ind w:left="40"/>
              <w:spacing w:after="0"/>
              <w:rPr>
                <w:sz w:val="20"/>
                <w:szCs w:val="20"/>
                <w:color w:val="auto"/>
              </w:rPr>
            </w:pPr>
            <w:r>
              <w:rPr>
                <w:rFonts w:ascii="Arial" w:cs="Arial" w:eastAsia="Arial" w:hAnsi="Arial"/>
                <w:sz w:val="13"/>
                <w:szCs w:val="13"/>
                <w:b w:val="1"/>
                <w:bCs w:val="1"/>
                <w:color w:val="FEFEFE"/>
              </w:rPr>
              <w:t>​</w:t>
            </w:r>
          </w:p>
        </w:tc>
        <w:tc>
          <w:tcPr>
            <w:tcW w:w="920" w:type="dxa"/>
            <w:vAlign w:val="bottom"/>
            <w:shd w:val="clear" w:color="auto" w:fill="62259D"/>
          </w:tcPr>
          <w:p>
            <w:pPr>
              <w:spacing w:after="0"/>
              <w:rPr>
                <w:sz w:val="20"/>
                <w:szCs w:val="20"/>
                <w:color w:val="auto"/>
              </w:rPr>
            </w:pPr>
            <w:r>
              <w:rPr>
                <w:rFonts w:ascii="Arial" w:cs="Arial" w:eastAsia="Arial" w:hAnsi="Arial"/>
                <w:sz w:val="13"/>
                <w:szCs w:val="13"/>
                <w:b w:val="1"/>
                <w:bCs w:val="1"/>
                <w:color w:val="FEFEFE"/>
              </w:rPr>
              <w:t>Name</w:t>
            </w:r>
          </w:p>
        </w:tc>
        <w:tc>
          <w:tcPr>
            <w:tcW w:w="60" w:type="dxa"/>
            <w:vAlign w:val="bottom"/>
            <w:shd w:val="clear" w:color="auto" w:fill="62259D"/>
          </w:tcPr>
          <w:p>
            <w:pPr>
              <w:ind w:left="40"/>
              <w:spacing w:after="0"/>
              <w:rPr>
                <w:sz w:val="20"/>
                <w:szCs w:val="20"/>
                <w:color w:val="auto"/>
              </w:rPr>
            </w:pPr>
            <w:r>
              <w:rPr>
                <w:rFonts w:ascii="Arial" w:cs="Arial" w:eastAsia="Arial" w:hAnsi="Arial"/>
                <w:sz w:val="1"/>
                <w:szCs w:val="1"/>
                <w:b w:val="1"/>
                <w:bCs w:val="1"/>
                <w:color w:val="FEFEFE"/>
                <w:w w:val="4294942296"/>
              </w:rPr>
              <w:t>​</w:t>
            </w:r>
          </w:p>
        </w:tc>
        <w:tc>
          <w:tcPr>
            <w:tcW w:w="14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w:t>
            </w:r>
          </w:p>
        </w:tc>
        <w:tc>
          <w:tcPr>
            <w:tcW w:w="1020" w:type="dxa"/>
            <w:vAlign w:val="bottom"/>
            <w:shd w:val="clear" w:color="auto" w:fill="62259D"/>
          </w:tcPr>
          <w:p>
            <w:pPr>
              <w:ind w:left="160"/>
              <w:spacing w:after="0"/>
              <w:rPr>
                <w:sz w:val="20"/>
                <w:szCs w:val="20"/>
                <w:color w:val="auto"/>
              </w:rPr>
            </w:pPr>
            <w:r>
              <w:rPr>
                <w:rFonts w:ascii="Arial" w:cs="Arial" w:eastAsia="Arial" w:hAnsi="Arial"/>
                <w:sz w:val="13"/>
                <w:szCs w:val="13"/>
                <w:b w:val="1"/>
                <w:bCs w:val="1"/>
                <w:color w:val="FEFEFE"/>
              </w:rPr>
              <w:t>Grant Date</w:t>
            </w:r>
          </w:p>
        </w:tc>
        <w:tc>
          <w:tcPr>
            <w:tcW w:w="20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 ​</w:t>
            </w:r>
          </w:p>
        </w:tc>
        <w:tc>
          <w:tcPr>
            <w:tcW w:w="700" w:type="dxa"/>
            <w:vAlign w:val="bottom"/>
            <w:shd w:val="clear" w:color="auto" w:fill="62259D"/>
          </w:tcPr>
          <w:p>
            <w:pPr>
              <w:jc w:val="center"/>
              <w:spacing w:after="0"/>
              <w:rPr>
                <w:sz w:val="20"/>
                <w:szCs w:val="20"/>
                <w:color w:val="auto"/>
              </w:rPr>
            </w:pPr>
            <w:r>
              <w:rPr>
                <w:rFonts w:ascii="Arial" w:cs="Arial" w:eastAsia="Arial" w:hAnsi="Arial"/>
                <w:sz w:val="13"/>
                <w:szCs w:val="13"/>
                <w:b w:val="1"/>
                <w:bCs w:val="1"/>
                <w:color w:val="FEFEFE"/>
              </w:rPr>
              <w:t>($)</w:t>
            </w:r>
          </w:p>
        </w:tc>
        <w:tc>
          <w:tcPr>
            <w:tcW w:w="500" w:type="dxa"/>
            <w:vAlign w:val="bottom"/>
            <w:shd w:val="clear" w:color="auto" w:fill="62259D"/>
          </w:tcPr>
          <w:p>
            <w:pPr>
              <w:ind w:left="60"/>
              <w:spacing w:after="0"/>
              <w:rPr>
                <w:sz w:val="20"/>
                <w:szCs w:val="20"/>
                <w:color w:val="auto"/>
              </w:rPr>
            </w:pPr>
            <w:r>
              <w:rPr>
                <w:rFonts w:ascii="Arial" w:cs="Arial" w:eastAsia="Arial" w:hAnsi="Arial"/>
                <w:sz w:val="13"/>
                <w:szCs w:val="13"/>
                <w:b w:val="1"/>
                <w:bCs w:val="1"/>
                <w:color w:val="FEFEFE"/>
              </w:rPr>
              <w:t>​ ​   ($)</w:t>
            </w:r>
          </w:p>
        </w:tc>
        <w:tc>
          <w:tcPr>
            <w:tcW w:w="30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 ​</w:t>
            </w:r>
          </w:p>
        </w:tc>
        <w:tc>
          <w:tcPr>
            <w:tcW w:w="620" w:type="dxa"/>
            <w:vAlign w:val="bottom"/>
            <w:shd w:val="clear" w:color="auto" w:fill="62259D"/>
          </w:tcPr>
          <w:p>
            <w:pPr>
              <w:ind w:left="260"/>
              <w:spacing w:after="0"/>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 ​</w:t>
            </w:r>
          </w:p>
        </w:tc>
        <w:tc>
          <w:tcPr>
            <w:tcW w:w="660" w:type="dxa"/>
            <w:vAlign w:val="bottom"/>
            <w:shd w:val="clear" w:color="auto" w:fill="62259D"/>
          </w:tcPr>
          <w:p>
            <w:pPr>
              <w:jc w:val="center"/>
              <w:spacing w:after="0"/>
              <w:rPr>
                <w:sz w:val="20"/>
                <w:szCs w:val="20"/>
                <w:color w:val="auto"/>
              </w:rPr>
            </w:pPr>
            <w:r>
              <w:rPr>
                <w:rFonts w:ascii="Arial" w:cs="Arial" w:eastAsia="Arial" w:hAnsi="Arial"/>
                <w:sz w:val="13"/>
                <w:szCs w:val="13"/>
                <w:b w:val="1"/>
                <w:bCs w:val="1"/>
                <w:color w:val="FEFEFE"/>
              </w:rPr>
              <w:t>($)</w:t>
            </w:r>
          </w:p>
        </w:tc>
        <w:tc>
          <w:tcPr>
            <w:tcW w:w="54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 ​   ($)</w:t>
            </w:r>
          </w:p>
        </w:tc>
        <w:tc>
          <w:tcPr>
            <w:tcW w:w="34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 ​</w:t>
            </w:r>
          </w:p>
        </w:tc>
        <w:tc>
          <w:tcPr>
            <w:tcW w:w="100" w:type="dxa"/>
            <w:vAlign w:val="bottom"/>
            <w:shd w:val="clear" w:color="auto" w:fill="62259D"/>
          </w:tcPr>
          <w:p>
            <w:pPr>
              <w:spacing w:after="0"/>
              <w:rPr>
                <w:sz w:val="15"/>
                <w:szCs w:val="15"/>
                <w:color w:val="auto"/>
              </w:rPr>
            </w:pPr>
          </w:p>
        </w:tc>
        <w:tc>
          <w:tcPr>
            <w:tcW w:w="460" w:type="dxa"/>
            <w:vAlign w:val="bottom"/>
            <w:shd w:val="clear" w:color="auto" w:fill="62259D"/>
          </w:tcPr>
          <w:p>
            <w:pPr>
              <w:jc w:val="right"/>
              <w:ind w:right="134"/>
              <w:spacing w:after="0"/>
              <w:rPr>
                <w:sz w:val="20"/>
                <w:szCs w:val="20"/>
                <w:color w:val="auto"/>
              </w:rPr>
            </w:pPr>
            <w:r>
              <w:rPr>
                <w:rFonts w:ascii="Arial" w:cs="Arial" w:eastAsia="Arial" w:hAnsi="Arial"/>
                <w:sz w:val="13"/>
                <w:szCs w:val="13"/>
                <w:b w:val="1"/>
                <w:bCs w:val="1"/>
                <w:color w:val="FEFEFE"/>
              </w:rPr>
              <w:t>($)</w:t>
            </w:r>
          </w:p>
        </w:tc>
        <w:tc>
          <w:tcPr>
            <w:tcW w:w="60" w:type="dxa"/>
            <w:vAlign w:val="bottom"/>
            <w:shd w:val="clear" w:color="auto" w:fill="62259D"/>
          </w:tcPr>
          <w:p>
            <w:pPr>
              <w:spacing w:after="0"/>
              <w:rPr>
                <w:sz w:val="15"/>
                <w:szCs w:val="15"/>
                <w:color w:val="auto"/>
              </w:rPr>
            </w:pPr>
          </w:p>
        </w:tc>
        <w:tc>
          <w:tcPr>
            <w:tcW w:w="60" w:type="dxa"/>
            <w:vAlign w:val="bottom"/>
            <w:shd w:val="clear" w:color="auto" w:fill="62259D"/>
          </w:tcPr>
          <w:p>
            <w:pPr>
              <w:ind w:left="40"/>
              <w:spacing w:after="0"/>
              <w:rPr>
                <w:sz w:val="20"/>
                <w:szCs w:val="20"/>
                <w:color w:val="auto"/>
              </w:rPr>
            </w:pPr>
            <w:r>
              <w:rPr>
                <w:rFonts w:ascii="Arial" w:cs="Arial" w:eastAsia="Arial" w:hAnsi="Arial"/>
                <w:sz w:val="1"/>
                <w:szCs w:val="1"/>
                <w:b w:val="1"/>
                <w:bCs w:val="1"/>
                <w:color w:val="FEFEFE"/>
                <w:w w:val="4294942296"/>
              </w:rPr>
              <w:t>​</w:t>
            </w:r>
          </w:p>
        </w:tc>
        <w:tc>
          <w:tcPr>
            <w:tcW w:w="8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62259D"/>
          </w:tcPr>
          <w:p>
            <w:pPr>
              <w:spacing w:after="0"/>
              <w:rPr>
                <w:sz w:val="15"/>
                <w:szCs w:val="15"/>
                <w:color w:val="auto"/>
              </w:rPr>
            </w:pPr>
          </w:p>
        </w:tc>
        <w:tc>
          <w:tcPr>
            <w:tcW w:w="660" w:type="dxa"/>
            <w:vAlign w:val="bottom"/>
            <w:shd w:val="clear" w:color="auto" w:fill="62259D"/>
          </w:tcPr>
          <w:p>
            <w:pPr>
              <w:jc w:val="center"/>
              <w:ind w:right="33"/>
              <w:spacing w:after="0"/>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 ​</w:t>
            </w:r>
          </w:p>
        </w:tc>
        <w:tc>
          <w:tcPr>
            <w:tcW w:w="80" w:type="dxa"/>
            <w:vAlign w:val="bottom"/>
            <w:shd w:val="clear" w:color="auto" w:fill="62259D"/>
          </w:tcPr>
          <w:p>
            <w:pPr>
              <w:spacing w:after="0"/>
              <w:rPr>
                <w:sz w:val="15"/>
                <w:szCs w:val="15"/>
                <w:color w:val="auto"/>
              </w:rPr>
            </w:pPr>
          </w:p>
        </w:tc>
        <w:tc>
          <w:tcPr>
            <w:tcW w:w="660" w:type="dxa"/>
            <w:vAlign w:val="bottom"/>
            <w:shd w:val="clear" w:color="auto" w:fill="62259D"/>
          </w:tcPr>
          <w:p>
            <w:pPr>
              <w:jc w:val="center"/>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62259D"/>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47"/>
        </w:trPr>
        <w:tc>
          <w:tcPr>
            <w:tcW w:w="80" w:type="dxa"/>
            <w:vAlign w:val="bottom"/>
            <w:shd w:val="clear" w:color="auto" w:fill="F2F2F2"/>
          </w:tcPr>
          <w:p>
            <w:pPr>
              <w:spacing w:after="0"/>
              <w:rPr>
                <w:sz w:val="12"/>
                <w:szCs w:val="12"/>
                <w:color w:val="auto"/>
              </w:rPr>
            </w:pPr>
          </w:p>
        </w:tc>
        <w:tc>
          <w:tcPr>
            <w:tcW w:w="920" w:type="dxa"/>
            <w:vAlign w:val="bottom"/>
            <w:shd w:val="clear" w:color="auto" w:fill="F2F2F2"/>
          </w:tcPr>
          <w:p>
            <w:pPr>
              <w:spacing w:after="0" w:line="148" w:lineRule="exact"/>
              <w:rPr>
                <w:sz w:val="20"/>
                <w:szCs w:val="20"/>
                <w:color w:val="auto"/>
              </w:rPr>
            </w:pPr>
            <w:r>
              <w:rPr>
                <w:rFonts w:ascii="Arial" w:cs="Arial" w:eastAsia="Arial" w:hAnsi="Arial"/>
                <w:sz w:val="13"/>
                <w:szCs w:val="13"/>
                <w:b w:val="1"/>
                <w:bCs w:val="1"/>
                <w:color w:val="auto"/>
              </w:rPr>
              <w:t>Bruce</w:t>
            </w:r>
          </w:p>
        </w:tc>
        <w:tc>
          <w:tcPr>
            <w:tcW w:w="60" w:type="dxa"/>
            <w:vAlign w:val="bottom"/>
            <w:shd w:val="clear" w:color="auto" w:fill="F2F2F2"/>
          </w:tcPr>
          <w:p>
            <w:pPr>
              <w:spacing w:after="0"/>
              <w:rPr>
                <w:sz w:val="12"/>
                <w:szCs w:val="12"/>
                <w:color w:val="auto"/>
              </w:rPr>
            </w:pPr>
          </w:p>
        </w:tc>
        <w:tc>
          <w:tcPr>
            <w:tcW w:w="140" w:type="dxa"/>
            <w:vAlign w:val="bottom"/>
            <w:shd w:val="clear" w:color="auto" w:fill="F2F2F2"/>
          </w:tcPr>
          <w:p>
            <w:pPr>
              <w:spacing w:after="0"/>
              <w:rPr>
                <w:sz w:val="12"/>
                <w:szCs w:val="12"/>
                <w:color w:val="auto"/>
              </w:rPr>
            </w:pPr>
          </w:p>
        </w:tc>
        <w:tc>
          <w:tcPr>
            <w:tcW w:w="1020" w:type="dxa"/>
            <w:vAlign w:val="bottom"/>
            <w:shd w:val="clear" w:color="auto" w:fill="F2F2F2"/>
          </w:tcPr>
          <w:p>
            <w:pPr>
              <w:spacing w:after="0"/>
              <w:rPr>
                <w:sz w:val="12"/>
                <w:szCs w:val="12"/>
                <w:color w:val="auto"/>
              </w:rPr>
            </w:pPr>
          </w:p>
        </w:tc>
        <w:tc>
          <w:tcPr>
            <w:tcW w:w="200" w:type="dxa"/>
            <w:vAlign w:val="bottom"/>
            <w:shd w:val="clear" w:color="auto" w:fill="F2F2F2"/>
          </w:tcPr>
          <w:p>
            <w:pPr>
              <w:spacing w:after="0"/>
              <w:rPr>
                <w:sz w:val="12"/>
                <w:szCs w:val="12"/>
                <w:color w:val="auto"/>
              </w:rPr>
            </w:pPr>
          </w:p>
        </w:tc>
        <w:tc>
          <w:tcPr>
            <w:tcW w:w="700" w:type="dxa"/>
            <w:vAlign w:val="bottom"/>
            <w:shd w:val="clear" w:color="auto" w:fill="F2F2F2"/>
          </w:tcPr>
          <w:p>
            <w:pPr>
              <w:spacing w:after="0"/>
              <w:rPr>
                <w:sz w:val="12"/>
                <w:szCs w:val="12"/>
                <w:color w:val="auto"/>
              </w:rPr>
            </w:pPr>
          </w:p>
        </w:tc>
        <w:tc>
          <w:tcPr>
            <w:tcW w:w="500" w:type="dxa"/>
            <w:vAlign w:val="bottom"/>
            <w:shd w:val="clear" w:color="auto" w:fill="F2F2F2"/>
          </w:tcPr>
          <w:p>
            <w:pPr>
              <w:spacing w:after="0"/>
              <w:rPr>
                <w:sz w:val="12"/>
                <w:szCs w:val="12"/>
                <w:color w:val="auto"/>
              </w:rPr>
            </w:pPr>
          </w:p>
        </w:tc>
        <w:tc>
          <w:tcPr>
            <w:tcW w:w="300" w:type="dxa"/>
            <w:vAlign w:val="bottom"/>
            <w:shd w:val="clear" w:color="auto" w:fill="F2F2F2"/>
          </w:tcPr>
          <w:p>
            <w:pPr>
              <w:spacing w:after="0"/>
              <w:rPr>
                <w:sz w:val="12"/>
                <w:szCs w:val="12"/>
                <w:color w:val="auto"/>
              </w:rPr>
            </w:pPr>
          </w:p>
        </w:tc>
        <w:tc>
          <w:tcPr>
            <w:tcW w:w="620" w:type="dxa"/>
            <w:vAlign w:val="bottom"/>
            <w:shd w:val="clear" w:color="auto" w:fill="F2F2F2"/>
          </w:tcPr>
          <w:p>
            <w:pPr>
              <w:spacing w:after="0"/>
              <w:rPr>
                <w:sz w:val="12"/>
                <w:szCs w:val="12"/>
                <w:color w:val="auto"/>
              </w:rPr>
            </w:pPr>
          </w:p>
        </w:tc>
        <w:tc>
          <w:tcPr>
            <w:tcW w:w="200" w:type="dxa"/>
            <w:vAlign w:val="bottom"/>
            <w:shd w:val="clear" w:color="auto" w:fill="F2F2F2"/>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540" w:type="dxa"/>
            <w:vAlign w:val="bottom"/>
            <w:vMerge w:val="restart"/>
            <w:shd w:val="clear" w:color="auto" w:fill="F2F2F2"/>
          </w:tcPr>
          <w:p>
            <w:pPr>
              <w:spacing w:after="0"/>
              <w:rPr>
                <w:sz w:val="20"/>
                <w:szCs w:val="20"/>
                <w:color w:val="auto"/>
              </w:rPr>
            </w:pPr>
            <w:r>
              <w:rPr>
                <w:rFonts w:ascii="Arial" w:cs="Arial" w:eastAsia="Arial" w:hAnsi="Arial"/>
                <w:sz w:val="13"/>
                <w:szCs w:val="13"/>
                <w:color w:val="auto"/>
              </w:rPr>
              <w:t>​​ ​ ​</w:t>
            </w:r>
            <w:r>
              <w:rPr>
                <w:rFonts w:ascii="Arial" w:cs="Arial" w:eastAsia="Arial" w:hAnsi="Arial"/>
                <w:sz w:val="13"/>
                <w:szCs w:val="13"/>
                <w:b w:val="1"/>
                <w:bCs w:val="1"/>
                <w:color w:val="auto"/>
              </w:rPr>
              <w:t>​</w:t>
            </w:r>
          </w:p>
        </w:tc>
        <w:tc>
          <w:tcPr>
            <w:tcW w:w="340" w:type="dxa"/>
            <w:vAlign w:val="bottom"/>
            <w:vMerge w:val="restart"/>
            <w:shd w:val="clear" w:color="auto" w:fill="F2F2F2"/>
          </w:tcPr>
          <w:p>
            <w:pPr>
              <w:jc w:val="right"/>
              <w:ind w:right="15"/>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100" w:type="dxa"/>
            <w:vAlign w:val="bottom"/>
            <w:shd w:val="clear" w:color="auto" w:fill="F2F2F2"/>
          </w:tcPr>
          <w:p>
            <w:pPr>
              <w:spacing w:after="0"/>
              <w:rPr>
                <w:sz w:val="12"/>
                <w:szCs w:val="12"/>
                <w:color w:val="auto"/>
              </w:rPr>
            </w:pPr>
          </w:p>
        </w:tc>
        <w:tc>
          <w:tcPr>
            <w:tcW w:w="460" w:type="dxa"/>
            <w:vAlign w:val="bottom"/>
            <w:shd w:val="clear" w:color="auto" w:fill="F2F2F2"/>
          </w:tcPr>
          <w:p>
            <w:pPr>
              <w:spacing w:after="0"/>
              <w:rPr>
                <w:sz w:val="12"/>
                <w:szCs w:val="12"/>
                <w:color w:val="auto"/>
              </w:rPr>
            </w:pPr>
          </w:p>
        </w:tc>
        <w:tc>
          <w:tcPr>
            <w:tcW w:w="60" w:type="dxa"/>
            <w:vAlign w:val="bottom"/>
            <w:shd w:val="clear" w:color="auto" w:fill="F2F2F2"/>
          </w:tcPr>
          <w:p>
            <w:pPr>
              <w:spacing w:after="0"/>
              <w:rPr>
                <w:sz w:val="12"/>
                <w:szCs w:val="12"/>
                <w:color w:val="auto"/>
              </w:rPr>
            </w:pPr>
          </w:p>
        </w:tc>
        <w:tc>
          <w:tcPr>
            <w:tcW w:w="60" w:type="dxa"/>
            <w:vAlign w:val="bottom"/>
            <w:shd w:val="clear" w:color="auto" w:fill="F2F2F2"/>
          </w:tcPr>
          <w:p>
            <w:pPr>
              <w:spacing w:after="0"/>
              <w:rPr>
                <w:sz w:val="12"/>
                <w:szCs w:val="12"/>
                <w:color w:val="auto"/>
              </w:rPr>
            </w:pPr>
          </w:p>
        </w:tc>
        <w:tc>
          <w:tcPr>
            <w:tcW w:w="80" w:type="dxa"/>
            <w:vAlign w:val="bottom"/>
            <w:shd w:val="clear" w:color="auto" w:fill="F2F2F2"/>
          </w:tcPr>
          <w:p>
            <w:pPr>
              <w:spacing w:after="0"/>
              <w:rPr>
                <w:sz w:val="12"/>
                <w:szCs w:val="12"/>
                <w:color w:val="auto"/>
              </w:rPr>
            </w:pPr>
          </w:p>
        </w:tc>
        <w:tc>
          <w:tcPr>
            <w:tcW w:w="120" w:type="dxa"/>
            <w:vAlign w:val="bottom"/>
            <w:shd w:val="clear" w:color="auto" w:fill="F2F2F2"/>
          </w:tcPr>
          <w:p>
            <w:pPr>
              <w:spacing w:after="0"/>
              <w:rPr>
                <w:sz w:val="12"/>
                <w:szCs w:val="12"/>
                <w:color w:val="auto"/>
              </w:rPr>
            </w:pPr>
          </w:p>
        </w:tc>
        <w:tc>
          <w:tcPr>
            <w:tcW w:w="660" w:type="dxa"/>
            <w:vAlign w:val="bottom"/>
            <w:shd w:val="clear" w:color="auto" w:fill="F2F2F2"/>
          </w:tcPr>
          <w:p>
            <w:pPr>
              <w:spacing w:after="0"/>
              <w:rPr>
                <w:sz w:val="12"/>
                <w:szCs w:val="12"/>
                <w:color w:val="auto"/>
              </w:rPr>
            </w:pPr>
          </w:p>
        </w:tc>
        <w:tc>
          <w:tcPr>
            <w:tcW w:w="180" w:type="dxa"/>
            <w:vAlign w:val="bottom"/>
            <w:shd w:val="clear" w:color="auto" w:fill="F2F2F2"/>
          </w:tcPr>
          <w:p>
            <w:pPr>
              <w:spacing w:after="0"/>
              <w:rPr>
                <w:sz w:val="12"/>
                <w:szCs w:val="12"/>
                <w:color w:val="auto"/>
              </w:rPr>
            </w:pPr>
          </w:p>
        </w:tc>
        <w:tc>
          <w:tcPr>
            <w:tcW w:w="80" w:type="dxa"/>
            <w:vAlign w:val="bottom"/>
            <w:vMerge w:val="restart"/>
            <w:shd w:val="clear" w:color="auto" w:fill="F2F2F2"/>
          </w:tcPr>
          <w:p>
            <w:pPr>
              <w:ind w:left="40"/>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vMerge w:val="restart"/>
            <w:shd w:val="clear" w:color="auto" w:fill="F2F2F2"/>
          </w:tcPr>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1000" w:type="dxa"/>
            <w:vAlign w:val="bottom"/>
            <w:tcBorders>
              <w:bottom w:val="single" w:sz="8" w:color="E7417A"/>
            </w:tcBorders>
            <w:gridSpan w:val="2"/>
            <w:shd w:val="clear" w:color="auto" w:fill="F2F2F2"/>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McClelland</w:t>
            </w:r>
          </w:p>
        </w:tc>
        <w:tc>
          <w:tcPr>
            <w:tcW w:w="200" w:type="dxa"/>
            <w:vAlign w:val="bottom"/>
            <w:tcBorders>
              <w:bottom w:val="single" w:sz="8" w:color="E7417A"/>
            </w:tcBorders>
            <w:gridSpan w:val="2"/>
            <w:shd w:val="clear" w:color="auto" w:fill="F2F2F2"/>
          </w:tcPr>
          <w:p>
            <w:pPr>
              <w:jc w:val="right"/>
              <w:ind w:right="33"/>
              <w:spacing w:after="0"/>
              <w:rPr>
                <w:sz w:val="20"/>
                <w:szCs w:val="20"/>
                <w:color w:val="auto"/>
              </w:rPr>
            </w:pPr>
            <w:r>
              <w:rPr>
                <w:rFonts w:ascii="Arial" w:cs="Arial" w:eastAsia="Arial" w:hAnsi="Arial"/>
                <w:sz w:val="13"/>
                <w:szCs w:val="13"/>
                <w:color w:val="auto"/>
              </w:rPr>
              <w:t>​ ​</w:t>
            </w:r>
          </w:p>
        </w:tc>
        <w:tc>
          <w:tcPr>
            <w:tcW w:w="102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​​750,000​ ​</w:t>
            </w:r>
          </w:p>
        </w:tc>
        <w:tc>
          <w:tcPr>
            <w:tcW w:w="620" w:type="dxa"/>
            <w:vAlign w:val="bottom"/>
            <w:tcBorders>
              <w:bottom w:val="single" w:sz="8" w:color="E7417A"/>
            </w:tcBorders>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E7417A"/>
            </w:tcBorders>
            <w:vMerge w:val="continue"/>
            <w:shd w:val="clear" w:color="auto" w:fill="F2F2F2"/>
          </w:tcPr>
          <w:p>
            <w:pPr>
              <w:spacing w:after="0"/>
              <w:rPr>
                <w:sz w:val="15"/>
                <w:szCs w:val="15"/>
                <w:color w:val="auto"/>
              </w:rPr>
            </w:pPr>
          </w:p>
        </w:tc>
        <w:tc>
          <w:tcPr>
            <w:tcW w:w="340" w:type="dxa"/>
            <w:vAlign w:val="bottom"/>
            <w:tcBorders>
              <w:bottom w:val="single" w:sz="8" w:color="E7417A"/>
            </w:tcBorders>
            <w:vMerge w:val="continue"/>
            <w:shd w:val="clear" w:color="auto" w:fill="F2F2F2"/>
          </w:tcPr>
          <w:p>
            <w:pPr>
              <w:spacing w:after="0"/>
              <w:rPr>
                <w:sz w:val="15"/>
                <w:szCs w:val="15"/>
                <w:color w:val="auto"/>
              </w:rPr>
            </w:pPr>
          </w:p>
        </w:tc>
        <w:tc>
          <w:tcPr>
            <w:tcW w:w="1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E7417A"/>
            </w:tcBorders>
            <w:gridSpan w:val="4"/>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120" w:type="dxa"/>
            <w:vAlign w:val="bottom"/>
            <w:tcBorders>
              <w:bottom w:val="single" w:sz="8" w:color="E7417A"/>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E7417A"/>
            </w:tcBorders>
            <w:vMerge w:val="continue"/>
            <w:shd w:val="clear" w:color="auto" w:fill="F2F2F2"/>
          </w:tcPr>
          <w:p>
            <w:pPr>
              <w:spacing w:after="0"/>
              <w:rPr>
                <w:sz w:val="15"/>
                <w:szCs w:val="15"/>
                <w:color w:val="auto"/>
              </w:rPr>
            </w:pPr>
          </w:p>
        </w:tc>
        <w:tc>
          <w:tcPr>
            <w:tcW w:w="780" w:type="dxa"/>
            <w:vAlign w:val="bottom"/>
            <w:tcBorders>
              <w:bottom w:val="single" w:sz="8" w:color="E7417A"/>
            </w:tcBorders>
            <w:gridSpan w:val="2"/>
            <w:vMerge w:val="continue"/>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line="195"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perscript"/>
              </w:rPr>
              <w:t>​</w:t>
            </w:r>
          </w:p>
        </w:tc>
        <w:tc>
          <w:tcPr>
            <w:tcW w:w="300" w:type="dxa"/>
            <w:vAlign w:val="bottom"/>
            <w:tcBorders>
              <w:bottom w:val="single" w:sz="8" w:color="4C4C4C"/>
            </w:tcBorders>
          </w:tcPr>
          <w:p>
            <w:pPr>
              <w:jc w:val="right"/>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w:t>
            </w:r>
          </w:p>
        </w:tc>
        <w:tc>
          <w:tcPr>
            <w:tcW w:w="620" w:type="dxa"/>
            <w:vAlign w:val="bottom"/>
            <w:tcBorders>
              <w:bottom w:val="single" w:sz="8" w:color="4C4C4C"/>
            </w:tcBorders>
          </w:tcPr>
          <w:p>
            <w:pPr>
              <w:ind w:left="24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540" w:type="dxa"/>
            <w:vAlign w:val="bottom"/>
            <w:tcBorders>
              <w:bottom w:val="single" w:sz="8" w:color="4C4C4C"/>
            </w:tcBorders>
          </w:tcPr>
          <w:p>
            <w:pPr>
              <w:spacing w:after="0" w:line="195"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perscript"/>
              </w:rPr>
              <w:t>​</w:t>
            </w:r>
          </w:p>
        </w:tc>
        <w:tc>
          <w:tcPr>
            <w:tcW w:w="340" w:type="dxa"/>
            <w:vAlign w:val="bottom"/>
            <w:tcBorders>
              <w:bottom w:val="single" w:sz="8" w:color="4C4C4C"/>
            </w:tcBorders>
          </w:tcPr>
          <w:p>
            <w:pPr>
              <w:jc w:val="right"/>
              <w:ind w:right="15"/>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w:t>
            </w:r>
          </w:p>
        </w:tc>
        <w:tc>
          <w:tcPr>
            <w:tcW w:w="100" w:type="dxa"/>
            <w:vAlign w:val="bottom"/>
            <w:tcBorders>
              <w:bottom w:val="single" w:sz="8" w:color="4C4C4C"/>
            </w:tcBorders>
          </w:tcPr>
          <w:p>
            <w:pPr>
              <w:spacing w:after="0" w:line="195"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660" w:type="dxa"/>
            <w:vAlign w:val="bottom"/>
            <w:tcBorders>
              <w:bottom w:val="single" w:sz="8" w:color="4C4C4C"/>
            </w:tcBorders>
            <w:gridSpan w:val="4"/>
          </w:tcPr>
          <w:p>
            <w:pPr>
              <w:jc w:val="right"/>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 ​</w:t>
            </w:r>
          </w:p>
        </w:tc>
        <w:tc>
          <w:tcPr>
            <w:tcW w:w="120" w:type="dxa"/>
            <w:vAlign w:val="bottom"/>
            <w:tcBorders>
              <w:bottom w:val="single" w:sz="8" w:color="4C4C4C"/>
            </w:tcBorders>
          </w:tcPr>
          <w:p>
            <w:pPr>
              <w:ind w:left="60"/>
              <w:spacing w:after="0" w:line="195"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375,000</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860" w:type="dxa"/>
            <w:vAlign w:val="bottom"/>
            <w:tcBorders>
              <w:bottom w:val="single" w:sz="8" w:color="4C4C4C"/>
            </w:tcBorders>
            <w:gridSpan w:val="3"/>
          </w:tcPr>
          <w:p>
            <w:pPr>
              <w:jc w:val="right"/>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1,357,500 </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4C4C4C"/>
            </w:tcBorders>
          </w:tcPr>
          <w:p>
            <w:pPr>
              <w:jc w:val="right"/>
              <w:ind w:right="15"/>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gridSpan w:val="4"/>
          </w:tcPr>
          <w:p>
            <w:pPr>
              <w:jc w:val="right"/>
              <w:spacing w:after="0"/>
              <w:rPr>
                <w:sz w:val="20"/>
                <w:szCs w:val="20"/>
                <w:color w:val="auto"/>
              </w:rPr>
            </w:pPr>
            <w:r>
              <w:rPr>
                <w:rFonts w:ascii="Arial" w:cs="Arial" w:eastAsia="Arial" w:hAnsi="Arial"/>
                <w:sz w:val="13"/>
                <w:szCs w:val="13"/>
                <w:color w:val="auto"/>
              </w:rPr>
              <w:t>— ​​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474,684</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1,718,356</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4C4C4C"/>
            </w:tcBorders>
          </w:tcPr>
          <w:p>
            <w:pPr>
              <w:jc w:val="right"/>
              <w:ind w:right="15"/>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gridSpan w:val="4"/>
          </w:tcPr>
          <w:p>
            <w:pPr>
              <w:jc w:val="right"/>
              <w:spacing w:after="0"/>
              <w:rPr>
                <w:sz w:val="20"/>
                <w:szCs w:val="20"/>
                <w:color w:val="auto"/>
              </w:rPr>
            </w:pPr>
            <w:r>
              <w:rPr>
                <w:rFonts w:ascii="Arial" w:cs="Arial" w:eastAsia="Arial" w:hAnsi="Arial"/>
                <w:sz w:val="13"/>
                <w:szCs w:val="13"/>
                <w:color w:val="auto"/>
              </w:rPr>
              <w:t>— ​​ ​</w:t>
            </w:r>
          </w:p>
        </w:tc>
        <w:tc>
          <w:tcPr>
            <w:tcW w:w="960" w:type="dxa"/>
            <w:vAlign w:val="bottom"/>
            <w:tcBorders>
              <w:bottom w:val="single" w:sz="8" w:color="4C4C4C"/>
            </w:tcBorders>
            <w:gridSpan w:val="3"/>
          </w:tcPr>
          <w:p>
            <w:pPr>
              <w:jc w:val="right"/>
              <w:spacing w:after="0"/>
              <w:rPr>
                <w:sz w:val="20"/>
                <w:szCs w:val="20"/>
                <w:color w:val="auto"/>
              </w:rPr>
            </w:pPr>
            <w:r>
              <w:rPr>
                <w:rFonts w:ascii="Arial" w:cs="Arial" w:eastAsia="Arial" w:hAnsi="Arial"/>
                <w:sz w:val="13"/>
                <w:szCs w:val="13"/>
                <w:color w:val="auto"/>
              </w:rPr>
              <w:t>​​ 3,125,000 ​​ ​</w:t>
            </w:r>
          </w:p>
        </w:tc>
        <w:tc>
          <w:tcPr>
            <w:tcW w:w="860" w:type="dxa"/>
            <w:vAlign w:val="bottom"/>
            <w:tcBorders>
              <w:bottom w:val="single" w:sz="8" w:color="4C4C4C"/>
            </w:tcBorders>
            <w:gridSpan w:val="3"/>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11,312,500 ​​</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5"/>
              <w:spacing w:after="0"/>
              <w:rPr>
                <w:sz w:val="20"/>
                <w:szCs w:val="20"/>
                <w:color w:val="auto"/>
              </w:rPr>
            </w:pPr>
            <w:r>
              <w:rPr>
                <w:rFonts w:ascii="Arial" w:cs="Arial" w:eastAsia="Arial" w:hAnsi="Arial"/>
                <w:sz w:val="13"/>
                <w:szCs w:val="13"/>
                <w:color w:val="auto"/>
              </w:rPr>
              <w:t>​​ ​ ​​132,353​ ​</w:t>
            </w:r>
          </w:p>
        </w:tc>
        <w:tc>
          <w:tcPr>
            <w:tcW w:w="760" w:type="dxa"/>
            <w:vAlign w:val="bottom"/>
            <w:tcBorders>
              <w:bottom w:val="single" w:sz="8" w:color="4C4C4C"/>
            </w:tcBorders>
            <w:gridSpan w:val="5"/>
          </w:tcPr>
          <w:p>
            <w:pPr>
              <w:jc w:val="right"/>
              <w:spacing w:after="0"/>
              <w:rPr>
                <w:sz w:val="20"/>
                <w:szCs w:val="20"/>
                <w:color w:val="auto"/>
              </w:rPr>
            </w:pPr>
            <w:r>
              <w:rPr>
                <w:rFonts w:ascii="Arial" w:cs="Arial" w:eastAsia="Arial" w:hAnsi="Arial"/>
                <w:sz w:val="13"/>
                <w:szCs w:val="13"/>
                <w:color w:val="auto"/>
              </w:rPr>
              <w:t>​ 198,529 ​​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4C4C4C"/>
            </w:tcBorders>
            <w:gridSpan w:val="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479,118</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26"/>
                <w:szCs w:val="26"/>
                <w:color w:val="auto"/>
                <w:vertAlign w:val="superscript"/>
              </w:rPr>
              <w:t>​</w:t>
            </w: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5"/>
              <w:spacing w:after="0"/>
              <w:rPr>
                <w:sz w:val="20"/>
                <w:szCs w:val="20"/>
                <w:color w:val="auto"/>
              </w:rPr>
            </w:pPr>
            <w:r>
              <w:rPr>
                <w:rFonts w:ascii="Arial" w:cs="Arial" w:eastAsia="Arial" w:hAnsi="Arial"/>
                <w:sz w:val="13"/>
                <w:szCs w:val="13"/>
                <w:color w:val="auto"/>
              </w:rPr>
              <w:t>​​ ​ ​​ 88,235​ ​</w:t>
            </w:r>
          </w:p>
        </w:tc>
        <w:tc>
          <w:tcPr>
            <w:tcW w:w="760" w:type="dxa"/>
            <w:vAlign w:val="bottom"/>
            <w:tcBorders>
              <w:bottom w:val="single" w:sz="8" w:color="4C4C4C"/>
            </w:tcBorders>
            <w:gridSpan w:val="5"/>
          </w:tcPr>
          <w:p>
            <w:pPr>
              <w:jc w:val="right"/>
              <w:spacing w:after="0"/>
              <w:rPr>
                <w:sz w:val="20"/>
                <w:szCs w:val="20"/>
                <w:color w:val="auto"/>
              </w:rPr>
            </w:pPr>
            <w:r>
              <w:rPr>
                <w:rFonts w:ascii="Arial" w:cs="Arial" w:eastAsia="Arial" w:hAnsi="Arial"/>
                <w:sz w:val="13"/>
                <w:szCs w:val="13"/>
                <w:color w:val="auto"/>
              </w:rPr>
              <w:t>​ 176,470 ​​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4C4C4C"/>
            </w:tcBorders>
            <w:gridSpan w:val="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515,292</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E7417A"/>
            </w:tcBorders>
            <w:gridSpan w:val="2"/>
            <w:vMerge w:val="continue"/>
          </w:tcPr>
          <w:p>
            <w:pPr>
              <w:spacing w:after="0"/>
              <w:rPr>
                <w:sz w:val="15"/>
                <w:szCs w:val="15"/>
                <w:color w:val="auto"/>
              </w:rPr>
            </w:pPr>
          </w:p>
        </w:tc>
        <w:tc>
          <w:tcPr>
            <w:tcW w:w="200" w:type="dxa"/>
            <w:vAlign w:val="bottom"/>
            <w:tcBorders>
              <w:bottom w:val="single" w:sz="8" w:color="E7417A"/>
            </w:tcBorders>
            <w:gridSpan w:val="2"/>
          </w:tcPr>
          <w:p>
            <w:pPr>
              <w:jc w:val="right"/>
              <w:ind w:right="33"/>
              <w:spacing w:after="0"/>
              <w:rPr>
                <w:sz w:val="20"/>
                <w:szCs w:val="20"/>
                <w:color w:val="auto"/>
              </w:rPr>
            </w:pPr>
            <w:r>
              <w:rPr>
                <w:rFonts w:ascii="Arial" w:cs="Arial" w:eastAsia="Arial" w:hAnsi="Arial"/>
                <w:sz w:val="13"/>
                <w:szCs w:val="13"/>
                <w:color w:val="auto"/>
              </w:rPr>
              <w:t>​ ​</w:t>
            </w:r>
          </w:p>
        </w:tc>
        <w:tc>
          <w:tcPr>
            <w:tcW w:w="102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E7417A"/>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7417A"/>
            </w:tcBorders>
            <w:gridSpan w:val="2"/>
          </w:tcPr>
          <w:p>
            <w:pPr>
              <w:jc w:val="right"/>
              <w:ind w:right="15"/>
              <w:spacing w:after="0"/>
              <w:rPr>
                <w:sz w:val="20"/>
                <w:szCs w:val="20"/>
                <w:color w:val="auto"/>
              </w:rPr>
            </w:pPr>
            <w:r>
              <w:rPr>
                <w:rFonts w:ascii="Arial" w:cs="Arial" w:eastAsia="Arial" w:hAnsi="Arial"/>
                <w:sz w:val="13"/>
                <w:szCs w:val="13"/>
                <w:color w:val="auto"/>
              </w:rPr>
              <w:t>​​ ​ ​​272,943​ ​</w:t>
            </w:r>
          </w:p>
        </w:tc>
        <w:tc>
          <w:tcPr>
            <w:tcW w:w="760" w:type="dxa"/>
            <w:vAlign w:val="bottom"/>
            <w:tcBorders>
              <w:bottom w:val="single" w:sz="8" w:color="E7417A"/>
            </w:tcBorders>
            <w:gridSpan w:val="5"/>
          </w:tcPr>
          <w:p>
            <w:pPr>
              <w:jc w:val="right"/>
              <w:spacing w:after="0"/>
              <w:rPr>
                <w:sz w:val="20"/>
                <w:szCs w:val="20"/>
                <w:color w:val="auto"/>
              </w:rPr>
            </w:pPr>
            <w:r>
              <w:rPr>
                <w:rFonts w:ascii="Arial" w:cs="Arial" w:eastAsia="Arial" w:hAnsi="Arial"/>
                <w:sz w:val="13"/>
                <w:szCs w:val="13"/>
                <w:color w:val="auto"/>
              </w:rPr>
              <w:t>​ 409,414 ​​ ​</w:t>
            </w:r>
          </w:p>
        </w:tc>
        <w:tc>
          <w:tcPr>
            <w:tcW w:w="120" w:type="dxa"/>
            <w:vAlign w:val="bottom"/>
            <w:tcBorders>
              <w:bottom w:val="single" w:sz="8" w:color="E7417A"/>
            </w:tcBorders>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7417A"/>
            </w:tcBorders>
            <w:gridSpan w:val="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988,054</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80" w:type="dxa"/>
            <w:vAlign w:val="bottom"/>
            <w:shd w:val="clear" w:color="auto" w:fill="F2F2F2"/>
          </w:tcPr>
          <w:p>
            <w:pPr>
              <w:spacing w:after="0"/>
              <w:rPr>
                <w:sz w:val="11"/>
                <w:szCs w:val="11"/>
                <w:color w:val="auto"/>
              </w:rPr>
            </w:pPr>
          </w:p>
        </w:tc>
        <w:tc>
          <w:tcPr>
            <w:tcW w:w="920" w:type="dxa"/>
            <w:vAlign w:val="bottom"/>
            <w:shd w:val="clear" w:color="auto" w:fill="F2F2F2"/>
          </w:tcPr>
          <w:p>
            <w:pPr>
              <w:spacing w:after="0" w:line="128" w:lineRule="exact"/>
              <w:rPr>
                <w:sz w:val="20"/>
                <w:szCs w:val="20"/>
                <w:color w:val="auto"/>
              </w:rPr>
            </w:pPr>
            <w:r>
              <w:rPr>
                <w:rFonts w:ascii="Arial" w:cs="Arial" w:eastAsia="Arial" w:hAnsi="Arial"/>
                <w:sz w:val="13"/>
                <w:szCs w:val="13"/>
                <w:b w:val="1"/>
                <w:bCs w:val="1"/>
                <w:color w:val="auto"/>
              </w:rPr>
              <w:t>John</w:t>
            </w:r>
          </w:p>
        </w:tc>
        <w:tc>
          <w:tcPr>
            <w:tcW w:w="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10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500" w:type="dxa"/>
            <w:vAlign w:val="bottom"/>
            <w:shd w:val="clear" w:color="auto" w:fill="F2F2F2"/>
          </w:tcPr>
          <w:p>
            <w:pPr>
              <w:spacing w:after="0"/>
              <w:rPr>
                <w:sz w:val="11"/>
                <w:szCs w:val="11"/>
                <w:color w:val="auto"/>
              </w:rPr>
            </w:pPr>
          </w:p>
        </w:tc>
        <w:tc>
          <w:tcPr>
            <w:tcW w:w="300" w:type="dxa"/>
            <w:vAlign w:val="bottom"/>
            <w:shd w:val="clear" w:color="auto" w:fill="F2F2F2"/>
          </w:tcPr>
          <w:p>
            <w:pPr>
              <w:spacing w:after="0"/>
              <w:rPr>
                <w:sz w:val="11"/>
                <w:szCs w:val="11"/>
                <w:color w:val="auto"/>
              </w:rPr>
            </w:pPr>
          </w:p>
        </w:tc>
        <w:tc>
          <w:tcPr>
            <w:tcW w:w="6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60" w:type="dxa"/>
            <w:vAlign w:val="bottom"/>
            <w:shd w:val="clear" w:color="auto" w:fill="F2F2F2"/>
          </w:tcPr>
          <w:p>
            <w:pPr>
              <w:spacing w:after="0"/>
              <w:rPr>
                <w:sz w:val="11"/>
                <w:szCs w:val="11"/>
                <w:color w:val="auto"/>
              </w:rPr>
            </w:pPr>
          </w:p>
        </w:tc>
        <w:tc>
          <w:tcPr>
            <w:tcW w:w="60" w:type="dxa"/>
            <w:vAlign w:val="bottom"/>
            <w:shd w:val="clear" w:color="auto" w:fill="F2F2F2"/>
          </w:tcPr>
          <w:p>
            <w:pPr>
              <w:spacing w:after="0"/>
              <w:rPr>
                <w:sz w:val="11"/>
                <w:szCs w:val="11"/>
                <w:color w:val="auto"/>
              </w:rPr>
            </w:pPr>
          </w:p>
        </w:tc>
        <w:tc>
          <w:tcPr>
            <w:tcW w:w="6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b w:val="1"/>
                <w:bCs w:val="1"/>
                <w:color w:val="auto"/>
              </w:rPr>
              <w:t>Townsend</w:t>
            </w:r>
          </w:p>
        </w:tc>
        <w:tc>
          <w:tcPr>
            <w:tcW w:w="200" w:type="dxa"/>
            <w:vAlign w:val="bottom"/>
            <w:tcBorders>
              <w:bottom w:val="single" w:sz="8" w:color="E7417A"/>
            </w:tcBorders>
            <w:gridSpan w:val="2"/>
            <w:shd w:val="clear" w:color="auto" w:fill="F2F2F2"/>
          </w:tcPr>
          <w:p>
            <w:pPr>
              <w:jc w:val="right"/>
              <w:ind w:right="33"/>
              <w:spacing w:after="0"/>
              <w:rPr>
                <w:sz w:val="20"/>
                <w:szCs w:val="20"/>
                <w:color w:val="auto"/>
              </w:rPr>
            </w:pPr>
            <w:r>
              <w:rPr>
                <w:rFonts w:ascii="Arial" w:cs="Arial" w:eastAsia="Arial" w:hAnsi="Arial"/>
                <w:sz w:val="13"/>
                <w:szCs w:val="13"/>
                <w:color w:val="auto"/>
              </w:rPr>
              <w:t>​ ​</w:t>
            </w:r>
          </w:p>
        </w:tc>
        <w:tc>
          <w:tcPr>
            <w:tcW w:w="102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​​375,000​ ​</w:t>
            </w:r>
          </w:p>
        </w:tc>
        <w:tc>
          <w:tcPr>
            <w:tcW w:w="620" w:type="dxa"/>
            <w:vAlign w:val="bottom"/>
            <w:tcBorders>
              <w:bottom w:val="single" w:sz="8" w:color="E7417A"/>
            </w:tcBorders>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E7417A"/>
            </w:tcBorders>
            <w:shd w:val="clear" w:color="auto" w:fill="F2F2F2"/>
          </w:tcPr>
          <w:p>
            <w:pPr>
              <w:jc w:val="right"/>
              <w:ind w:right="15"/>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E7417A"/>
            </w:tcBorders>
            <w:gridSpan w:val="4"/>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120" w:type="dxa"/>
            <w:vAlign w:val="bottom"/>
            <w:tcBorders>
              <w:bottom w:val="single" w:sz="8" w:color="E7417A"/>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E7417A"/>
            </w:tcBorders>
            <w:shd w:val="clear" w:color="auto" w:fill="F2F2F2"/>
          </w:tcPr>
          <w:p>
            <w:pPr>
              <w:ind w:left="40"/>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9"/>
        </w:trPr>
        <w:tc>
          <w:tcPr>
            <w:tcW w:w="8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b w:val="1"/>
                <w:bCs w:val="1"/>
                <w:color w:val="auto"/>
              </w:rPr>
              <w:t>Sam Bucci</w:t>
            </w:r>
          </w:p>
        </w:tc>
        <w:tc>
          <w:tcPr>
            <w:tcW w:w="200" w:type="dxa"/>
            <w:vAlign w:val="bottom"/>
            <w:tcBorders>
              <w:bottom w:val="single" w:sz="8" w:color="E7417A"/>
            </w:tcBorders>
            <w:gridSpan w:val="2"/>
            <w:shd w:val="clear" w:color="auto" w:fill="F2F2F2"/>
          </w:tcPr>
          <w:p>
            <w:pPr>
              <w:jc w:val="right"/>
              <w:ind w:right="33"/>
              <w:spacing w:after="0"/>
              <w:rPr>
                <w:sz w:val="20"/>
                <w:szCs w:val="20"/>
                <w:color w:val="auto"/>
              </w:rPr>
            </w:pPr>
            <w:r>
              <w:rPr>
                <w:rFonts w:ascii="Arial" w:cs="Arial" w:eastAsia="Arial" w:hAnsi="Arial"/>
                <w:sz w:val="13"/>
                <w:szCs w:val="13"/>
                <w:color w:val="auto"/>
              </w:rPr>
              <w:t>​ ​</w:t>
            </w:r>
          </w:p>
        </w:tc>
        <w:tc>
          <w:tcPr>
            <w:tcW w:w="102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​​525,000​ ​</w:t>
            </w:r>
          </w:p>
        </w:tc>
        <w:tc>
          <w:tcPr>
            <w:tcW w:w="620" w:type="dxa"/>
            <w:vAlign w:val="bottom"/>
            <w:tcBorders>
              <w:bottom w:val="single" w:sz="8" w:color="E7417A"/>
            </w:tcBorders>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E7417A"/>
            </w:tcBorders>
            <w:shd w:val="clear" w:color="auto" w:fill="F2F2F2"/>
          </w:tcPr>
          <w:p>
            <w:pPr>
              <w:jc w:val="right"/>
              <w:ind w:right="15"/>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7417A"/>
            </w:tcBorders>
            <w:gridSpan w:val="4"/>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120" w:type="dxa"/>
            <w:vAlign w:val="bottom"/>
            <w:tcBorders>
              <w:bottom w:val="single" w:sz="8" w:color="E7417A"/>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E7417A"/>
            </w:tcBorders>
            <w:shd w:val="clear" w:color="auto" w:fill="F2F2F2"/>
          </w:tcPr>
          <w:p>
            <w:pPr>
              <w:ind w:left="40"/>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line="195"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perscript"/>
              </w:rPr>
              <w:t>​</w:t>
            </w:r>
          </w:p>
        </w:tc>
        <w:tc>
          <w:tcPr>
            <w:tcW w:w="300" w:type="dxa"/>
            <w:vAlign w:val="bottom"/>
            <w:tcBorders>
              <w:bottom w:val="single" w:sz="8" w:color="4C4C4C"/>
            </w:tcBorders>
          </w:tcPr>
          <w:p>
            <w:pPr>
              <w:jc w:val="right"/>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w:t>
            </w:r>
          </w:p>
        </w:tc>
        <w:tc>
          <w:tcPr>
            <w:tcW w:w="620" w:type="dxa"/>
            <w:vAlign w:val="bottom"/>
            <w:tcBorders>
              <w:bottom w:val="single" w:sz="8" w:color="4C4C4C"/>
            </w:tcBorders>
          </w:tcPr>
          <w:p>
            <w:pPr>
              <w:ind w:left="24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540" w:type="dxa"/>
            <w:vAlign w:val="bottom"/>
            <w:tcBorders>
              <w:bottom w:val="single" w:sz="8" w:color="4C4C4C"/>
            </w:tcBorders>
          </w:tcPr>
          <w:p>
            <w:pPr>
              <w:spacing w:after="0" w:line="195"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perscript"/>
              </w:rPr>
              <w:t>​</w:t>
            </w:r>
          </w:p>
        </w:tc>
        <w:tc>
          <w:tcPr>
            <w:tcW w:w="340" w:type="dxa"/>
            <w:vAlign w:val="bottom"/>
            <w:tcBorders>
              <w:bottom w:val="single" w:sz="8" w:color="4C4C4C"/>
            </w:tcBorders>
          </w:tcPr>
          <w:p>
            <w:pPr>
              <w:jc w:val="right"/>
              <w:ind w:right="15"/>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w:t>
            </w:r>
          </w:p>
        </w:tc>
        <w:tc>
          <w:tcPr>
            <w:tcW w:w="100" w:type="dxa"/>
            <w:vAlign w:val="bottom"/>
            <w:tcBorders>
              <w:bottom w:val="single" w:sz="8" w:color="4C4C4C"/>
            </w:tcBorders>
          </w:tcPr>
          <w:p>
            <w:pPr>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660" w:type="dxa"/>
            <w:vAlign w:val="bottom"/>
            <w:tcBorders>
              <w:bottom w:val="single" w:sz="8" w:color="4C4C4C"/>
            </w:tcBorders>
            <w:gridSpan w:val="4"/>
          </w:tcPr>
          <w:p>
            <w:pPr>
              <w:jc w:val="right"/>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 ​</w:t>
            </w:r>
          </w:p>
        </w:tc>
        <w:tc>
          <w:tcPr>
            <w:tcW w:w="120" w:type="dxa"/>
            <w:vAlign w:val="bottom"/>
            <w:tcBorders>
              <w:bottom w:val="single" w:sz="8" w:color="4C4C4C"/>
            </w:tcBorders>
          </w:tcPr>
          <w:p>
            <w:pPr>
              <w:ind w:left="6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250,000</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4C4C4C"/>
            </w:tcBorders>
          </w:tcPr>
          <w:p>
            <w:pPr>
              <w:ind w:left="4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905,000</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4C4C4C"/>
            </w:tcBorders>
          </w:tcPr>
          <w:p>
            <w:pPr>
              <w:jc w:val="right"/>
              <w:ind w:right="15"/>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4C4C4C"/>
            </w:tcBorders>
          </w:tcPr>
          <w:p>
            <w:pPr>
              <w:spacing w:after="0"/>
              <w:rPr>
                <w:sz w:val="17"/>
                <w:szCs w:val="17"/>
                <w:color w:val="auto"/>
              </w:rPr>
            </w:pPr>
          </w:p>
        </w:tc>
        <w:tc>
          <w:tcPr>
            <w:tcW w:w="200" w:type="dxa"/>
            <w:vAlign w:val="bottom"/>
            <w:tcBorders>
              <w:bottom w:val="single" w:sz="8" w:color="4C4C4C"/>
            </w:tcBorders>
            <w:gridSpan w:val="3"/>
          </w:tcPr>
          <w:p>
            <w:pPr>
              <w:jc w:val="right"/>
              <w:spacing w:after="0"/>
              <w:rPr>
                <w:sz w:val="20"/>
                <w:szCs w:val="20"/>
                <w:color w:val="auto"/>
              </w:rPr>
            </w:pPr>
            <w:r>
              <w:rPr>
                <w:rFonts w:ascii="Arial" w:cs="Arial" w:eastAsia="Arial" w:hAnsi="Arial"/>
                <w:sz w:val="13"/>
                <w:szCs w:val="13"/>
                <w:color w:val="auto"/>
              </w:rPr>
              <w:t>​​​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105,485</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381,856</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5"/>
              <w:spacing w:after="0"/>
              <w:rPr>
                <w:sz w:val="20"/>
                <w:szCs w:val="20"/>
                <w:color w:val="auto"/>
              </w:rPr>
            </w:pPr>
            <w:r>
              <w:rPr>
                <w:rFonts w:ascii="Arial" w:cs="Arial" w:eastAsia="Arial" w:hAnsi="Arial"/>
                <w:sz w:val="13"/>
                <w:szCs w:val="13"/>
                <w:color w:val="auto"/>
              </w:rPr>
              <w:t>​​ ​ ​​150,000​ ​</w:t>
            </w:r>
          </w:p>
        </w:tc>
        <w:tc>
          <w:tcPr>
            <w:tcW w:w="760" w:type="dxa"/>
            <w:vAlign w:val="bottom"/>
            <w:tcBorders>
              <w:bottom w:val="single" w:sz="8" w:color="4C4C4C"/>
            </w:tcBorders>
            <w:gridSpan w:val="5"/>
          </w:tcPr>
          <w:p>
            <w:pPr>
              <w:jc w:val="right"/>
              <w:spacing w:after="0"/>
              <w:rPr>
                <w:sz w:val="20"/>
                <w:szCs w:val="20"/>
                <w:color w:val="auto"/>
              </w:rPr>
            </w:pPr>
            <w:r>
              <w:rPr>
                <w:rFonts w:ascii="Arial" w:cs="Arial" w:eastAsia="Arial" w:hAnsi="Arial"/>
                <w:sz w:val="13"/>
                <w:szCs w:val="13"/>
                <w:color w:val="auto"/>
              </w:rPr>
              <w:t>​ 225,000 ​​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4C4C4C"/>
            </w:tcBorders>
            <w:gridSpan w:val="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543,000</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spacing w:after="0"/>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w:t>
            </w: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5"/>
              <w:spacing w:after="0"/>
              <w:rPr>
                <w:sz w:val="20"/>
                <w:szCs w:val="20"/>
                <w:color w:val="auto"/>
              </w:rPr>
            </w:pPr>
            <w:r>
              <w:rPr>
                <w:rFonts w:ascii="Arial" w:cs="Arial" w:eastAsia="Arial" w:hAnsi="Arial"/>
                <w:sz w:val="13"/>
                <w:szCs w:val="13"/>
                <w:color w:val="auto"/>
              </w:rPr>
              <w:t>​​ ​ ​​100,000​ ​</w:t>
            </w:r>
          </w:p>
        </w:tc>
        <w:tc>
          <w:tcPr>
            <w:tcW w:w="760" w:type="dxa"/>
            <w:vAlign w:val="bottom"/>
            <w:tcBorders>
              <w:bottom w:val="single" w:sz="8" w:color="4C4C4C"/>
            </w:tcBorders>
            <w:gridSpan w:val="5"/>
          </w:tcPr>
          <w:p>
            <w:pPr>
              <w:jc w:val="right"/>
              <w:spacing w:after="0"/>
              <w:rPr>
                <w:sz w:val="20"/>
                <w:szCs w:val="20"/>
                <w:color w:val="auto"/>
              </w:rPr>
            </w:pPr>
            <w:r>
              <w:rPr>
                <w:rFonts w:ascii="Arial" w:cs="Arial" w:eastAsia="Arial" w:hAnsi="Arial"/>
                <w:sz w:val="13"/>
                <w:szCs w:val="13"/>
                <w:color w:val="auto"/>
              </w:rPr>
              <w:t>​ 200,000 ​​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4C4C4C"/>
            </w:tcBorders>
            <w:gridSpan w:val="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584,000</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E7417A"/>
            </w:tcBorders>
            <w:gridSpan w:val="2"/>
            <w:vMerge w:val="continue"/>
          </w:tcPr>
          <w:p>
            <w:pPr>
              <w:spacing w:after="0"/>
              <w:rPr>
                <w:sz w:val="15"/>
                <w:szCs w:val="15"/>
                <w:color w:val="auto"/>
              </w:rPr>
            </w:pPr>
          </w:p>
        </w:tc>
        <w:tc>
          <w:tcPr>
            <w:tcW w:w="200" w:type="dxa"/>
            <w:vAlign w:val="bottom"/>
            <w:tcBorders>
              <w:bottom w:val="single" w:sz="8" w:color="E7417A"/>
            </w:tcBorders>
            <w:gridSpan w:val="2"/>
          </w:tcPr>
          <w:p>
            <w:pPr>
              <w:jc w:val="right"/>
              <w:ind w:right="33"/>
              <w:spacing w:after="0"/>
              <w:rPr>
                <w:sz w:val="20"/>
                <w:szCs w:val="20"/>
                <w:color w:val="auto"/>
              </w:rPr>
            </w:pPr>
            <w:r>
              <w:rPr>
                <w:rFonts w:ascii="Arial" w:cs="Arial" w:eastAsia="Arial" w:hAnsi="Arial"/>
                <w:sz w:val="13"/>
                <w:szCs w:val="13"/>
                <w:color w:val="auto"/>
              </w:rPr>
              <w:t>​ ​</w:t>
            </w:r>
          </w:p>
        </w:tc>
        <w:tc>
          <w:tcPr>
            <w:tcW w:w="102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E7417A"/>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7417A"/>
            </w:tcBorders>
            <w:gridSpan w:val="2"/>
          </w:tcPr>
          <w:p>
            <w:pPr>
              <w:jc w:val="right"/>
              <w:ind w:right="15"/>
              <w:spacing w:after="0"/>
              <w:rPr>
                <w:sz w:val="20"/>
                <w:szCs w:val="20"/>
                <w:color w:val="auto"/>
              </w:rPr>
            </w:pPr>
            <w:r>
              <w:rPr>
                <w:rFonts w:ascii="Arial" w:cs="Arial" w:eastAsia="Arial" w:hAnsi="Arial"/>
                <w:sz w:val="13"/>
                <w:szCs w:val="13"/>
                <w:color w:val="auto"/>
              </w:rPr>
              <w:t>​​ ​ ​​ 60,654​ ​</w:t>
            </w:r>
          </w:p>
        </w:tc>
        <w:tc>
          <w:tcPr>
            <w:tcW w:w="100" w:type="dxa"/>
            <w:vAlign w:val="bottom"/>
            <w:tcBorders>
              <w:bottom w:val="single" w:sz="8" w:color="E7417A"/>
            </w:tcBorders>
          </w:tcPr>
          <w:p>
            <w:pPr>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90,981</w:t>
            </w:r>
          </w:p>
        </w:tc>
        <w:tc>
          <w:tcPr>
            <w:tcW w:w="200" w:type="dxa"/>
            <w:vAlign w:val="bottom"/>
            <w:tcBorders>
              <w:bottom w:val="single" w:sz="8" w:color="E7417A"/>
            </w:tcBorders>
            <w:gridSpan w:val="3"/>
          </w:tcPr>
          <w:p>
            <w:pPr>
              <w:jc w:val="right"/>
              <w:spacing w:after="0"/>
              <w:rPr>
                <w:sz w:val="20"/>
                <w:szCs w:val="20"/>
                <w:color w:val="auto"/>
              </w:rPr>
            </w:pPr>
            <w:r>
              <w:rPr>
                <w:rFonts w:ascii="Arial" w:cs="Arial" w:eastAsia="Arial" w:hAnsi="Arial"/>
                <w:sz w:val="13"/>
                <w:szCs w:val="13"/>
                <w:color w:val="auto"/>
              </w:rPr>
              <w:t>​​ ​</w:t>
            </w:r>
          </w:p>
        </w:tc>
        <w:tc>
          <w:tcPr>
            <w:tcW w:w="120" w:type="dxa"/>
            <w:vAlign w:val="bottom"/>
            <w:tcBorders>
              <w:bottom w:val="single" w:sz="8" w:color="E7417A"/>
            </w:tcBorders>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7417A"/>
            </w:tcBorders>
            <w:gridSpan w:val="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219,567</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80" w:type="dxa"/>
            <w:vAlign w:val="bottom"/>
            <w:shd w:val="clear" w:color="auto" w:fill="F2F2F2"/>
          </w:tcPr>
          <w:p>
            <w:pPr>
              <w:spacing w:after="0"/>
              <w:rPr>
                <w:sz w:val="11"/>
                <w:szCs w:val="11"/>
                <w:color w:val="auto"/>
              </w:rPr>
            </w:pPr>
          </w:p>
        </w:tc>
        <w:tc>
          <w:tcPr>
            <w:tcW w:w="920" w:type="dxa"/>
            <w:vAlign w:val="bottom"/>
            <w:shd w:val="clear" w:color="auto" w:fill="F2F2F2"/>
          </w:tcPr>
          <w:p>
            <w:pPr>
              <w:spacing w:after="0" w:line="128" w:lineRule="exact"/>
              <w:rPr>
                <w:sz w:val="20"/>
                <w:szCs w:val="20"/>
                <w:color w:val="auto"/>
              </w:rPr>
            </w:pPr>
            <w:r>
              <w:rPr>
                <w:rFonts w:ascii="Arial" w:cs="Arial" w:eastAsia="Arial" w:hAnsi="Arial"/>
                <w:sz w:val="13"/>
                <w:szCs w:val="13"/>
                <w:b w:val="1"/>
                <w:bCs w:val="1"/>
                <w:color w:val="auto"/>
              </w:rPr>
              <w:t>Patrick</w:t>
            </w:r>
          </w:p>
        </w:tc>
        <w:tc>
          <w:tcPr>
            <w:tcW w:w="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10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500" w:type="dxa"/>
            <w:vAlign w:val="bottom"/>
            <w:shd w:val="clear" w:color="auto" w:fill="F2F2F2"/>
          </w:tcPr>
          <w:p>
            <w:pPr>
              <w:spacing w:after="0"/>
              <w:rPr>
                <w:sz w:val="11"/>
                <w:szCs w:val="11"/>
                <w:color w:val="auto"/>
              </w:rPr>
            </w:pPr>
          </w:p>
        </w:tc>
        <w:tc>
          <w:tcPr>
            <w:tcW w:w="300" w:type="dxa"/>
            <w:vAlign w:val="bottom"/>
            <w:shd w:val="clear" w:color="auto" w:fill="F2F2F2"/>
          </w:tcPr>
          <w:p>
            <w:pPr>
              <w:spacing w:after="0"/>
              <w:rPr>
                <w:sz w:val="11"/>
                <w:szCs w:val="11"/>
                <w:color w:val="auto"/>
              </w:rPr>
            </w:pPr>
          </w:p>
        </w:tc>
        <w:tc>
          <w:tcPr>
            <w:tcW w:w="6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60" w:type="dxa"/>
            <w:vAlign w:val="bottom"/>
            <w:shd w:val="clear" w:color="auto" w:fill="F2F2F2"/>
          </w:tcPr>
          <w:p>
            <w:pPr>
              <w:spacing w:after="0"/>
              <w:rPr>
                <w:sz w:val="11"/>
                <w:szCs w:val="11"/>
                <w:color w:val="auto"/>
              </w:rPr>
            </w:pPr>
          </w:p>
        </w:tc>
        <w:tc>
          <w:tcPr>
            <w:tcW w:w="60" w:type="dxa"/>
            <w:vAlign w:val="bottom"/>
            <w:shd w:val="clear" w:color="auto" w:fill="F2F2F2"/>
          </w:tcPr>
          <w:p>
            <w:pPr>
              <w:spacing w:after="0"/>
              <w:rPr>
                <w:sz w:val="11"/>
                <w:szCs w:val="11"/>
                <w:color w:val="auto"/>
              </w:rPr>
            </w:pPr>
          </w:p>
        </w:tc>
        <w:tc>
          <w:tcPr>
            <w:tcW w:w="6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000" w:type="dxa"/>
            <w:vAlign w:val="bottom"/>
            <w:tcBorders>
              <w:bottom w:val="single" w:sz="8" w:color="E7417A"/>
            </w:tcBorders>
            <w:gridSpan w:val="2"/>
            <w:shd w:val="clear" w:color="auto" w:fill="F2F2F2"/>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Macken</w:t>
            </w:r>
          </w:p>
        </w:tc>
        <w:tc>
          <w:tcPr>
            <w:tcW w:w="200" w:type="dxa"/>
            <w:vAlign w:val="bottom"/>
            <w:tcBorders>
              <w:bottom w:val="single" w:sz="8" w:color="E7417A"/>
            </w:tcBorders>
            <w:gridSpan w:val="2"/>
            <w:shd w:val="clear" w:color="auto" w:fill="F2F2F2"/>
          </w:tcPr>
          <w:p>
            <w:pPr>
              <w:jc w:val="right"/>
              <w:ind w:right="33"/>
              <w:spacing w:after="0"/>
              <w:rPr>
                <w:sz w:val="20"/>
                <w:szCs w:val="20"/>
                <w:color w:val="auto"/>
              </w:rPr>
            </w:pPr>
            <w:r>
              <w:rPr>
                <w:rFonts w:ascii="Arial" w:cs="Arial" w:eastAsia="Arial" w:hAnsi="Arial"/>
                <w:sz w:val="13"/>
                <w:szCs w:val="13"/>
                <w:color w:val="auto"/>
              </w:rPr>
              <w:t>​ ​</w:t>
            </w:r>
          </w:p>
        </w:tc>
        <w:tc>
          <w:tcPr>
            <w:tcW w:w="102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​​358,875​ ​</w:t>
            </w:r>
          </w:p>
        </w:tc>
        <w:tc>
          <w:tcPr>
            <w:tcW w:w="620" w:type="dxa"/>
            <w:vAlign w:val="bottom"/>
            <w:tcBorders>
              <w:bottom w:val="single" w:sz="8" w:color="E7417A"/>
            </w:tcBorders>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E7417A"/>
            </w:tcBorders>
            <w:shd w:val="clear" w:color="auto" w:fill="F2F2F2"/>
          </w:tcPr>
          <w:p>
            <w:pPr>
              <w:jc w:val="right"/>
              <w:ind w:right="15"/>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E7417A"/>
            </w:tcBorders>
            <w:gridSpan w:val="4"/>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120" w:type="dxa"/>
            <w:vAlign w:val="bottom"/>
            <w:tcBorders>
              <w:bottom w:val="single" w:sz="8" w:color="E7417A"/>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E7417A"/>
            </w:tcBorders>
            <w:shd w:val="clear" w:color="auto" w:fill="F2F2F2"/>
          </w:tcPr>
          <w:p>
            <w:pPr>
              <w:ind w:left="40"/>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line="195"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perscript"/>
              </w:rPr>
              <w:t>​</w:t>
            </w:r>
          </w:p>
        </w:tc>
        <w:tc>
          <w:tcPr>
            <w:tcW w:w="300" w:type="dxa"/>
            <w:vAlign w:val="bottom"/>
            <w:tcBorders>
              <w:bottom w:val="single" w:sz="8" w:color="4C4C4C"/>
            </w:tcBorders>
          </w:tcPr>
          <w:p>
            <w:pPr>
              <w:jc w:val="right"/>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w:t>
            </w:r>
          </w:p>
        </w:tc>
        <w:tc>
          <w:tcPr>
            <w:tcW w:w="620" w:type="dxa"/>
            <w:vAlign w:val="bottom"/>
            <w:tcBorders>
              <w:bottom w:val="single" w:sz="8" w:color="4C4C4C"/>
            </w:tcBorders>
          </w:tcPr>
          <w:p>
            <w:pPr>
              <w:ind w:left="24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540" w:type="dxa"/>
            <w:vAlign w:val="bottom"/>
            <w:tcBorders>
              <w:bottom w:val="single" w:sz="8" w:color="4C4C4C"/>
            </w:tcBorders>
          </w:tcPr>
          <w:p>
            <w:pPr>
              <w:spacing w:after="0" w:line="195"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perscript"/>
              </w:rPr>
              <w:t>​</w:t>
            </w:r>
          </w:p>
        </w:tc>
        <w:tc>
          <w:tcPr>
            <w:tcW w:w="340" w:type="dxa"/>
            <w:vAlign w:val="bottom"/>
            <w:tcBorders>
              <w:bottom w:val="single" w:sz="8" w:color="4C4C4C"/>
            </w:tcBorders>
          </w:tcPr>
          <w:p>
            <w:pPr>
              <w:jc w:val="right"/>
              <w:ind w:right="15"/>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w:t>
            </w:r>
          </w:p>
        </w:tc>
        <w:tc>
          <w:tcPr>
            <w:tcW w:w="100" w:type="dxa"/>
            <w:vAlign w:val="bottom"/>
            <w:tcBorders>
              <w:bottom w:val="single" w:sz="8" w:color="4C4C4C"/>
            </w:tcBorders>
          </w:tcPr>
          <w:p>
            <w:pPr>
              <w:spacing w:after="0" w:line="195"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660" w:type="dxa"/>
            <w:vAlign w:val="bottom"/>
            <w:tcBorders>
              <w:bottom w:val="single" w:sz="8" w:color="4C4C4C"/>
            </w:tcBorders>
            <w:gridSpan w:val="4"/>
          </w:tcPr>
          <w:p>
            <w:pPr>
              <w:jc w:val="right"/>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 ​</w:t>
            </w:r>
          </w:p>
        </w:tc>
        <w:tc>
          <w:tcPr>
            <w:tcW w:w="120" w:type="dxa"/>
            <w:vAlign w:val="bottom"/>
            <w:tcBorders>
              <w:bottom w:val="single" w:sz="8" w:color="4C4C4C"/>
            </w:tcBorders>
          </w:tcPr>
          <w:p>
            <w:pPr>
              <w:ind w:left="60"/>
              <w:spacing w:after="0" w:line="195"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162,500</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4C4C4C"/>
            </w:tcBorders>
          </w:tcPr>
          <w:p>
            <w:pPr>
              <w:ind w:left="40"/>
              <w:spacing w:after="0" w:line="195"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588,250</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ind w:left="36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4C4C4C"/>
            </w:tcBorders>
          </w:tcPr>
          <w:p>
            <w:pPr>
              <w:jc w:val="right"/>
              <w:ind w:right="15"/>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gridSpan w:val="4"/>
          </w:tcPr>
          <w:p>
            <w:pPr>
              <w:jc w:val="right"/>
              <w:spacing w:after="0"/>
              <w:rPr>
                <w:sz w:val="20"/>
                <w:szCs w:val="20"/>
                <w:color w:val="auto"/>
              </w:rPr>
            </w:pPr>
            <w:r>
              <w:rPr>
                <w:rFonts w:ascii="Arial" w:cs="Arial" w:eastAsia="Arial" w:hAnsi="Arial"/>
                <w:sz w:val="13"/>
                <w:szCs w:val="13"/>
                <w:color w:val="auto"/>
              </w:rPr>
              <w:t>— ​​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89,662</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324,576</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ind w:left="36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5"/>
              <w:spacing w:after="0"/>
              <w:rPr>
                <w:sz w:val="20"/>
                <w:szCs w:val="20"/>
                <w:color w:val="auto"/>
              </w:rPr>
            </w:pPr>
            <w:r>
              <w:rPr>
                <w:rFonts w:ascii="Arial" w:cs="Arial" w:eastAsia="Arial" w:hAnsi="Arial"/>
                <w:sz w:val="13"/>
                <w:szCs w:val="13"/>
                <w:color w:val="auto"/>
              </w:rPr>
              <w:t>​​ ​ ​​ 97,500​ ​</w:t>
            </w:r>
          </w:p>
        </w:tc>
        <w:tc>
          <w:tcPr>
            <w:tcW w:w="760" w:type="dxa"/>
            <w:vAlign w:val="bottom"/>
            <w:tcBorders>
              <w:bottom w:val="single" w:sz="8" w:color="4C4C4C"/>
            </w:tcBorders>
            <w:gridSpan w:val="5"/>
          </w:tcPr>
          <w:p>
            <w:pPr>
              <w:jc w:val="right"/>
              <w:spacing w:after="0"/>
              <w:rPr>
                <w:sz w:val="20"/>
                <w:szCs w:val="20"/>
                <w:color w:val="auto"/>
              </w:rPr>
            </w:pPr>
            <w:r>
              <w:rPr>
                <w:rFonts w:ascii="Arial" w:cs="Arial" w:eastAsia="Arial" w:hAnsi="Arial"/>
                <w:sz w:val="13"/>
                <w:szCs w:val="13"/>
                <w:color w:val="auto"/>
              </w:rPr>
              <w:t>​ 146,250 ​​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4C4C4C"/>
            </w:tcBorders>
            <w:gridSpan w:val="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352,950</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26"/>
                <w:szCs w:val="26"/>
                <w:color w:val="auto"/>
                <w:vertAlign w:val="superscript"/>
              </w:rPr>
              <w:t>​</w:t>
            </w: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5"/>
              <w:spacing w:after="0"/>
              <w:rPr>
                <w:sz w:val="20"/>
                <w:szCs w:val="20"/>
                <w:color w:val="auto"/>
              </w:rPr>
            </w:pPr>
            <w:r>
              <w:rPr>
                <w:rFonts w:ascii="Arial" w:cs="Arial" w:eastAsia="Arial" w:hAnsi="Arial"/>
                <w:sz w:val="13"/>
                <w:szCs w:val="13"/>
                <w:color w:val="auto"/>
              </w:rPr>
              <w:t>​​ ​ ​​ 65,000​ ​</w:t>
            </w:r>
          </w:p>
        </w:tc>
        <w:tc>
          <w:tcPr>
            <w:tcW w:w="760" w:type="dxa"/>
            <w:vAlign w:val="bottom"/>
            <w:tcBorders>
              <w:bottom w:val="single" w:sz="8" w:color="4C4C4C"/>
            </w:tcBorders>
            <w:gridSpan w:val="5"/>
          </w:tcPr>
          <w:p>
            <w:pPr>
              <w:jc w:val="right"/>
              <w:spacing w:after="0"/>
              <w:rPr>
                <w:sz w:val="20"/>
                <w:szCs w:val="20"/>
                <w:color w:val="auto"/>
              </w:rPr>
            </w:pPr>
            <w:r>
              <w:rPr>
                <w:rFonts w:ascii="Arial" w:cs="Arial" w:eastAsia="Arial" w:hAnsi="Arial"/>
                <w:sz w:val="13"/>
                <w:szCs w:val="13"/>
                <w:color w:val="auto"/>
              </w:rPr>
              <w:t>​ 130,000 ​​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4C4C4C"/>
            </w:tcBorders>
            <w:gridSpan w:val="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379,600</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E7417A"/>
            </w:tcBorders>
            <w:gridSpan w:val="2"/>
            <w:vMerge w:val="continue"/>
          </w:tcPr>
          <w:p>
            <w:pPr>
              <w:spacing w:after="0"/>
              <w:rPr>
                <w:sz w:val="15"/>
                <w:szCs w:val="15"/>
                <w:color w:val="auto"/>
              </w:rPr>
            </w:pPr>
          </w:p>
        </w:tc>
        <w:tc>
          <w:tcPr>
            <w:tcW w:w="200" w:type="dxa"/>
            <w:vAlign w:val="bottom"/>
            <w:tcBorders>
              <w:bottom w:val="single" w:sz="8" w:color="E7417A"/>
            </w:tcBorders>
            <w:gridSpan w:val="2"/>
          </w:tcPr>
          <w:p>
            <w:pPr>
              <w:jc w:val="right"/>
              <w:ind w:right="33"/>
              <w:spacing w:after="0"/>
              <w:rPr>
                <w:sz w:val="20"/>
                <w:szCs w:val="20"/>
                <w:color w:val="auto"/>
              </w:rPr>
            </w:pPr>
            <w:r>
              <w:rPr>
                <w:rFonts w:ascii="Arial" w:cs="Arial" w:eastAsia="Arial" w:hAnsi="Arial"/>
                <w:sz w:val="13"/>
                <w:szCs w:val="13"/>
                <w:color w:val="auto"/>
              </w:rPr>
              <w:t>​ ​</w:t>
            </w:r>
          </w:p>
        </w:tc>
        <w:tc>
          <w:tcPr>
            <w:tcW w:w="102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E7417A"/>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7417A"/>
            </w:tcBorders>
            <w:gridSpan w:val="2"/>
          </w:tcPr>
          <w:p>
            <w:pPr>
              <w:jc w:val="right"/>
              <w:ind w:right="15"/>
              <w:spacing w:after="0"/>
              <w:rPr>
                <w:sz w:val="20"/>
                <w:szCs w:val="20"/>
                <w:color w:val="auto"/>
              </w:rPr>
            </w:pPr>
            <w:r>
              <w:rPr>
                <w:rFonts w:ascii="Arial" w:cs="Arial" w:eastAsia="Arial" w:hAnsi="Arial"/>
                <w:sz w:val="13"/>
                <w:szCs w:val="13"/>
                <w:color w:val="auto"/>
              </w:rPr>
              <w:t>​​ ​ ​​ 51,556​ ​</w:t>
            </w:r>
          </w:p>
        </w:tc>
        <w:tc>
          <w:tcPr>
            <w:tcW w:w="100" w:type="dxa"/>
            <w:vAlign w:val="bottom"/>
            <w:tcBorders>
              <w:bottom w:val="single" w:sz="8" w:color="E7417A"/>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7417A"/>
            </w:tcBorders>
            <w:gridSpan w:val="4"/>
          </w:tcPr>
          <w:p>
            <w:pPr>
              <w:jc w:val="right"/>
              <w:spacing w:after="0"/>
              <w:rPr>
                <w:sz w:val="20"/>
                <w:szCs w:val="20"/>
                <w:color w:val="auto"/>
              </w:rPr>
            </w:pPr>
            <w:r>
              <w:rPr>
                <w:rFonts w:ascii="Arial" w:cs="Arial" w:eastAsia="Arial" w:hAnsi="Arial"/>
                <w:sz w:val="13"/>
                <w:szCs w:val="13"/>
                <w:color w:val="auto"/>
              </w:rPr>
              <w:t>77,234 ​​ ​</w:t>
            </w:r>
          </w:p>
        </w:tc>
        <w:tc>
          <w:tcPr>
            <w:tcW w:w="120" w:type="dxa"/>
            <w:vAlign w:val="bottom"/>
            <w:tcBorders>
              <w:bottom w:val="single" w:sz="8" w:color="E7417A"/>
            </w:tcBorders>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7417A"/>
            </w:tcBorders>
            <w:gridSpan w:val="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186,633</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80" w:type="dxa"/>
            <w:vAlign w:val="bottom"/>
            <w:shd w:val="clear" w:color="auto" w:fill="F2F2F2"/>
          </w:tcPr>
          <w:p>
            <w:pPr>
              <w:spacing w:after="0"/>
              <w:rPr>
                <w:sz w:val="11"/>
                <w:szCs w:val="11"/>
                <w:color w:val="auto"/>
              </w:rPr>
            </w:pPr>
          </w:p>
        </w:tc>
        <w:tc>
          <w:tcPr>
            <w:tcW w:w="920" w:type="dxa"/>
            <w:vAlign w:val="bottom"/>
            <w:shd w:val="clear" w:color="auto" w:fill="F2F2F2"/>
          </w:tcPr>
          <w:p>
            <w:pPr>
              <w:spacing w:after="0" w:line="128" w:lineRule="exact"/>
              <w:rPr>
                <w:sz w:val="20"/>
                <w:szCs w:val="20"/>
                <w:color w:val="auto"/>
              </w:rPr>
            </w:pPr>
            <w:r>
              <w:rPr>
                <w:rFonts w:ascii="Arial" w:cs="Arial" w:eastAsia="Arial" w:hAnsi="Arial"/>
                <w:sz w:val="13"/>
                <w:szCs w:val="13"/>
                <w:b w:val="1"/>
                <w:bCs w:val="1"/>
                <w:color w:val="auto"/>
              </w:rPr>
              <w:t>Steve</w:t>
            </w:r>
          </w:p>
        </w:tc>
        <w:tc>
          <w:tcPr>
            <w:tcW w:w="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10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500" w:type="dxa"/>
            <w:vAlign w:val="bottom"/>
            <w:shd w:val="clear" w:color="auto" w:fill="F2F2F2"/>
          </w:tcPr>
          <w:p>
            <w:pPr>
              <w:spacing w:after="0"/>
              <w:rPr>
                <w:sz w:val="11"/>
                <w:szCs w:val="11"/>
                <w:color w:val="auto"/>
              </w:rPr>
            </w:pPr>
          </w:p>
        </w:tc>
        <w:tc>
          <w:tcPr>
            <w:tcW w:w="300" w:type="dxa"/>
            <w:vAlign w:val="bottom"/>
            <w:shd w:val="clear" w:color="auto" w:fill="F2F2F2"/>
          </w:tcPr>
          <w:p>
            <w:pPr>
              <w:spacing w:after="0"/>
              <w:rPr>
                <w:sz w:val="11"/>
                <w:szCs w:val="11"/>
                <w:color w:val="auto"/>
              </w:rPr>
            </w:pPr>
          </w:p>
        </w:tc>
        <w:tc>
          <w:tcPr>
            <w:tcW w:w="6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60" w:type="dxa"/>
            <w:vAlign w:val="bottom"/>
            <w:shd w:val="clear" w:color="auto" w:fill="F2F2F2"/>
          </w:tcPr>
          <w:p>
            <w:pPr>
              <w:spacing w:after="0"/>
              <w:rPr>
                <w:sz w:val="11"/>
                <w:szCs w:val="11"/>
                <w:color w:val="auto"/>
              </w:rPr>
            </w:pPr>
          </w:p>
        </w:tc>
        <w:tc>
          <w:tcPr>
            <w:tcW w:w="60" w:type="dxa"/>
            <w:vAlign w:val="bottom"/>
            <w:shd w:val="clear" w:color="auto" w:fill="F2F2F2"/>
          </w:tcPr>
          <w:p>
            <w:pPr>
              <w:spacing w:after="0"/>
              <w:rPr>
                <w:sz w:val="11"/>
                <w:szCs w:val="11"/>
                <w:color w:val="auto"/>
              </w:rPr>
            </w:pPr>
          </w:p>
        </w:tc>
        <w:tc>
          <w:tcPr>
            <w:tcW w:w="6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000" w:type="dxa"/>
            <w:vAlign w:val="bottom"/>
            <w:tcBorders>
              <w:bottom w:val="single" w:sz="8" w:color="E7417A"/>
            </w:tcBorders>
            <w:gridSpan w:val="2"/>
            <w:shd w:val="clear" w:color="auto" w:fill="F2F2F2"/>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McCaffery</w:t>
            </w:r>
          </w:p>
        </w:tc>
        <w:tc>
          <w:tcPr>
            <w:tcW w:w="200" w:type="dxa"/>
            <w:vAlign w:val="bottom"/>
            <w:tcBorders>
              <w:bottom w:val="single" w:sz="8" w:color="E7417A"/>
            </w:tcBorders>
            <w:gridSpan w:val="2"/>
            <w:shd w:val="clear" w:color="auto" w:fill="F2F2F2"/>
          </w:tcPr>
          <w:p>
            <w:pPr>
              <w:jc w:val="right"/>
              <w:ind w:right="33"/>
              <w:spacing w:after="0"/>
              <w:rPr>
                <w:sz w:val="20"/>
                <w:szCs w:val="20"/>
                <w:color w:val="auto"/>
              </w:rPr>
            </w:pPr>
            <w:r>
              <w:rPr>
                <w:rFonts w:ascii="Arial" w:cs="Arial" w:eastAsia="Arial" w:hAnsi="Arial"/>
                <w:sz w:val="13"/>
                <w:szCs w:val="13"/>
                <w:color w:val="auto"/>
              </w:rPr>
              <w:t>​ ​</w:t>
            </w:r>
          </w:p>
        </w:tc>
        <w:tc>
          <w:tcPr>
            <w:tcW w:w="102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 77,422​ ​</w:t>
            </w:r>
          </w:p>
        </w:tc>
        <w:tc>
          <w:tcPr>
            <w:tcW w:w="620" w:type="dxa"/>
            <w:vAlign w:val="bottom"/>
            <w:tcBorders>
              <w:bottom w:val="single" w:sz="8" w:color="E7417A"/>
            </w:tcBorders>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E7417A"/>
            </w:tcBorders>
            <w:shd w:val="clear" w:color="auto" w:fill="F2F2F2"/>
          </w:tcPr>
          <w:p>
            <w:pPr>
              <w:jc w:val="right"/>
              <w:ind w:right="15"/>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E7417A"/>
            </w:tcBorders>
            <w:gridSpan w:val="4"/>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120" w:type="dxa"/>
            <w:vAlign w:val="bottom"/>
            <w:tcBorders>
              <w:bottom w:val="single" w:sz="8" w:color="E7417A"/>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E7417A"/>
            </w:tcBorders>
            <w:shd w:val="clear" w:color="auto" w:fill="F2F2F2"/>
          </w:tcPr>
          <w:p>
            <w:pPr>
              <w:ind w:left="40"/>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Borders>
              <w:bottom w:val="single" w:sz="8" w:color="4C4C4C"/>
            </w:tcBorders>
            <w:gridSpan w:val="3"/>
          </w:tcPr>
          <w:p>
            <w:pPr>
              <w:jc w:val="right"/>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October 31, 2025 </w:t>
            </w:r>
            <w:r>
              <w:rPr>
                <w:rFonts w:ascii="Arial" w:cs="Arial" w:eastAsia="Arial" w:hAnsi="Arial"/>
                <w:sz w:val="22"/>
                <w:szCs w:val="22"/>
                <w:color w:val="auto"/>
                <w:vertAlign w:val="subscript"/>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line="195"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perscript"/>
              </w:rPr>
              <w:t>​</w:t>
            </w:r>
          </w:p>
        </w:tc>
        <w:tc>
          <w:tcPr>
            <w:tcW w:w="300" w:type="dxa"/>
            <w:vAlign w:val="bottom"/>
            <w:tcBorders>
              <w:bottom w:val="single" w:sz="8" w:color="4C4C4C"/>
            </w:tcBorders>
          </w:tcPr>
          <w:p>
            <w:pPr>
              <w:jc w:val="right"/>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w:t>
            </w:r>
          </w:p>
        </w:tc>
        <w:tc>
          <w:tcPr>
            <w:tcW w:w="620" w:type="dxa"/>
            <w:vAlign w:val="bottom"/>
            <w:tcBorders>
              <w:bottom w:val="single" w:sz="8" w:color="4C4C4C"/>
            </w:tcBorders>
          </w:tcPr>
          <w:p>
            <w:pPr>
              <w:ind w:left="24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540" w:type="dxa"/>
            <w:vAlign w:val="bottom"/>
            <w:tcBorders>
              <w:bottom w:val="single" w:sz="8" w:color="4C4C4C"/>
            </w:tcBorders>
          </w:tcPr>
          <w:p>
            <w:pPr>
              <w:spacing w:after="0" w:line="195"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perscript"/>
              </w:rPr>
              <w:t>​</w:t>
            </w:r>
          </w:p>
        </w:tc>
        <w:tc>
          <w:tcPr>
            <w:tcW w:w="340" w:type="dxa"/>
            <w:vAlign w:val="bottom"/>
            <w:tcBorders>
              <w:bottom w:val="single" w:sz="8" w:color="4C4C4C"/>
            </w:tcBorders>
          </w:tcPr>
          <w:p>
            <w:pPr>
              <w:jc w:val="right"/>
              <w:ind w:right="15"/>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w:t>
            </w:r>
          </w:p>
        </w:tc>
        <w:tc>
          <w:tcPr>
            <w:tcW w:w="100" w:type="dxa"/>
            <w:vAlign w:val="bottom"/>
            <w:tcBorders>
              <w:bottom w:val="single" w:sz="8" w:color="4C4C4C"/>
            </w:tcBorders>
          </w:tcPr>
          <w:p>
            <w:pPr>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660" w:type="dxa"/>
            <w:vAlign w:val="bottom"/>
            <w:tcBorders>
              <w:bottom w:val="single" w:sz="8" w:color="4C4C4C"/>
            </w:tcBorders>
            <w:gridSpan w:val="4"/>
          </w:tcPr>
          <w:p>
            <w:pPr>
              <w:jc w:val="right"/>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 ​</w:t>
            </w:r>
          </w:p>
        </w:tc>
        <w:tc>
          <w:tcPr>
            <w:tcW w:w="120" w:type="dxa"/>
            <w:vAlign w:val="bottom"/>
            <w:tcBorders>
              <w:bottom w:val="single" w:sz="8" w:color="4C4C4C"/>
            </w:tcBorders>
          </w:tcPr>
          <w:p>
            <w:pPr>
              <w:ind w:left="6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108,006</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4C4C4C"/>
            </w:tcBorders>
          </w:tcPr>
          <w:p>
            <w:pPr>
              <w:ind w:left="4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362,900</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Borders>
              <w:bottom w:val="single" w:sz="8" w:color="4C4C4C"/>
            </w:tcBorders>
            <w:gridSpan w:val="3"/>
          </w:tcPr>
          <w:p>
            <w:pPr>
              <w:jc w:val="right"/>
              <w:spacing w:after="0"/>
              <w:rPr>
                <w:sz w:val="20"/>
                <w:szCs w:val="20"/>
                <w:color w:val="auto"/>
              </w:rPr>
            </w:pPr>
            <w:r>
              <w:rPr>
                <w:rFonts w:ascii="Arial" w:cs="Arial" w:eastAsia="Arial" w:hAnsi="Arial"/>
                <w:sz w:val="13"/>
                <w:szCs w:val="13"/>
                <w:color w:val="auto"/>
              </w:rPr>
              <w:t>​ October 31, 2025 ​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4C4C4C"/>
            </w:tcBorders>
          </w:tcPr>
          <w:p>
            <w:pPr>
              <w:jc w:val="right"/>
              <w:ind w:right="15"/>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gridSpan w:val="4"/>
          </w:tcPr>
          <w:p>
            <w:pPr>
              <w:jc w:val="right"/>
              <w:spacing w:after="0"/>
              <w:rPr>
                <w:sz w:val="20"/>
                <w:szCs w:val="20"/>
                <w:color w:val="auto"/>
              </w:rPr>
            </w:pPr>
            <w:r>
              <w:rPr>
                <w:rFonts w:ascii="Arial" w:cs="Arial" w:eastAsia="Arial" w:hAnsi="Arial"/>
                <w:sz w:val="13"/>
                <w:szCs w:val="13"/>
                <w:color w:val="auto"/>
              </w:rPr>
              <w:t>— ​​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432,027</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1,451,611</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000" w:type="dxa"/>
            <w:vAlign w:val="bottom"/>
            <w:gridSpan w:val="2"/>
            <w:vMerge w:val="restart"/>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26"/>
                <w:szCs w:val="26"/>
                <w:color w:val="auto"/>
                <w:vertAlign w:val="superscript"/>
              </w:rPr>
              <w:t>​</w:t>
            </w:r>
          </w:p>
        </w:tc>
        <w:tc>
          <w:tcPr>
            <w:tcW w:w="60" w:type="dxa"/>
            <w:vAlign w:val="bottom"/>
          </w:tcPr>
          <w:p>
            <w:pPr>
              <w:spacing w:after="0"/>
              <w:rPr>
                <w:sz w:val="17"/>
                <w:szCs w:val="17"/>
                <w:color w:val="auto"/>
              </w:rPr>
            </w:pPr>
          </w:p>
        </w:tc>
        <w:tc>
          <w:tcPr>
            <w:tcW w:w="1360" w:type="dxa"/>
            <w:vAlign w:val="bottom"/>
            <w:tcBorders>
              <w:bottom w:val="single" w:sz="8" w:color="4C4C4C"/>
            </w:tcBorders>
            <w:gridSpan w:val="3"/>
          </w:tcPr>
          <w:p>
            <w:pPr>
              <w:jc w:val="right"/>
              <w:spacing w:after="0"/>
              <w:rPr>
                <w:sz w:val="20"/>
                <w:szCs w:val="20"/>
                <w:color w:val="auto"/>
              </w:rPr>
            </w:pPr>
            <w:r>
              <w:rPr>
                <w:rFonts w:ascii="Arial" w:cs="Arial" w:eastAsia="Arial" w:hAnsi="Arial"/>
                <w:sz w:val="13"/>
                <w:szCs w:val="13"/>
                <w:color w:val="auto"/>
              </w:rPr>
              <w:t>​ October 31, 2025 ​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5"/>
              <w:spacing w:after="0"/>
              <w:rPr>
                <w:sz w:val="20"/>
                <w:szCs w:val="20"/>
                <w:color w:val="auto"/>
              </w:rPr>
            </w:pPr>
            <w:r>
              <w:rPr>
                <w:rFonts w:ascii="Arial" w:cs="Arial" w:eastAsia="Arial" w:hAnsi="Arial"/>
                <w:sz w:val="13"/>
                <w:szCs w:val="13"/>
                <w:color w:val="auto"/>
              </w:rPr>
              <w:t>​​ ​ ​​ 64,804​ ​</w:t>
            </w:r>
          </w:p>
        </w:tc>
        <w:tc>
          <w:tcPr>
            <w:tcW w:w="10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gridSpan w:val="4"/>
          </w:tcPr>
          <w:p>
            <w:pPr>
              <w:jc w:val="right"/>
              <w:spacing w:after="0"/>
              <w:rPr>
                <w:sz w:val="20"/>
                <w:szCs w:val="20"/>
                <w:color w:val="auto"/>
              </w:rPr>
            </w:pPr>
            <w:r>
              <w:rPr>
                <w:rFonts w:ascii="Arial" w:cs="Arial" w:eastAsia="Arial" w:hAnsi="Arial"/>
                <w:sz w:val="13"/>
                <w:szCs w:val="13"/>
                <w:color w:val="auto"/>
              </w:rPr>
              <w:t>97,206 ​​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4C4C4C"/>
            </w:tcBorders>
            <w:gridSpan w:val="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217,741</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E7417A"/>
            </w:tcBorders>
            <w:gridSpan w:val="2"/>
            <w:vMerge w:val="continue"/>
          </w:tcPr>
          <w:p>
            <w:pPr>
              <w:spacing w:after="0"/>
              <w:rPr>
                <w:sz w:val="15"/>
                <w:szCs w:val="15"/>
                <w:color w:val="auto"/>
              </w:rPr>
            </w:pPr>
          </w:p>
        </w:tc>
        <w:tc>
          <w:tcPr>
            <w:tcW w:w="1420" w:type="dxa"/>
            <w:vAlign w:val="bottom"/>
            <w:tcBorders>
              <w:bottom w:val="single" w:sz="8" w:color="E7417A"/>
            </w:tcBorders>
            <w:gridSpan w:val="4"/>
          </w:tcPr>
          <w:p>
            <w:pPr>
              <w:jc w:val="right"/>
              <w:spacing w:after="0"/>
              <w:rPr>
                <w:sz w:val="20"/>
                <w:szCs w:val="20"/>
                <w:color w:val="auto"/>
              </w:rPr>
            </w:pPr>
            <w:r>
              <w:rPr>
                <w:rFonts w:ascii="Arial" w:cs="Arial" w:eastAsia="Arial" w:hAnsi="Arial"/>
                <w:sz w:val="13"/>
                <w:szCs w:val="13"/>
                <w:color w:val="auto"/>
              </w:rPr>
              <w:t>​ ​ October 31, 2025 ​ ​</w:t>
            </w:r>
          </w:p>
        </w:tc>
        <w:tc>
          <w:tcPr>
            <w:tcW w:w="70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E7417A"/>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7417A"/>
            </w:tcBorders>
            <w:gridSpan w:val="2"/>
          </w:tcPr>
          <w:p>
            <w:pPr>
              <w:jc w:val="right"/>
              <w:ind w:right="15"/>
              <w:spacing w:after="0"/>
              <w:rPr>
                <w:sz w:val="20"/>
                <w:szCs w:val="20"/>
                <w:color w:val="auto"/>
              </w:rPr>
            </w:pPr>
            <w:r>
              <w:rPr>
                <w:rFonts w:ascii="Arial" w:cs="Arial" w:eastAsia="Arial" w:hAnsi="Arial"/>
                <w:sz w:val="13"/>
                <w:szCs w:val="13"/>
                <w:color w:val="auto"/>
              </w:rPr>
              <w:t>​​ ​ ​​ 43,202​ ​</w:t>
            </w:r>
          </w:p>
        </w:tc>
        <w:tc>
          <w:tcPr>
            <w:tcW w:w="100" w:type="dxa"/>
            <w:vAlign w:val="bottom"/>
            <w:tcBorders>
              <w:bottom w:val="single" w:sz="8" w:color="E7417A"/>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E7417A"/>
            </w:tcBorders>
            <w:gridSpan w:val="4"/>
          </w:tcPr>
          <w:p>
            <w:pPr>
              <w:jc w:val="right"/>
              <w:spacing w:after="0"/>
              <w:rPr>
                <w:sz w:val="20"/>
                <w:szCs w:val="20"/>
                <w:color w:val="auto"/>
              </w:rPr>
            </w:pPr>
            <w:r>
              <w:rPr>
                <w:rFonts w:ascii="Arial" w:cs="Arial" w:eastAsia="Arial" w:hAnsi="Arial"/>
                <w:sz w:val="13"/>
                <w:szCs w:val="13"/>
                <w:color w:val="auto"/>
              </w:rPr>
              <w:t>86,404 ​​ ​</w:t>
            </w:r>
          </w:p>
        </w:tc>
        <w:tc>
          <w:tcPr>
            <w:tcW w:w="120" w:type="dxa"/>
            <w:vAlign w:val="bottom"/>
            <w:tcBorders>
              <w:bottom w:val="single" w:sz="8" w:color="E7417A"/>
            </w:tcBorders>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7417A"/>
            </w:tcBorders>
            <w:gridSpan w:val="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E7417A"/>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244,523</w:t>
            </w:r>
          </w:p>
        </w:tc>
        <w:tc>
          <w:tcPr>
            <w:tcW w:w="120" w:type="dxa"/>
            <w:vAlign w:val="bottom"/>
            <w:tcBorders>
              <w:bottom w:val="single" w:sz="8" w:color="E7417A"/>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7"/>
        </w:trPr>
        <w:tc>
          <w:tcPr>
            <w:tcW w:w="80" w:type="dxa"/>
            <w:vAlign w:val="bottom"/>
            <w:shd w:val="clear" w:color="auto" w:fill="F2F2F2"/>
          </w:tcPr>
          <w:p>
            <w:pPr>
              <w:spacing w:after="0"/>
              <w:rPr>
                <w:sz w:val="11"/>
                <w:szCs w:val="11"/>
                <w:color w:val="auto"/>
              </w:rPr>
            </w:pPr>
          </w:p>
        </w:tc>
        <w:tc>
          <w:tcPr>
            <w:tcW w:w="920" w:type="dxa"/>
            <w:vAlign w:val="bottom"/>
            <w:shd w:val="clear" w:color="auto" w:fill="F2F2F2"/>
          </w:tcPr>
          <w:p>
            <w:pPr>
              <w:spacing w:after="0" w:line="128" w:lineRule="exact"/>
              <w:rPr>
                <w:sz w:val="20"/>
                <w:szCs w:val="20"/>
                <w:color w:val="auto"/>
              </w:rPr>
            </w:pPr>
            <w:r>
              <w:rPr>
                <w:rFonts w:ascii="Arial" w:cs="Arial" w:eastAsia="Arial" w:hAnsi="Arial"/>
                <w:sz w:val="13"/>
                <w:szCs w:val="13"/>
                <w:b w:val="1"/>
                <w:bCs w:val="1"/>
                <w:color w:val="auto"/>
              </w:rPr>
              <w:t>Dan</w:t>
            </w:r>
          </w:p>
        </w:tc>
        <w:tc>
          <w:tcPr>
            <w:tcW w:w="60" w:type="dxa"/>
            <w:vAlign w:val="bottom"/>
            <w:shd w:val="clear" w:color="auto" w:fill="F2F2F2"/>
          </w:tcPr>
          <w:p>
            <w:pPr>
              <w:spacing w:after="0"/>
              <w:rPr>
                <w:sz w:val="11"/>
                <w:szCs w:val="11"/>
                <w:color w:val="auto"/>
              </w:rPr>
            </w:pPr>
          </w:p>
        </w:tc>
        <w:tc>
          <w:tcPr>
            <w:tcW w:w="140" w:type="dxa"/>
            <w:vAlign w:val="bottom"/>
            <w:shd w:val="clear" w:color="auto" w:fill="F2F2F2"/>
          </w:tcPr>
          <w:p>
            <w:pPr>
              <w:spacing w:after="0"/>
              <w:rPr>
                <w:sz w:val="11"/>
                <w:szCs w:val="11"/>
                <w:color w:val="auto"/>
              </w:rPr>
            </w:pPr>
          </w:p>
        </w:tc>
        <w:tc>
          <w:tcPr>
            <w:tcW w:w="10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700" w:type="dxa"/>
            <w:vAlign w:val="bottom"/>
            <w:shd w:val="clear" w:color="auto" w:fill="F2F2F2"/>
          </w:tcPr>
          <w:p>
            <w:pPr>
              <w:spacing w:after="0"/>
              <w:rPr>
                <w:sz w:val="11"/>
                <w:szCs w:val="11"/>
                <w:color w:val="auto"/>
              </w:rPr>
            </w:pPr>
          </w:p>
        </w:tc>
        <w:tc>
          <w:tcPr>
            <w:tcW w:w="500" w:type="dxa"/>
            <w:vAlign w:val="bottom"/>
            <w:shd w:val="clear" w:color="auto" w:fill="F2F2F2"/>
          </w:tcPr>
          <w:p>
            <w:pPr>
              <w:spacing w:after="0"/>
              <w:rPr>
                <w:sz w:val="11"/>
                <w:szCs w:val="11"/>
                <w:color w:val="auto"/>
              </w:rPr>
            </w:pPr>
          </w:p>
        </w:tc>
        <w:tc>
          <w:tcPr>
            <w:tcW w:w="300" w:type="dxa"/>
            <w:vAlign w:val="bottom"/>
            <w:shd w:val="clear" w:color="auto" w:fill="F2F2F2"/>
          </w:tcPr>
          <w:p>
            <w:pPr>
              <w:spacing w:after="0"/>
              <w:rPr>
                <w:sz w:val="11"/>
                <w:szCs w:val="11"/>
                <w:color w:val="auto"/>
              </w:rPr>
            </w:pPr>
          </w:p>
        </w:tc>
        <w:tc>
          <w:tcPr>
            <w:tcW w:w="620" w:type="dxa"/>
            <w:vAlign w:val="bottom"/>
            <w:shd w:val="clear" w:color="auto" w:fill="F2F2F2"/>
          </w:tcPr>
          <w:p>
            <w:pPr>
              <w:spacing w:after="0"/>
              <w:rPr>
                <w:sz w:val="11"/>
                <w:szCs w:val="11"/>
                <w:color w:val="auto"/>
              </w:rPr>
            </w:pPr>
          </w:p>
        </w:tc>
        <w:tc>
          <w:tcPr>
            <w:tcW w:w="20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540" w:type="dxa"/>
            <w:vAlign w:val="bottom"/>
            <w:shd w:val="clear" w:color="auto" w:fill="F2F2F2"/>
          </w:tcPr>
          <w:p>
            <w:pPr>
              <w:spacing w:after="0"/>
              <w:rPr>
                <w:sz w:val="11"/>
                <w:szCs w:val="11"/>
                <w:color w:val="auto"/>
              </w:rPr>
            </w:pPr>
          </w:p>
        </w:tc>
        <w:tc>
          <w:tcPr>
            <w:tcW w:w="340" w:type="dxa"/>
            <w:vAlign w:val="bottom"/>
            <w:shd w:val="clear" w:color="auto" w:fill="F2F2F2"/>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460" w:type="dxa"/>
            <w:vAlign w:val="bottom"/>
            <w:shd w:val="clear" w:color="auto" w:fill="F2F2F2"/>
          </w:tcPr>
          <w:p>
            <w:pPr>
              <w:spacing w:after="0"/>
              <w:rPr>
                <w:sz w:val="11"/>
                <w:szCs w:val="11"/>
                <w:color w:val="auto"/>
              </w:rPr>
            </w:pPr>
          </w:p>
        </w:tc>
        <w:tc>
          <w:tcPr>
            <w:tcW w:w="60" w:type="dxa"/>
            <w:vAlign w:val="bottom"/>
            <w:shd w:val="clear" w:color="auto" w:fill="F2F2F2"/>
          </w:tcPr>
          <w:p>
            <w:pPr>
              <w:spacing w:after="0"/>
              <w:rPr>
                <w:sz w:val="11"/>
                <w:szCs w:val="11"/>
                <w:color w:val="auto"/>
              </w:rPr>
            </w:pPr>
          </w:p>
        </w:tc>
        <w:tc>
          <w:tcPr>
            <w:tcW w:w="6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180" w:type="dxa"/>
            <w:vAlign w:val="bottom"/>
            <w:shd w:val="clear" w:color="auto" w:fill="F2F2F2"/>
          </w:tcPr>
          <w:p>
            <w:pPr>
              <w:spacing w:after="0"/>
              <w:rPr>
                <w:sz w:val="11"/>
                <w:szCs w:val="11"/>
                <w:color w:val="auto"/>
              </w:rPr>
            </w:pPr>
          </w:p>
        </w:tc>
        <w:tc>
          <w:tcPr>
            <w:tcW w:w="80" w:type="dxa"/>
            <w:vAlign w:val="bottom"/>
            <w:shd w:val="clear" w:color="auto" w:fill="F2F2F2"/>
          </w:tcPr>
          <w:p>
            <w:pPr>
              <w:spacing w:after="0"/>
              <w:rPr>
                <w:sz w:val="11"/>
                <w:szCs w:val="11"/>
                <w:color w:val="auto"/>
              </w:rPr>
            </w:pPr>
          </w:p>
        </w:tc>
        <w:tc>
          <w:tcPr>
            <w:tcW w:w="660" w:type="dxa"/>
            <w:vAlign w:val="bottom"/>
            <w:shd w:val="clear" w:color="auto" w:fill="F2F2F2"/>
          </w:tcPr>
          <w:p>
            <w:pPr>
              <w:spacing w:after="0"/>
              <w:rPr>
                <w:sz w:val="11"/>
                <w:szCs w:val="11"/>
                <w:color w:val="auto"/>
              </w:rPr>
            </w:pPr>
          </w:p>
        </w:tc>
        <w:tc>
          <w:tcPr>
            <w:tcW w:w="12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000" w:type="dxa"/>
            <w:vAlign w:val="bottom"/>
            <w:tcBorders>
              <w:bottom w:val="single" w:sz="8" w:color="E7417A"/>
            </w:tcBorders>
            <w:gridSpan w:val="2"/>
            <w:shd w:val="clear" w:color="auto" w:fill="F2F2F2"/>
          </w:tcPr>
          <w:p>
            <w:pPr>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Redington</w:t>
            </w:r>
          </w:p>
        </w:tc>
        <w:tc>
          <w:tcPr>
            <w:tcW w:w="200" w:type="dxa"/>
            <w:vAlign w:val="bottom"/>
            <w:tcBorders>
              <w:bottom w:val="single" w:sz="8" w:color="E7417A"/>
            </w:tcBorders>
            <w:gridSpan w:val="2"/>
            <w:shd w:val="clear" w:color="auto" w:fill="F2F2F2"/>
          </w:tcPr>
          <w:p>
            <w:pPr>
              <w:jc w:val="right"/>
              <w:ind w:right="33"/>
              <w:spacing w:after="0"/>
              <w:rPr>
                <w:sz w:val="20"/>
                <w:szCs w:val="20"/>
                <w:color w:val="auto"/>
              </w:rPr>
            </w:pPr>
            <w:r>
              <w:rPr>
                <w:rFonts w:ascii="Arial" w:cs="Arial" w:eastAsia="Arial" w:hAnsi="Arial"/>
                <w:sz w:val="13"/>
                <w:szCs w:val="13"/>
                <w:color w:val="auto"/>
              </w:rPr>
              <w:t>​ ​</w:t>
            </w:r>
          </w:p>
        </w:tc>
        <w:tc>
          <w:tcPr>
            <w:tcW w:w="102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​​322,500​ ​</w:t>
            </w:r>
          </w:p>
        </w:tc>
        <w:tc>
          <w:tcPr>
            <w:tcW w:w="620" w:type="dxa"/>
            <w:vAlign w:val="bottom"/>
            <w:tcBorders>
              <w:bottom w:val="single" w:sz="8" w:color="E7417A"/>
            </w:tcBorders>
            <w:shd w:val="clear" w:color="auto" w:fill="F2F2F2"/>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E7417A"/>
            </w:tcBorders>
            <w:shd w:val="clear" w:color="auto" w:fill="F2F2F2"/>
          </w:tcPr>
          <w:p>
            <w:pPr>
              <w:jc w:val="right"/>
              <w:ind w:right="15"/>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E7417A"/>
            </w:tcBorders>
            <w:gridSpan w:val="4"/>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120" w:type="dxa"/>
            <w:vAlign w:val="bottom"/>
            <w:tcBorders>
              <w:bottom w:val="single" w:sz="8" w:color="E7417A"/>
            </w:tcBorders>
            <w:shd w:val="clear" w:color="auto" w:fill="F2F2F2"/>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E7417A"/>
            </w:tcBorders>
            <w:shd w:val="clear" w:color="auto" w:fill="F2F2F2"/>
          </w:tcPr>
          <w:p>
            <w:pPr>
              <w:ind w:left="40"/>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E7417A"/>
            </w:tcBorders>
            <w:gridSpan w:val="2"/>
            <w:shd w:val="clear" w:color="auto" w:fill="F2F2F2"/>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line="195"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perscript"/>
              </w:rPr>
              <w:t>​</w:t>
            </w:r>
          </w:p>
        </w:tc>
        <w:tc>
          <w:tcPr>
            <w:tcW w:w="300" w:type="dxa"/>
            <w:vAlign w:val="bottom"/>
            <w:tcBorders>
              <w:bottom w:val="single" w:sz="8" w:color="4C4C4C"/>
            </w:tcBorders>
          </w:tcPr>
          <w:p>
            <w:pPr>
              <w:jc w:val="right"/>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w:t>
            </w:r>
          </w:p>
        </w:tc>
        <w:tc>
          <w:tcPr>
            <w:tcW w:w="620" w:type="dxa"/>
            <w:vAlign w:val="bottom"/>
            <w:tcBorders>
              <w:bottom w:val="single" w:sz="8" w:color="4C4C4C"/>
            </w:tcBorders>
          </w:tcPr>
          <w:p>
            <w:pPr>
              <w:ind w:left="240"/>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line="195"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540" w:type="dxa"/>
            <w:vAlign w:val="bottom"/>
            <w:tcBorders>
              <w:bottom w:val="single" w:sz="8" w:color="4C4C4C"/>
            </w:tcBorders>
          </w:tcPr>
          <w:p>
            <w:pPr>
              <w:spacing w:after="0" w:line="195" w:lineRule="exact"/>
              <w:rPr>
                <w:sz w:val="20"/>
                <w:szCs w:val="20"/>
                <w:color w:val="auto"/>
              </w:rPr>
            </w:pPr>
            <w:r>
              <w:rPr>
                <w:rFonts w:ascii="Arial" w:cs="Arial" w:eastAsia="Arial" w:hAnsi="Arial"/>
                <w:sz w:val="12"/>
                <w:szCs w:val="12"/>
                <w:color w:val="auto"/>
              </w:rPr>
              <w:t>​​ ​ ​</w:t>
            </w:r>
            <w:r>
              <w:rPr>
                <w:rFonts w:ascii="Arial" w:cs="Arial" w:eastAsia="Arial" w:hAnsi="Arial"/>
                <w:sz w:val="22"/>
                <w:szCs w:val="22"/>
                <w:color w:val="auto"/>
                <w:vertAlign w:val="superscript"/>
              </w:rPr>
              <w:t>​</w:t>
            </w:r>
          </w:p>
        </w:tc>
        <w:tc>
          <w:tcPr>
            <w:tcW w:w="340" w:type="dxa"/>
            <w:vAlign w:val="bottom"/>
            <w:tcBorders>
              <w:bottom w:val="single" w:sz="8" w:color="4C4C4C"/>
            </w:tcBorders>
          </w:tcPr>
          <w:p>
            <w:pPr>
              <w:jc w:val="right"/>
              <w:ind w:right="15"/>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w:t>
            </w:r>
          </w:p>
        </w:tc>
        <w:tc>
          <w:tcPr>
            <w:tcW w:w="100" w:type="dxa"/>
            <w:vAlign w:val="bottom"/>
            <w:tcBorders>
              <w:bottom w:val="single" w:sz="8" w:color="4C4C4C"/>
            </w:tcBorders>
          </w:tcPr>
          <w:p>
            <w:pPr>
              <w:spacing w:after="0" w:line="195"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660" w:type="dxa"/>
            <w:vAlign w:val="bottom"/>
            <w:tcBorders>
              <w:bottom w:val="single" w:sz="8" w:color="4C4C4C"/>
            </w:tcBorders>
            <w:gridSpan w:val="4"/>
          </w:tcPr>
          <w:p>
            <w:pPr>
              <w:jc w:val="right"/>
              <w:spacing w:after="0" w:line="195"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 ​</w:t>
            </w:r>
          </w:p>
        </w:tc>
        <w:tc>
          <w:tcPr>
            <w:tcW w:w="120" w:type="dxa"/>
            <w:vAlign w:val="bottom"/>
            <w:tcBorders>
              <w:bottom w:val="single" w:sz="8" w:color="4C4C4C"/>
            </w:tcBorders>
          </w:tcPr>
          <w:p>
            <w:pPr>
              <w:ind w:left="60"/>
              <w:spacing w:after="0" w:line="195"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112,500</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4C4C4C"/>
            </w:tcBorders>
          </w:tcPr>
          <w:p>
            <w:pPr>
              <w:ind w:left="40"/>
              <w:spacing w:after="0" w:line="195"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407,250</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 ​ ​​</w:t>
            </w:r>
          </w:p>
        </w:tc>
        <w:tc>
          <w:tcPr>
            <w:tcW w:w="340" w:type="dxa"/>
            <w:vAlign w:val="bottom"/>
            <w:tcBorders>
              <w:bottom w:val="single" w:sz="8" w:color="4C4C4C"/>
            </w:tcBorders>
          </w:tcPr>
          <w:p>
            <w:pPr>
              <w:jc w:val="right"/>
              <w:ind w:right="15"/>
              <w:spacing w:after="0"/>
              <w:rPr>
                <w:sz w:val="20"/>
                <w:szCs w:val="20"/>
                <w:color w:val="auto"/>
              </w:rPr>
            </w:pPr>
            <w:r>
              <w:rPr>
                <w:rFonts w:ascii="Arial" w:cs="Arial" w:eastAsia="Arial" w:hAnsi="Arial"/>
                <w:sz w:val="13"/>
                <w:szCs w:val="13"/>
                <w:color w:val="auto"/>
              </w:rPr>
              <w:t>—​ ​</w:t>
            </w:r>
          </w:p>
        </w:tc>
        <w:tc>
          <w:tcPr>
            <w:tcW w:w="10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gridSpan w:val="4"/>
          </w:tcPr>
          <w:p>
            <w:pPr>
              <w:jc w:val="right"/>
              <w:spacing w:after="0"/>
              <w:rPr>
                <w:sz w:val="20"/>
                <w:szCs w:val="20"/>
                <w:color w:val="auto"/>
              </w:rPr>
            </w:pPr>
            <w:r>
              <w:rPr>
                <w:rFonts w:ascii="Arial" w:cs="Arial" w:eastAsia="Arial" w:hAnsi="Arial"/>
                <w:sz w:val="13"/>
                <w:szCs w:val="13"/>
                <w:color w:val="auto"/>
              </w:rPr>
              <w:t>— ​​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84,388</w:t>
            </w:r>
          </w:p>
        </w:tc>
        <w:tc>
          <w:tcPr>
            <w:tcW w:w="18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305,485</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5"/>
              <w:spacing w:after="0"/>
              <w:rPr>
                <w:sz w:val="20"/>
                <w:szCs w:val="20"/>
                <w:color w:val="auto"/>
              </w:rPr>
            </w:pPr>
            <w:r>
              <w:rPr>
                <w:rFonts w:ascii="Arial" w:cs="Arial" w:eastAsia="Arial" w:hAnsi="Arial"/>
                <w:sz w:val="13"/>
                <w:szCs w:val="13"/>
                <w:color w:val="auto"/>
              </w:rPr>
              <w:t>​​ ​ ​​ 67,500​ ​</w:t>
            </w:r>
          </w:p>
        </w:tc>
        <w:tc>
          <w:tcPr>
            <w:tcW w:w="760" w:type="dxa"/>
            <w:vAlign w:val="bottom"/>
            <w:tcBorders>
              <w:bottom w:val="single" w:sz="8" w:color="4C4C4C"/>
            </w:tcBorders>
            <w:gridSpan w:val="5"/>
          </w:tcPr>
          <w:p>
            <w:pPr>
              <w:jc w:val="right"/>
              <w:spacing w:after="0"/>
              <w:rPr>
                <w:sz w:val="20"/>
                <w:szCs w:val="20"/>
                <w:color w:val="auto"/>
              </w:rPr>
            </w:pPr>
            <w:r>
              <w:rPr>
                <w:rFonts w:ascii="Arial" w:cs="Arial" w:eastAsia="Arial" w:hAnsi="Arial"/>
                <w:sz w:val="13"/>
                <w:szCs w:val="13"/>
                <w:color w:val="auto"/>
              </w:rPr>
              <w:t>​ 101,250 ​​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4C4C4C"/>
            </w:tcBorders>
            <w:gridSpan w:val="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244,350</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4C4C4C"/>
            </w:tcBorders>
          </w:tcPr>
          <w:p>
            <w:pPr>
              <w:jc w:val="right"/>
              <w:ind w:right="33"/>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 ​​</w:t>
            </w:r>
          </w:p>
        </w:tc>
        <w:tc>
          <w:tcPr>
            <w:tcW w:w="30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 ​</w:t>
            </w:r>
          </w:p>
        </w:tc>
        <w:tc>
          <w:tcPr>
            <w:tcW w:w="620" w:type="dxa"/>
            <w:vAlign w:val="bottom"/>
            <w:tcBorders>
              <w:bottom w:val="single" w:sz="8" w:color="4C4C4C"/>
            </w:tcBorders>
          </w:tcPr>
          <w:p>
            <w:pPr>
              <w:ind w:lef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4C4C4C"/>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4C4C4C"/>
            </w:tcBorders>
          </w:tcPr>
          <w:p>
            <w:pPr>
              <w:jc w:val="center"/>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C4C4C"/>
            </w:tcBorders>
            <w:gridSpan w:val="2"/>
          </w:tcPr>
          <w:p>
            <w:pPr>
              <w:jc w:val="right"/>
              <w:ind w:right="15"/>
              <w:spacing w:after="0"/>
              <w:rPr>
                <w:sz w:val="20"/>
                <w:szCs w:val="20"/>
                <w:color w:val="auto"/>
              </w:rPr>
            </w:pPr>
            <w:r>
              <w:rPr>
                <w:rFonts w:ascii="Arial" w:cs="Arial" w:eastAsia="Arial" w:hAnsi="Arial"/>
                <w:sz w:val="13"/>
                <w:szCs w:val="13"/>
                <w:color w:val="auto"/>
              </w:rPr>
              <w:t>​​ ​ ​​ 45,000​ ​</w:t>
            </w:r>
          </w:p>
        </w:tc>
        <w:tc>
          <w:tcPr>
            <w:tcW w:w="100" w:type="dxa"/>
            <w:vAlign w:val="bottom"/>
            <w:tcBorders>
              <w:bottom w:val="single" w:sz="8" w:color="4C4C4C"/>
            </w:tcBorders>
          </w:tcPr>
          <w:p>
            <w:pPr>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4C4C4C"/>
            </w:tcBorders>
            <w:gridSpan w:val="4"/>
          </w:tcPr>
          <w:p>
            <w:pPr>
              <w:jc w:val="right"/>
              <w:spacing w:after="0"/>
              <w:rPr>
                <w:sz w:val="20"/>
                <w:szCs w:val="20"/>
                <w:color w:val="auto"/>
              </w:rPr>
            </w:pPr>
            <w:r>
              <w:rPr>
                <w:rFonts w:ascii="Arial" w:cs="Arial" w:eastAsia="Arial" w:hAnsi="Arial"/>
                <w:sz w:val="13"/>
                <w:szCs w:val="13"/>
                <w:color w:val="auto"/>
              </w:rPr>
              <w:t>90,000 ​​ ​</w:t>
            </w:r>
          </w:p>
        </w:tc>
        <w:tc>
          <w:tcPr>
            <w:tcW w:w="120" w:type="dxa"/>
            <w:vAlign w:val="bottom"/>
            <w:tcBorders>
              <w:bottom w:val="single" w:sz="8" w:color="4C4C4C"/>
            </w:tcBorders>
          </w:tcPr>
          <w:p>
            <w:pPr>
              <w:ind w:left="6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4C4C4C"/>
            </w:tcBorders>
            <w:gridSpan w:val="2"/>
          </w:tcPr>
          <w:p>
            <w:pPr>
              <w:jc w:val="right"/>
              <w:spacing w:after="0"/>
              <w:rPr>
                <w:sz w:val="20"/>
                <w:szCs w:val="20"/>
                <w:color w:val="auto"/>
              </w:rPr>
            </w:pPr>
            <w:r>
              <w:rPr>
                <w:rFonts w:ascii="Arial" w:cs="Arial" w:eastAsia="Arial" w:hAnsi="Arial"/>
                <w:sz w:val="13"/>
                <w:szCs w:val="13"/>
                <w:color w:val="auto"/>
              </w:rPr>
              <w:t>— ​​ ​</w:t>
            </w:r>
          </w:p>
        </w:tc>
        <w:tc>
          <w:tcPr>
            <w:tcW w:w="80" w:type="dxa"/>
            <w:vAlign w:val="bottom"/>
            <w:tcBorders>
              <w:bottom w:val="single" w:sz="8" w:color="4C4C4C"/>
            </w:tcBorders>
          </w:tcPr>
          <w:p>
            <w:pPr>
              <w:ind w:left="40"/>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262,800</w:t>
            </w:r>
          </w:p>
        </w:tc>
        <w:tc>
          <w:tcPr>
            <w:tcW w:w="120" w:type="dxa"/>
            <w:vAlign w:val="bottom"/>
            <w:tcBorders>
              <w:bottom w:val="single" w:sz="8" w:color="4C4C4C"/>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0"/>
        </w:trPr>
        <w:tc>
          <w:tcPr>
            <w:tcW w:w="1000" w:type="dxa"/>
            <w:vAlign w:val="bottom"/>
            <w:tcBorders>
              <w:bottom w:val="single" w:sz="8" w:color="62259D"/>
            </w:tcBorders>
            <w:gridSpan w:val="2"/>
          </w:tcPr>
          <w:p>
            <w:pPr>
              <w:spacing w:after="0"/>
              <w:rPr>
                <w:sz w:val="20"/>
                <w:szCs w:val="20"/>
                <w:color w:val="auto"/>
              </w:rPr>
            </w:pPr>
            <w:r>
              <w:rPr>
                <w:rFonts w:ascii="Arial" w:cs="Arial" w:eastAsia="Arial" w:hAnsi="Arial"/>
                <w:sz w:val="13"/>
                <w:szCs w:val="13"/>
                <w:color w:val="auto"/>
              </w:rPr>
              <w:t>​ ​</w:t>
            </w:r>
          </w:p>
        </w:tc>
        <w:tc>
          <w:tcPr>
            <w:tcW w:w="200" w:type="dxa"/>
            <w:vAlign w:val="bottom"/>
            <w:tcBorders>
              <w:bottom w:val="single" w:sz="8" w:color="62259D"/>
            </w:tcBorders>
            <w:gridSpan w:val="2"/>
          </w:tcPr>
          <w:p>
            <w:pPr>
              <w:jc w:val="right"/>
              <w:ind w:right="33"/>
              <w:spacing w:after="0"/>
              <w:rPr>
                <w:sz w:val="20"/>
                <w:szCs w:val="20"/>
                <w:color w:val="auto"/>
              </w:rPr>
            </w:pPr>
            <w:r>
              <w:rPr>
                <w:rFonts w:ascii="Arial" w:cs="Arial" w:eastAsia="Arial" w:hAnsi="Arial"/>
                <w:sz w:val="13"/>
                <w:szCs w:val="13"/>
                <w:color w:val="auto"/>
              </w:rPr>
              <w:t>​ ​</w:t>
            </w:r>
          </w:p>
        </w:tc>
        <w:tc>
          <w:tcPr>
            <w:tcW w:w="1020" w:type="dxa"/>
            <w:vAlign w:val="bottom"/>
            <w:tcBorders>
              <w:bottom w:val="single" w:sz="8" w:color="62259D"/>
            </w:tcBorders>
          </w:tcPr>
          <w:p>
            <w:pPr>
              <w:jc w:val="center"/>
              <w:spacing w:after="0"/>
              <w:rPr>
                <w:sz w:val="20"/>
                <w:szCs w:val="20"/>
                <w:color w:val="auto"/>
              </w:rPr>
            </w:pPr>
            <w:r>
              <w:rPr>
                <w:rFonts w:ascii="Arial" w:cs="Arial" w:eastAsia="Arial" w:hAnsi="Arial"/>
                <w:sz w:val="13"/>
                <w:szCs w:val="13"/>
                <w:color w:val="auto"/>
              </w:rPr>
              <w:t>May 15, 2025</w:t>
            </w:r>
          </w:p>
        </w:tc>
        <w:tc>
          <w:tcPr>
            <w:tcW w:w="200" w:type="dxa"/>
            <w:vAlign w:val="bottom"/>
            <w:tcBorders>
              <w:bottom w:val="single" w:sz="8" w:color="62259D"/>
            </w:tcBorders>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bottom w:val="single" w:sz="8" w:color="62259D"/>
            </w:tcBorders>
          </w:tcPr>
          <w:p>
            <w:pPr>
              <w:jc w:val="center"/>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62259D"/>
            </w:tcBorders>
          </w:tcPr>
          <w:p>
            <w:pPr>
              <w:ind w:left="20"/>
              <w:spacing w:after="0" w:line="210"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300" w:type="dxa"/>
            <w:vAlign w:val="bottom"/>
            <w:tcBorders>
              <w:bottom w:val="single" w:sz="8" w:color="62259D"/>
            </w:tcBorders>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w:t>
            </w:r>
          </w:p>
        </w:tc>
        <w:tc>
          <w:tcPr>
            <w:tcW w:w="620" w:type="dxa"/>
            <w:vAlign w:val="bottom"/>
            <w:tcBorders>
              <w:bottom w:val="single" w:sz="8" w:color="62259D"/>
            </w:tcBorders>
          </w:tcPr>
          <w:p>
            <w:pPr>
              <w:ind w:left="2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200" w:type="dxa"/>
            <w:vAlign w:val="bottom"/>
            <w:tcBorders>
              <w:bottom w:val="single" w:sz="8" w:color="62259D"/>
            </w:tcBorders>
          </w:tcPr>
          <w:p>
            <w:pPr>
              <w:ind w:left="20"/>
              <w:spacing w:after="0"/>
              <w:rPr>
                <w:sz w:val="20"/>
                <w:szCs w:val="20"/>
                <w:color w:val="auto"/>
              </w:rPr>
            </w:pPr>
            <w:r>
              <w:rPr>
                <w:rFonts w:ascii="Arial" w:cs="Arial" w:eastAsia="Arial" w:hAnsi="Arial"/>
                <w:sz w:val="13"/>
                <w:szCs w:val="13"/>
                <w:color w:val="auto"/>
              </w:rPr>
              <w:t>​​ ​</w:t>
            </w:r>
          </w:p>
        </w:tc>
        <w:tc>
          <w:tcPr>
            <w:tcW w:w="660" w:type="dxa"/>
            <w:vAlign w:val="bottom"/>
            <w:tcBorders>
              <w:bottom w:val="single" w:sz="8" w:color="62259D"/>
            </w:tcBorders>
          </w:tcPr>
          <w:p>
            <w:pPr>
              <w:jc w:val="center"/>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w:t>
            </w:r>
          </w:p>
        </w:tc>
        <w:tc>
          <w:tcPr>
            <w:tcW w:w="880" w:type="dxa"/>
            <w:vAlign w:val="bottom"/>
            <w:tcBorders>
              <w:bottom w:val="single" w:sz="8" w:color="62259D"/>
            </w:tcBorders>
            <w:gridSpan w:val="2"/>
          </w:tcPr>
          <w:p>
            <w:pPr>
              <w:jc w:val="right"/>
              <w:ind w:right="15"/>
              <w:spacing w:after="0" w:line="210" w:lineRule="exact"/>
              <w:rPr>
                <w:sz w:val="20"/>
                <w:szCs w:val="20"/>
                <w:color w:val="auto"/>
              </w:rPr>
            </w:pPr>
            <w:r>
              <w:rPr>
                <w:rFonts w:ascii="Arial" w:cs="Arial" w:eastAsia="Arial" w:hAnsi="Arial"/>
                <w:sz w:val="24"/>
                <w:szCs w:val="24"/>
                <w:color w:val="auto"/>
                <w:vertAlign w:val="subscript"/>
              </w:rPr>
              <w:t>​​ ​ ​</w:t>
            </w:r>
            <w:r>
              <w:rPr>
                <w:rFonts w:ascii="Arial" w:cs="Arial" w:eastAsia="Arial" w:hAnsi="Arial"/>
                <w:sz w:val="13"/>
                <w:szCs w:val="13"/>
                <w:color w:val="auto"/>
              </w:rPr>
              <w:t>​ 48,523</w:t>
            </w:r>
            <w:r>
              <w:rPr>
                <w:rFonts w:ascii="Arial" w:cs="Arial" w:eastAsia="Arial" w:hAnsi="Arial"/>
                <w:sz w:val="24"/>
                <w:szCs w:val="24"/>
                <w:color w:val="auto"/>
                <w:vertAlign w:val="subscript"/>
              </w:rPr>
              <w:t>​ ​</w:t>
            </w:r>
          </w:p>
        </w:tc>
        <w:tc>
          <w:tcPr>
            <w:tcW w:w="100" w:type="dxa"/>
            <w:vAlign w:val="bottom"/>
            <w:tcBorders>
              <w:bottom w:val="single" w:sz="8" w:color="62259D"/>
            </w:tcBorders>
          </w:tcPr>
          <w:p>
            <w:pPr>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660" w:type="dxa"/>
            <w:vAlign w:val="bottom"/>
            <w:tcBorders>
              <w:bottom w:val="single" w:sz="8" w:color="62259D"/>
            </w:tcBorders>
            <w:gridSpan w:val="4"/>
          </w:tcPr>
          <w:p>
            <w:pPr>
              <w:jc w:val="right"/>
              <w:spacing w:after="0" w:line="210" w:lineRule="exact"/>
              <w:rPr>
                <w:sz w:val="20"/>
                <w:szCs w:val="20"/>
                <w:color w:val="auto"/>
              </w:rPr>
            </w:pPr>
            <w:r>
              <w:rPr>
                <w:rFonts w:ascii="Arial" w:cs="Arial" w:eastAsia="Arial" w:hAnsi="Arial"/>
                <w:sz w:val="13"/>
                <w:szCs w:val="13"/>
                <w:color w:val="auto"/>
              </w:rPr>
              <w:t xml:space="preserve">72,784 </w:t>
            </w:r>
            <w:r>
              <w:rPr>
                <w:rFonts w:ascii="Arial" w:cs="Arial" w:eastAsia="Arial" w:hAnsi="Arial"/>
                <w:sz w:val="24"/>
                <w:szCs w:val="24"/>
                <w:color w:val="auto"/>
                <w:vertAlign w:val="subscript"/>
              </w:rPr>
              <w:t>​​ ​</w:t>
            </w:r>
          </w:p>
        </w:tc>
        <w:tc>
          <w:tcPr>
            <w:tcW w:w="120" w:type="dxa"/>
            <w:vAlign w:val="bottom"/>
            <w:tcBorders>
              <w:bottom w:val="single" w:sz="8" w:color="62259D"/>
            </w:tcBorders>
          </w:tcPr>
          <w:p>
            <w:pPr>
              <w:ind w:left="6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840" w:type="dxa"/>
            <w:vAlign w:val="bottom"/>
            <w:tcBorders>
              <w:bottom w:val="single" w:sz="8" w:color="62259D"/>
            </w:tcBorders>
            <w:gridSpan w:val="2"/>
          </w:tcPr>
          <w:p>
            <w:pPr>
              <w:jc w:val="right"/>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 ​</w:t>
            </w:r>
          </w:p>
        </w:tc>
        <w:tc>
          <w:tcPr>
            <w:tcW w:w="80" w:type="dxa"/>
            <w:vAlign w:val="bottom"/>
            <w:tcBorders>
              <w:bottom w:val="single" w:sz="8" w:color="62259D"/>
            </w:tcBorders>
          </w:tcPr>
          <w:p>
            <w:pPr>
              <w:ind w:left="4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perscript"/>
              </w:rPr>
              <w:t>​</w:t>
            </w:r>
          </w:p>
        </w:tc>
        <w:tc>
          <w:tcPr>
            <w:tcW w:w="660" w:type="dxa"/>
            <w:vAlign w:val="bottom"/>
            <w:tcBorders>
              <w:bottom w:val="single" w:sz="8" w:color="62259D"/>
            </w:tcBorders>
          </w:tcPr>
          <w:p>
            <w:pPr>
              <w:jc w:val="right"/>
              <w:spacing w:after="0"/>
              <w:rPr>
                <w:sz w:val="20"/>
                <w:szCs w:val="20"/>
                <w:color w:val="auto"/>
              </w:rPr>
            </w:pPr>
            <w:r>
              <w:rPr>
                <w:rFonts w:ascii="Arial" w:cs="Arial" w:eastAsia="Arial" w:hAnsi="Arial"/>
                <w:sz w:val="13"/>
                <w:szCs w:val="13"/>
                <w:color w:val="auto"/>
              </w:rPr>
              <w:t>175,653</w:t>
            </w:r>
          </w:p>
        </w:tc>
        <w:tc>
          <w:tcPr>
            <w:tcW w:w="120" w:type="dxa"/>
            <w:vAlign w:val="bottom"/>
            <w:tcBorders>
              <w:bottom w:val="single" w:sz="8" w:color="62259D"/>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7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63" w:lineRule="exact"/>
        <w:rPr>
          <w:sz w:val="20"/>
          <w:szCs w:val="20"/>
          <w:color w:val="auto"/>
        </w:rPr>
      </w:pPr>
    </w:p>
    <w:p>
      <w:pPr>
        <w:ind w:left="1400" w:hanging="368"/>
        <w:spacing w:after="0"/>
        <w:tabs>
          <w:tab w:leader="none" w:pos="14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“Target” amount represents the potential cash bonus payment under the SMCIP at target level of achievement.</w:t>
      </w:r>
    </w:p>
    <w:p>
      <w:pPr>
        <w:spacing w:after="0" w:line="82" w:lineRule="exact"/>
        <w:rPr>
          <w:rFonts w:ascii="Arial" w:cs="Arial" w:eastAsia="Arial" w:hAnsi="Arial"/>
          <w:sz w:val="14"/>
          <w:szCs w:val="14"/>
          <w:color w:val="auto"/>
        </w:rPr>
      </w:pPr>
    </w:p>
    <w:p>
      <w:pPr>
        <w:ind w:left="1400" w:right="179" w:hanging="368"/>
        <w:spacing w:after="0" w:line="269" w:lineRule="auto"/>
        <w:tabs>
          <w:tab w:leader="none" w:pos="14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In 2025, we granted PSUs with both market and service conditions to Messrs. McClelland, Townsend, Bucci, Macken, McCaffery and Redington. PSUs that include a market condition require the use of a Monte Carlo simulation approach to model future stock price movements based upon the risk-free rate of return, the volatility of each entity and, where applicable, the pair-wise covariance between each entity. These results are then used to calculate the grant date fair values of the respective PSUs.</w:t>
      </w:r>
    </w:p>
    <w:p>
      <w:pPr>
        <w:spacing w:after="0" w:line="182" w:lineRule="exact"/>
        <w:rPr>
          <w:rFonts w:ascii="Arial" w:cs="Arial" w:eastAsia="Arial" w:hAnsi="Arial"/>
          <w:sz w:val="14"/>
          <w:szCs w:val="14"/>
          <w:color w:val="auto"/>
        </w:rPr>
      </w:pPr>
    </w:p>
    <w:p>
      <w:pPr>
        <w:ind w:left="1400" w:right="119"/>
        <w:spacing w:after="0" w:line="256" w:lineRule="auto"/>
        <w:rPr>
          <w:rFonts w:ascii="Arial" w:cs="Arial" w:eastAsia="Arial" w:hAnsi="Arial"/>
          <w:sz w:val="14"/>
          <w:szCs w:val="14"/>
          <w:color w:val="auto"/>
        </w:rPr>
      </w:pPr>
      <w:r>
        <w:rPr>
          <w:rFonts w:ascii="Arial" w:cs="Arial" w:eastAsia="Arial" w:hAnsi="Arial"/>
          <w:sz w:val="14"/>
          <w:szCs w:val="14"/>
          <w:color w:val="auto"/>
        </w:rPr>
        <w:t>Each 2025 Annual PSU grant made to Messrs. McClelland, Bucci, Macken, McCaffery and Redington, based, in part, on performance is comprised of three consecutive fiscal year performance periods from 2025 through 2027 (each, a “</w:t>
      </w:r>
      <w:r>
        <w:rPr>
          <w:rFonts w:ascii="Arial" w:cs="Arial" w:eastAsia="Arial" w:hAnsi="Arial"/>
          <w:sz w:val="14"/>
          <w:szCs w:val="14"/>
          <w:i w:val="1"/>
          <w:iCs w:val="1"/>
          <w:color w:val="auto"/>
        </w:rPr>
        <w:t>Fiscal Year</w:t>
      </w:r>
      <w:r>
        <w:rPr>
          <w:rFonts w:ascii="Arial" w:cs="Arial" w:eastAsia="Arial" w:hAnsi="Arial"/>
          <w:sz w:val="14"/>
          <w:szCs w:val="14"/>
          <w:color w:val="auto"/>
        </w:rPr>
        <w:t xml:space="preserve"> </w:t>
      </w:r>
      <w:r>
        <w:rPr>
          <w:rFonts w:ascii="Arial" w:cs="Arial" w:eastAsia="Arial" w:hAnsi="Arial"/>
          <w:sz w:val="14"/>
          <w:szCs w:val="14"/>
          <w:i w:val="1"/>
          <w:iCs w:val="1"/>
          <w:color w:val="auto"/>
        </w:rPr>
        <w:t>Performance Period</w:t>
      </w:r>
      <w:r>
        <w:rPr>
          <w:rFonts w:ascii="Arial" w:cs="Arial" w:eastAsia="Arial" w:hAnsi="Arial"/>
          <w:sz w:val="14"/>
          <w:szCs w:val="14"/>
          <w:color w:val="auto"/>
        </w:rPr>
        <w:t>”), with one-third of the Performance PSUs attributable to each Fiscal Year Performance Period (other than</w:t>
      </w:r>
      <w:r>
        <w:rPr>
          <w:rFonts w:ascii="Arial" w:cs="Arial" w:eastAsia="Arial" w:hAnsi="Arial"/>
          <w:sz w:val="14"/>
          <w:szCs w:val="14"/>
          <w:i w:val="1"/>
          <w:iCs w:val="1"/>
          <w:color w:val="auto"/>
        </w:rPr>
        <w:t xml:space="preserve"> </w:t>
      </w:r>
      <w:r>
        <w:rPr>
          <w:rFonts w:ascii="Arial" w:cs="Arial" w:eastAsia="Arial" w:hAnsi="Arial"/>
          <w:sz w:val="14"/>
          <w:szCs w:val="14"/>
          <w:color w:val="auto"/>
        </w:rPr>
        <w:t>for the awards made to Mr. McCaffery where the shares for the 2026 Fiscal Year Performance Period were adjusted to reflect the portion of 2026 for which he was employed). The 2025 True-Up PSU grants are based on performance during the 2027 Fiscal Year Performance Period only. The number of shares that will vest for each Fiscal Year Performance Period will be based on the achievement of certain metrics related to the Company’s financial performance for the applicable year on a standalone basis (each, a “</w:t>
      </w:r>
      <w:r>
        <w:rPr>
          <w:rFonts w:ascii="Arial" w:cs="Arial" w:eastAsia="Arial" w:hAnsi="Arial"/>
          <w:sz w:val="14"/>
          <w:szCs w:val="14"/>
          <w:i w:val="1"/>
          <w:iCs w:val="1"/>
          <w:color w:val="auto"/>
        </w:rPr>
        <w:t>Fiscal Year Performance Condition</w:t>
      </w:r>
      <w:r>
        <w:rPr>
          <w:rFonts w:ascii="Arial" w:cs="Arial" w:eastAsia="Arial" w:hAnsi="Arial"/>
          <w:sz w:val="14"/>
          <w:szCs w:val="14"/>
          <w:color w:val="auto"/>
        </w:rPr>
        <w:t>”). The Company’s achievement of each Fiscal Year Performance Condition (and the number of shares of Company common stock to vest as a result thereof) is measured on a linear sliding scale in relation to specific threshold, target and stretch performance conditions. The Compensation Committee will determine the number of shares earned, if any, after the Company’s financial results for each Fiscal Year Performance Period are finalized. Upon the determination by the Compensation Committee of the number of shares that will be received upon vesting of the 2025 Annual PSUs and the 2025 True-Up PSUs, such number of shares will become fixed and the unamortized expense will be recorded through the remainder of the applicable service period, at which time the total Performance PSUs earned, if any, will vest, pending each executive’s continued employment with the Company through that date.</w:t>
      </w:r>
    </w:p>
    <w:p>
      <w:pPr>
        <w:spacing w:after="0" w:line="363" w:lineRule="exact"/>
        <w:rPr>
          <w:rFonts w:ascii="Arial" w:cs="Arial" w:eastAsia="Arial" w:hAnsi="Arial"/>
          <w:sz w:val="14"/>
          <w:szCs w:val="14"/>
          <w:color w:val="auto"/>
        </w:rPr>
      </w:pPr>
    </w:p>
    <w:p>
      <w:pPr>
        <w:ind w:left="1400" w:right="99"/>
        <w:spacing w:after="0" w:line="262" w:lineRule="auto"/>
        <w:rPr>
          <w:rFonts w:ascii="Arial" w:cs="Arial" w:eastAsia="Arial" w:hAnsi="Arial"/>
          <w:sz w:val="14"/>
          <w:szCs w:val="14"/>
          <w:color w:val="auto"/>
        </w:rPr>
      </w:pPr>
      <w:r>
        <w:rPr>
          <w:rFonts w:ascii="Arial" w:cs="Arial" w:eastAsia="Arial" w:hAnsi="Arial"/>
          <w:sz w:val="14"/>
          <w:szCs w:val="14"/>
          <w:color w:val="auto"/>
        </w:rPr>
        <w:t xml:space="preserve">The number of shares of common stock to be achieved upon vesting of the Performance PSUs will in no event exceed 150% of the Performance PSUs. Shares subject to the Performance PSUs that fail to be earned will be forfeited. In January 2026, as discussed in “— </w:t>
      </w:r>
      <w:r>
        <w:rPr>
          <w:rFonts w:ascii="Arial" w:cs="Arial" w:eastAsia="Arial" w:hAnsi="Arial"/>
          <w:sz w:val="14"/>
          <w:szCs w:val="14"/>
          <w:i w:val="1"/>
          <w:iCs w:val="1"/>
          <w:color w:val="auto"/>
        </w:rPr>
        <w:t>Compensation Discussion &amp; Analysis</w:t>
      </w:r>
      <w:r>
        <w:rPr>
          <w:rFonts w:ascii="Arial" w:cs="Arial" w:eastAsia="Arial" w:hAnsi="Arial"/>
          <w:sz w:val="14"/>
          <w:szCs w:val="14"/>
          <w:color w:val="auto"/>
        </w:rPr>
        <w:t>” above, the Compensation Committee determined that the performance metrics for the performance portion of the 2025 Annual PSUs had been achieved at approximately 36% of target, with such achievement equal to the right to receive the following shares, provided (with respect to the Annual PSU grants), that the NEO is still employed by the Company on the vesting date: Mr. McClelland 15,882 shares; Mr. Bucci 18,000 shares; and Mr. Macken 11,700 shares.</w:t>
      </w:r>
    </w:p>
    <w:p>
      <w:pPr>
        <w:spacing w:after="0" w:line="187" w:lineRule="exact"/>
        <w:rPr>
          <w:rFonts w:ascii="Arial" w:cs="Arial" w:eastAsia="Arial" w:hAnsi="Arial"/>
          <w:sz w:val="14"/>
          <w:szCs w:val="14"/>
          <w:color w:val="auto"/>
        </w:rPr>
      </w:pPr>
    </w:p>
    <w:p>
      <w:pPr>
        <w:ind w:left="1400" w:right="99"/>
        <w:spacing w:after="0" w:line="262" w:lineRule="auto"/>
        <w:rPr>
          <w:rFonts w:ascii="Arial" w:cs="Arial" w:eastAsia="Arial" w:hAnsi="Arial"/>
          <w:sz w:val="14"/>
          <w:szCs w:val="14"/>
          <w:color w:val="auto"/>
        </w:rPr>
      </w:pPr>
      <w:r>
        <w:rPr>
          <w:rFonts w:ascii="Arial" w:cs="Arial" w:eastAsia="Arial" w:hAnsi="Arial"/>
          <w:sz w:val="14"/>
          <w:szCs w:val="14"/>
          <w:color w:val="auto"/>
        </w:rPr>
        <w:t>The TSR portion of the 2025 Annual PSUs have a single multi-year performance period, which will end on December 31, 2027 (the “</w:t>
      </w:r>
      <w:r>
        <w:rPr>
          <w:rFonts w:ascii="Arial" w:cs="Arial" w:eastAsia="Arial" w:hAnsi="Arial"/>
          <w:sz w:val="14"/>
          <w:szCs w:val="14"/>
          <w:i w:val="1"/>
          <w:iCs w:val="1"/>
          <w:color w:val="auto"/>
        </w:rPr>
        <w:t>Market Performance Period</w:t>
      </w:r>
      <w:r>
        <w:rPr>
          <w:rFonts w:ascii="Arial" w:cs="Arial" w:eastAsia="Arial" w:hAnsi="Arial"/>
          <w:sz w:val="14"/>
          <w:szCs w:val="14"/>
          <w:color w:val="auto"/>
        </w:rPr>
        <w:t>”). The number of shares subject to the TSR portion of the 2025 Annual PSUs that will vest, if any, on May 15, 2028, will be dependent upon the Company’s TSR compared with the TSR of the peer companies identified by the Compensation Committee for the 2025 Annual PSUs, measured by the Compensation Committee after the Market Performance Period ends. The shares determined to be earned will vest on May 15, 2028, pending each executive’s continued employment with the Company through that date. The number of shares of common stock to be achieved upon vesting of the TSR portion of the 2025 Annual PSUs will in no event exceed 200% of the TSR portion of the 2025 Annual PSUs. Shares subject to the TSR portion of the 2025 Annual PSUs that fail to be earned will be forfeited.</w:t>
      </w:r>
    </w:p>
    <w:p>
      <w:pPr>
        <w:spacing w:after="0" w:line="38" w:lineRule="exact"/>
        <w:rPr>
          <w:rFonts w:ascii="Arial" w:cs="Arial" w:eastAsia="Arial" w:hAnsi="Arial"/>
          <w:sz w:val="14"/>
          <w:szCs w:val="14"/>
          <w:color w:val="auto"/>
        </w:rPr>
      </w:pPr>
    </w:p>
    <w:p>
      <w:pPr>
        <w:ind w:left="1400" w:right="259" w:hanging="368"/>
        <w:spacing w:after="0" w:line="273" w:lineRule="auto"/>
        <w:tabs>
          <w:tab w:leader="none" w:pos="14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Amounts reflect the grant date fair values of the RSUs and PSUs estimated in accordance with ASC 718 as of the respective grant dates. The methodology for calculating the grant date fair value of stock awards is discussed in Note 19 to the Company’s Audited Financial Statements for the year ended December 31,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Outstanding Equity Awards at Fiscal Year-End</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information concerning unvested stock awards held by the NEOs as of</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December 31, 2025 for those NEOs that held unvested awards as of such date:</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1400" w:type="dxa"/>
            <w:vAlign w:val="bottom"/>
            <w:shd w:val="clear" w:color="auto" w:fill="62259D"/>
          </w:tcPr>
          <w:p>
            <w:pPr>
              <w:spacing w:after="0"/>
              <w:rPr>
                <w:sz w:val="16"/>
                <w:szCs w:val="16"/>
                <w:color w:val="auto"/>
              </w:rPr>
            </w:pPr>
          </w:p>
        </w:tc>
        <w:tc>
          <w:tcPr>
            <w:tcW w:w="240" w:type="dxa"/>
            <w:vAlign w:val="bottom"/>
            <w:shd w:val="clear" w:color="auto" w:fill="62259D"/>
          </w:tcPr>
          <w:p>
            <w:pPr>
              <w:spacing w:after="0"/>
              <w:rPr>
                <w:sz w:val="16"/>
                <w:szCs w:val="16"/>
                <w:color w:val="auto"/>
              </w:rPr>
            </w:pPr>
          </w:p>
        </w:tc>
        <w:tc>
          <w:tcPr>
            <w:tcW w:w="80" w:type="dxa"/>
            <w:vAlign w:val="bottom"/>
            <w:shd w:val="clear" w:color="auto" w:fill="62259D"/>
          </w:tcPr>
          <w:p>
            <w:pPr>
              <w:spacing w:after="0"/>
              <w:rPr>
                <w:sz w:val="16"/>
                <w:szCs w:val="16"/>
                <w:color w:val="auto"/>
              </w:rPr>
            </w:pPr>
          </w:p>
        </w:tc>
        <w:tc>
          <w:tcPr>
            <w:tcW w:w="520" w:type="dxa"/>
            <w:vAlign w:val="bottom"/>
            <w:shd w:val="clear" w:color="auto" w:fill="62259D"/>
          </w:tcPr>
          <w:p>
            <w:pPr>
              <w:spacing w:after="0"/>
              <w:rPr>
                <w:sz w:val="16"/>
                <w:szCs w:val="16"/>
                <w:color w:val="auto"/>
              </w:rPr>
            </w:pPr>
          </w:p>
        </w:tc>
        <w:tc>
          <w:tcPr>
            <w:tcW w:w="960" w:type="dxa"/>
            <w:vAlign w:val="bottom"/>
            <w:shd w:val="clear" w:color="auto" w:fill="62259D"/>
          </w:tcPr>
          <w:p>
            <w:pPr>
              <w:spacing w:after="0"/>
              <w:rPr>
                <w:sz w:val="16"/>
                <w:szCs w:val="16"/>
                <w:color w:val="auto"/>
              </w:rPr>
            </w:pPr>
          </w:p>
        </w:tc>
        <w:tc>
          <w:tcPr>
            <w:tcW w:w="200" w:type="dxa"/>
            <w:vAlign w:val="bottom"/>
            <w:shd w:val="clear" w:color="auto" w:fill="62259D"/>
          </w:tcPr>
          <w:p>
            <w:pPr>
              <w:spacing w:after="0"/>
              <w:rPr>
                <w:sz w:val="16"/>
                <w:szCs w:val="16"/>
                <w:color w:val="auto"/>
              </w:rPr>
            </w:pPr>
          </w:p>
        </w:tc>
        <w:tc>
          <w:tcPr>
            <w:tcW w:w="420" w:type="dxa"/>
            <w:vAlign w:val="bottom"/>
            <w:shd w:val="clear" w:color="auto" w:fill="62259D"/>
          </w:tcPr>
          <w:p>
            <w:pPr>
              <w:spacing w:after="0"/>
              <w:rPr>
                <w:sz w:val="16"/>
                <w:szCs w:val="16"/>
                <w:color w:val="auto"/>
              </w:rPr>
            </w:pPr>
          </w:p>
        </w:tc>
        <w:tc>
          <w:tcPr>
            <w:tcW w:w="60" w:type="dxa"/>
            <w:vAlign w:val="bottom"/>
            <w:shd w:val="clear" w:color="auto" w:fill="62259D"/>
          </w:tcPr>
          <w:p>
            <w:pPr>
              <w:spacing w:after="0"/>
              <w:rPr>
                <w:sz w:val="16"/>
                <w:szCs w:val="16"/>
                <w:color w:val="auto"/>
              </w:rPr>
            </w:pPr>
          </w:p>
        </w:tc>
        <w:tc>
          <w:tcPr>
            <w:tcW w:w="96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580" w:type="dxa"/>
            <w:vAlign w:val="bottom"/>
            <w:shd w:val="clear" w:color="auto" w:fill="62259D"/>
          </w:tcPr>
          <w:p>
            <w:pPr>
              <w:spacing w:after="0"/>
              <w:rPr>
                <w:sz w:val="16"/>
                <w:szCs w:val="16"/>
                <w:color w:val="auto"/>
              </w:rPr>
            </w:pPr>
          </w:p>
        </w:tc>
        <w:tc>
          <w:tcPr>
            <w:tcW w:w="94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1880" w:type="dxa"/>
            <w:vAlign w:val="bottom"/>
            <w:gridSpan w:val="3"/>
            <w:shd w:val="clear" w:color="auto" w:fill="62259D"/>
          </w:tcPr>
          <w:p>
            <w:pPr>
              <w:jc w:val="center"/>
              <w:spacing w:after="0"/>
              <w:rPr>
                <w:sz w:val="20"/>
                <w:szCs w:val="20"/>
                <w:color w:val="auto"/>
              </w:rPr>
            </w:pPr>
            <w:r>
              <w:rPr>
                <w:rFonts w:ascii="Arial" w:cs="Arial" w:eastAsia="Arial" w:hAnsi="Arial"/>
                <w:sz w:val="13"/>
                <w:szCs w:val="13"/>
                <w:b w:val="1"/>
                <w:bCs w:val="1"/>
                <w:color w:val="FEFEFE"/>
              </w:rPr>
              <w:t>Equity Incentive Plan</w:t>
            </w:r>
          </w:p>
        </w:tc>
        <w:tc>
          <w:tcPr>
            <w:tcW w:w="180" w:type="dxa"/>
            <w:vAlign w:val="bottom"/>
            <w:shd w:val="clear" w:color="auto" w:fill="62259D"/>
          </w:tcPr>
          <w:p>
            <w:pPr>
              <w:spacing w:after="0"/>
              <w:rPr>
                <w:sz w:val="16"/>
                <w:szCs w:val="16"/>
                <w:color w:val="auto"/>
              </w:rPr>
            </w:pPr>
          </w:p>
        </w:tc>
      </w:tr>
      <w:tr>
        <w:trPr>
          <w:trHeight w:val="149"/>
        </w:trPr>
        <w:tc>
          <w:tcPr>
            <w:tcW w:w="1400" w:type="dxa"/>
            <w:vAlign w:val="bottom"/>
            <w:shd w:val="clear" w:color="auto" w:fill="62259D"/>
          </w:tcPr>
          <w:p>
            <w:pPr>
              <w:spacing w:after="0"/>
              <w:rPr>
                <w:sz w:val="12"/>
                <w:szCs w:val="12"/>
                <w:color w:val="auto"/>
              </w:rPr>
            </w:pPr>
          </w:p>
        </w:tc>
        <w:tc>
          <w:tcPr>
            <w:tcW w:w="240" w:type="dxa"/>
            <w:vAlign w:val="bottom"/>
            <w:shd w:val="clear" w:color="auto" w:fill="62259D"/>
          </w:tcPr>
          <w:p>
            <w:pPr>
              <w:spacing w:after="0"/>
              <w:rPr>
                <w:sz w:val="12"/>
                <w:szCs w:val="12"/>
                <w:color w:val="auto"/>
              </w:rPr>
            </w:pPr>
          </w:p>
        </w:tc>
        <w:tc>
          <w:tcPr>
            <w:tcW w:w="80" w:type="dxa"/>
            <w:vAlign w:val="bottom"/>
            <w:shd w:val="clear" w:color="auto" w:fill="62259D"/>
          </w:tcPr>
          <w:p>
            <w:pPr>
              <w:spacing w:after="0"/>
              <w:rPr>
                <w:sz w:val="12"/>
                <w:szCs w:val="12"/>
                <w:color w:val="auto"/>
              </w:rPr>
            </w:pPr>
          </w:p>
        </w:tc>
        <w:tc>
          <w:tcPr>
            <w:tcW w:w="520" w:type="dxa"/>
            <w:vAlign w:val="bottom"/>
            <w:shd w:val="clear" w:color="auto" w:fill="62259D"/>
          </w:tcPr>
          <w:p>
            <w:pPr>
              <w:spacing w:after="0"/>
              <w:rPr>
                <w:sz w:val="12"/>
                <w:szCs w:val="12"/>
                <w:color w:val="auto"/>
              </w:rPr>
            </w:pPr>
          </w:p>
        </w:tc>
        <w:tc>
          <w:tcPr>
            <w:tcW w:w="960" w:type="dxa"/>
            <w:vAlign w:val="bottom"/>
            <w:shd w:val="clear" w:color="auto" w:fill="62259D"/>
          </w:tcPr>
          <w:p>
            <w:pPr>
              <w:spacing w:after="0"/>
              <w:rPr>
                <w:sz w:val="12"/>
                <w:szCs w:val="12"/>
                <w:color w:val="auto"/>
              </w:rPr>
            </w:pPr>
          </w:p>
        </w:tc>
        <w:tc>
          <w:tcPr>
            <w:tcW w:w="200" w:type="dxa"/>
            <w:vAlign w:val="bottom"/>
            <w:shd w:val="clear" w:color="auto" w:fill="62259D"/>
          </w:tcPr>
          <w:p>
            <w:pPr>
              <w:spacing w:after="0"/>
              <w:rPr>
                <w:sz w:val="12"/>
                <w:szCs w:val="12"/>
                <w:color w:val="auto"/>
              </w:rPr>
            </w:pPr>
          </w:p>
        </w:tc>
        <w:tc>
          <w:tcPr>
            <w:tcW w:w="420" w:type="dxa"/>
            <w:vAlign w:val="bottom"/>
            <w:shd w:val="clear" w:color="auto" w:fill="62259D"/>
          </w:tcPr>
          <w:p>
            <w:pPr>
              <w:spacing w:after="0"/>
              <w:rPr>
                <w:sz w:val="12"/>
                <w:szCs w:val="12"/>
                <w:color w:val="auto"/>
              </w:rPr>
            </w:pPr>
          </w:p>
        </w:tc>
        <w:tc>
          <w:tcPr>
            <w:tcW w:w="60" w:type="dxa"/>
            <w:vAlign w:val="bottom"/>
            <w:shd w:val="clear" w:color="auto" w:fill="62259D"/>
          </w:tcPr>
          <w:p>
            <w:pPr>
              <w:spacing w:after="0"/>
              <w:rPr>
                <w:sz w:val="12"/>
                <w:szCs w:val="12"/>
                <w:color w:val="auto"/>
              </w:rPr>
            </w:pPr>
          </w:p>
        </w:tc>
        <w:tc>
          <w:tcPr>
            <w:tcW w:w="960" w:type="dxa"/>
            <w:vAlign w:val="bottom"/>
            <w:shd w:val="clear" w:color="auto" w:fill="62259D"/>
          </w:tcPr>
          <w:p>
            <w:pPr>
              <w:spacing w:after="0"/>
              <w:rPr>
                <w:sz w:val="12"/>
                <w:szCs w:val="12"/>
                <w:color w:val="auto"/>
              </w:rPr>
            </w:pPr>
          </w:p>
        </w:tc>
        <w:tc>
          <w:tcPr>
            <w:tcW w:w="220" w:type="dxa"/>
            <w:vAlign w:val="bottom"/>
            <w:shd w:val="clear" w:color="auto" w:fill="62259D"/>
          </w:tcPr>
          <w:p>
            <w:pPr>
              <w:spacing w:after="0"/>
              <w:rPr>
                <w:sz w:val="12"/>
                <w:szCs w:val="12"/>
                <w:color w:val="auto"/>
              </w:rPr>
            </w:pPr>
          </w:p>
        </w:tc>
        <w:tc>
          <w:tcPr>
            <w:tcW w:w="1520" w:type="dxa"/>
            <w:vAlign w:val="bottom"/>
            <w:gridSpan w:val="2"/>
            <w:shd w:val="clear" w:color="auto" w:fill="62259D"/>
          </w:tcPr>
          <w:p>
            <w:pPr>
              <w:spacing w:after="0"/>
              <w:rPr>
                <w:sz w:val="20"/>
                <w:szCs w:val="20"/>
                <w:color w:val="auto"/>
              </w:rPr>
            </w:pPr>
            <w:r>
              <w:rPr>
                <w:rFonts w:ascii="Arial" w:cs="Arial" w:eastAsia="Arial" w:hAnsi="Arial"/>
                <w:sz w:val="13"/>
                <w:szCs w:val="13"/>
                <w:b w:val="1"/>
                <w:bCs w:val="1"/>
                <w:color w:val="FEFEFE"/>
              </w:rPr>
              <w:t>Equity Incentive Plan</w:t>
            </w:r>
          </w:p>
        </w:tc>
        <w:tc>
          <w:tcPr>
            <w:tcW w:w="220" w:type="dxa"/>
            <w:vAlign w:val="bottom"/>
            <w:shd w:val="clear" w:color="auto" w:fill="62259D"/>
          </w:tcPr>
          <w:p>
            <w:pPr>
              <w:spacing w:after="0"/>
              <w:rPr>
                <w:sz w:val="12"/>
                <w:szCs w:val="12"/>
                <w:color w:val="auto"/>
              </w:rPr>
            </w:pPr>
          </w:p>
        </w:tc>
        <w:tc>
          <w:tcPr>
            <w:tcW w:w="1880" w:type="dxa"/>
            <w:vAlign w:val="bottom"/>
            <w:gridSpan w:val="3"/>
            <w:shd w:val="clear" w:color="auto" w:fill="62259D"/>
          </w:tcPr>
          <w:p>
            <w:pPr>
              <w:jc w:val="center"/>
              <w:spacing w:after="0"/>
              <w:rPr>
                <w:sz w:val="20"/>
                <w:szCs w:val="20"/>
                <w:color w:val="auto"/>
              </w:rPr>
            </w:pPr>
            <w:r>
              <w:rPr>
                <w:rFonts w:ascii="Arial" w:cs="Arial" w:eastAsia="Arial" w:hAnsi="Arial"/>
                <w:sz w:val="13"/>
                <w:szCs w:val="13"/>
                <w:b w:val="1"/>
                <w:bCs w:val="1"/>
                <w:color w:val="FEFEFE"/>
              </w:rPr>
              <w:t>Awards:</w:t>
            </w:r>
          </w:p>
        </w:tc>
        <w:tc>
          <w:tcPr>
            <w:tcW w:w="180" w:type="dxa"/>
            <w:vAlign w:val="bottom"/>
            <w:shd w:val="clear" w:color="auto" w:fill="62259D"/>
          </w:tcPr>
          <w:p>
            <w:pPr>
              <w:spacing w:after="0"/>
              <w:rPr>
                <w:sz w:val="12"/>
                <w:szCs w:val="12"/>
                <w:color w:val="auto"/>
              </w:rPr>
            </w:pPr>
          </w:p>
        </w:tc>
      </w:tr>
      <w:tr>
        <w:trPr>
          <w:trHeight w:val="162"/>
        </w:trPr>
        <w:tc>
          <w:tcPr>
            <w:tcW w:w="1400" w:type="dxa"/>
            <w:vAlign w:val="bottom"/>
            <w:shd w:val="clear" w:color="auto" w:fill="62259D"/>
          </w:tcPr>
          <w:p>
            <w:pPr>
              <w:spacing w:after="0"/>
              <w:rPr>
                <w:sz w:val="14"/>
                <w:szCs w:val="14"/>
                <w:color w:val="auto"/>
              </w:rPr>
            </w:pPr>
          </w:p>
        </w:tc>
        <w:tc>
          <w:tcPr>
            <w:tcW w:w="240" w:type="dxa"/>
            <w:vAlign w:val="bottom"/>
            <w:shd w:val="clear" w:color="auto" w:fill="62259D"/>
          </w:tcPr>
          <w:p>
            <w:pPr>
              <w:spacing w:after="0"/>
              <w:rPr>
                <w:sz w:val="14"/>
                <w:szCs w:val="14"/>
                <w:color w:val="auto"/>
              </w:rPr>
            </w:pPr>
          </w:p>
        </w:tc>
        <w:tc>
          <w:tcPr>
            <w:tcW w:w="80" w:type="dxa"/>
            <w:vAlign w:val="bottom"/>
            <w:shd w:val="clear" w:color="auto" w:fill="62259D"/>
          </w:tcPr>
          <w:p>
            <w:pPr>
              <w:spacing w:after="0"/>
              <w:rPr>
                <w:sz w:val="14"/>
                <w:szCs w:val="14"/>
                <w:color w:val="auto"/>
              </w:rPr>
            </w:pPr>
          </w:p>
        </w:tc>
        <w:tc>
          <w:tcPr>
            <w:tcW w:w="148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No. of Shares</w:t>
            </w:r>
          </w:p>
        </w:tc>
        <w:tc>
          <w:tcPr>
            <w:tcW w:w="200" w:type="dxa"/>
            <w:vAlign w:val="bottom"/>
            <w:shd w:val="clear" w:color="auto" w:fill="62259D"/>
          </w:tcPr>
          <w:p>
            <w:pPr>
              <w:spacing w:after="0"/>
              <w:rPr>
                <w:sz w:val="14"/>
                <w:szCs w:val="14"/>
                <w:color w:val="auto"/>
              </w:rPr>
            </w:pPr>
          </w:p>
        </w:tc>
        <w:tc>
          <w:tcPr>
            <w:tcW w:w="1440" w:type="dxa"/>
            <w:vAlign w:val="bottom"/>
            <w:gridSpan w:val="3"/>
            <w:shd w:val="clear" w:color="auto" w:fill="62259D"/>
          </w:tcPr>
          <w:p>
            <w:pPr>
              <w:jc w:val="center"/>
              <w:spacing w:after="0"/>
              <w:rPr>
                <w:sz w:val="20"/>
                <w:szCs w:val="20"/>
                <w:color w:val="auto"/>
              </w:rPr>
            </w:pPr>
            <w:r>
              <w:rPr>
                <w:rFonts w:ascii="Arial" w:cs="Arial" w:eastAsia="Arial" w:hAnsi="Arial"/>
                <w:sz w:val="13"/>
                <w:szCs w:val="13"/>
                <w:b w:val="1"/>
                <w:bCs w:val="1"/>
                <w:color w:val="FEFEFE"/>
              </w:rPr>
              <w:t>Market Value of</w:t>
            </w:r>
          </w:p>
        </w:tc>
        <w:tc>
          <w:tcPr>
            <w:tcW w:w="220" w:type="dxa"/>
            <w:vAlign w:val="bottom"/>
            <w:shd w:val="clear" w:color="auto" w:fill="62259D"/>
          </w:tcPr>
          <w:p>
            <w:pPr>
              <w:spacing w:after="0"/>
              <w:rPr>
                <w:sz w:val="14"/>
                <w:szCs w:val="14"/>
                <w:color w:val="auto"/>
              </w:rPr>
            </w:pPr>
          </w:p>
        </w:tc>
        <w:tc>
          <w:tcPr>
            <w:tcW w:w="152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Awards: Number of</w:t>
            </w:r>
          </w:p>
        </w:tc>
        <w:tc>
          <w:tcPr>
            <w:tcW w:w="220" w:type="dxa"/>
            <w:vAlign w:val="bottom"/>
            <w:shd w:val="clear" w:color="auto" w:fill="62259D"/>
          </w:tcPr>
          <w:p>
            <w:pPr>
              <w:spacing w:after="0"/>
              <w:rPr>
                <w:sz w:val="14"/>
                <w:szCs w:val="14"/>
                <w:color w:val="auto"/>
              </w:rPr>
            </w:pPr>
          </w:p>
        </w:tc>
        <w:tc>
          <w:tcPr>
            <w:tcW w:w="1880" w:type="dxa"/>
            <w:vAlign w:val="bottom"/>
            <w:gridSpan w:val="3"/>
            <w:shd w:val="clear" w:color="auto" w:fill="62259D"/>
          </w:tcPr>
          <w:p>
            <w:pPr>
              <w:jc w:val="center"/>
              <w:spacing w:after="0"/>
              <w:rPr>
                <w:sz w:val="20"/>
                <w:szCs w:val="20"/>
                <w:color w:val="auto"/>
              </w:rPr>
            </w:pPr>
            <w:r>
              <w:rPr>
                <w:rFonts w:ascii="Arial" w:cs="Arial" w:eastAsia="Arial" w:hAnsi="Arial"/>
                <w:sz w:val="13"/>
                <w:szCs w:val="13"/>
                <w:b w:val="1"/>
                <w:bCs w:val="1"/>
                <w:color w:val="FEFEFE"/>
              </w:rPr>
              <w:t>Market or Payout Value of</w:t>
            </w:r>
          </w:p>
        </w:tc>
        <w:tc>
          <w:tcPr>
            <w:tcW w:w="180" w:type="dxa"/>
            <w:vAlign w:val="bottom"/>
            <w:shd w:val="clear" w:color="auto" w:fill="62259D"/>
          </w:tcPr>
          <w:p>
            <w:pPr>
              <w:spacing w:after="0"/>
              <w:rPr>
                <w:sz w:val="14"/>
                <w:szCs w:val="14"/>
                <w:color w:val="auto"/>
              </w:rPr>
            </w:pPr>
          </w:p>
        </w:tc>
      </w:tr>
      <w:tr>
        <w:trPr>
          <w:trHeight w:val="148"/>
        </w:trPr>
        <w:tc>
          <w:tcPr>
            <w:tcW w:w="1400" w:type="dxa"/>
            <w:vAlign w:val="bottom"/>
            <w:shd w:val="clear" w:color="auto" w:fill="62259D"/>
          </w:tcPr>
          <w:p>
            <w:pPr>
              <w:spacing w:after="0"/>
              <w:rPr>
                <w:sz w:val="12"/>
                <w:szCs w:val="12"/>
                <w:color w:val="auto"/>
              </w:rPr>
            </w:pPr>
          </w:p>
        </w:tc>
        <w:tc>
          <w:tcPr>
            <w:tcW w:w="240" w:type="dxa"/>
            <w:vAlign w:val="bottom"/>
            <w:shd w:val="clear" w:color="auto" w:fill="62259D"/>
          </w:tcPr>
          <w:p>
            <w:pPr>
              <w:spacing w:after="0"/>
              <w:rPr>
                <w:sz w:val="12"/>
                <w:szCs w:val="12"/>
                <w:color w:val="auto"/>
              </w:rPr>
            </w:pPr>
          </w:p>
        </w:tc>
        <w:tc>
          <w:tcPr>
            <w:tcW w:w="80" w:type="dxa"/>
            <w:vAlign w:val="bottom"/>
            <w:shd w:val="clear" w:color="auto" w:fill="62259D"/>
          </w:tcPr>
          <w:p>
            <w:pPr>
              <w:spacing w:after="0"/>
              <w:rPr>
                <w:sz w:val="12"/>
                <w:szCs w:val="12"/>
                <w:color w:val="auto"/>
              </w:rPr>
            </w:pPr>
          </w:p>
        </w:tc>
        <w:tc>
          <w:tcPr>
            <w:tcW w:w="148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of Stock Awards that</w:t>
            </w:r>
          </w:p>
        </w:tc>
        <w:tc>
          <w:tcPr>
            <w:tcW w:w="200" w:type="dxa"/>
            <w:vAlign w:val="bottom"/>
            <w:shd w:val="clear" w:color="auto" w:fill="62259D"/>
          </w:tcPr>
          <w:p>
            <w:pPr>
              <w:spacing w:after="0"/>
              <w:rPr>
                <w:sz w:val="12"/>
                <w:szCs w:val="12"/>
                <w:color w:val="auto"/>
              </w:rPr>
            </w:pPr>
          </w:p>
        </w:tc>
        <w:tc>
          <w:tcPr>
            <w:tcW w:w="1440" w:type="dxa"/>
            <w:vAlign w:val="bottom"/>
            <w:gridSpan w:val="3"/>
            <w:shd w:val="clear" w:color="auto" w:fill="62259D"/>
          </w:tcPr>
          <w:p>
            <w:pPr>
              <w:jc w:val="center"/>
              <w:spacing w:after="0"/>
              <w:rPr>
                <w:sz w:val="20"/>
                <w:szCs w:val="20"/>
                <w:color w:val="auto"/>
              </w:rPr>
            </w:pPr>
            <w:r>
              <w:rPr>
                <w:rFonts w:ascii="Arial" w:cs="Arial" w:eastAsia="Arial" w:hAnsi="Arial"/>
                <w:sz w:val="13"/>
                <w:szCs w:val="13"/>
                <w:b w:val="1"/>
                <w:bCs w:val="1"/>
                <w:color w:val="FEFEFE"/>
              </w:rPr>
              <w:t>Shares of Stock that</w:t>
            </w:r>
          </w:p>
        </w:tc>
        <w:tc>
          <w:tcPr>
            <w:tcW w:w="220" w:type="dxa"/>
            <w:vAlign w:val="bottom"/>
            <w:shd w:val="clear" w:color="auto" w:fill="62259D"/>
          </w:tcPr>
          <w:p>
            <w:pPr>
              <w:spacing w:after="0"/>
              <w:rPr>
                <w:sz w:val="12"/>
                <w:szCs w:val="12"/>
                <w:color w:val="auto"/>
              </w:rPr>
            </w:pPr>
          </w:p>
        </w:tc>
        <w:tc>
          <w:tcPr>
            <w:tcW w:w="152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Unearned Shares that</w:t>
            </w:r>
          </w:p>
        </w:tc>
        <w:tc>
          <w:tcPr>
            <w:tcW w:w="220" w:type="dxa"/>
            <w:vAlign w:val="bottom"/>
            <w:shd w:val="clear" w:color="auto" w:fill="62259D"/>
          </w:tcPr>
          <w:p>
            <w:pPr>
              <w:spacing w:after="0"/>
              <w:rPr>
                <w:sz w:val="12"/>
                <w:szCs w:val="12"/>
                <w:color w:val="auto"/>
              </w:rPr>
            </w:pPr>
          </w:p>
        </w:tc>
        <w:tc>
          <w:tcPr>
            <w:tcW w:w="2060" w:type="dxa"/>
            <w:vAlign w:val="bottom"/>
            <w:gridSpan w:val="4"/>
            <w:shd w:val="clear" w:color="auto" w:fill="62259D"/>
          </w:tcPr>
          <w:p>
            <w:pPr>
              <w:jc w:val="center"/>
              <w:ind w:right="68"/>
              <w:spacing w:after="0"/>
              <w:rPr>
                <w:sz w:val="20"/>
                <w:szCs w:val="20"/>
                <w:color w:val="auto"/>
              </w:rPr>
            </w:pPr>
            <w:r>
              <w:rPr>
                <w:rFonts w:ascii="Arial" w:cs="Arial" w:eastAsia="Arial" w:hAnsi="Arial"/>
                <w:sz w:val="13"/>
                <w:szCs w:val="13"/>
                <w:b w:val="1"/>
                <w:bCs w:val="1"/>
                <w:color w:val="FEFEFE"/>
              </w:rPr>
              <w:t>Unearned Shares that Have</w:t>
            </w:r>
          </w:p>
        </w:tc>
      </w:tr>
      <w:tr>
        <w:trPr>
          <w:trHeight w:val="162"/>
        </w:trPr>
        <w:tc>
          <w:tcPr>
            <w:tcW w:w="1400" w:type="dxa"/>
            <w:vAlign w:val="bottom"/>
            <w:shd w:val="clear" w:color="auto" w:fill="62259D"/>
          </w:tcPr>
          <w:p>
            <w:pPr>
              <w:spacing w:after="0"/>
              <w:rPr>
                <w:sz w:val="14"/>
                <w:szCs w:val="14"/>
                <w:color w:val="auto"/>
              </w:rPr>
            </w:pPr>
          </w:p>
        </w:tc>
        <w:tc>
          <w:tcPr>
            <w:tcW w:w="240" w:type="dxa"/>
            <w:vAlign w:val="bottom"/>
            <w:shd w:val="clear" w:color="auto" w:fill="62259D"/>
          </w:tcPr>
          <w:p>
            <w:pPr>
              <w:spacing w:after="0"/>
              <w:rPr>
                <w:sz w:val="14"/>
                <w:szCs w:val="14"/>
                <w:color w:val="auto"/>
              </w:rPr>
            </w:pPr>
          </w:p>
        </w:tc>
        <w:tc>
          <w:tcPr>
            <w:tcW w:w="80" w:type="dxa"/>
            <w:vAlign w:val="bottom"/>
            <w:shd w:val="clear" w:color="auto" w:fill="62259D"/>
          </w:tcPr>
          <w:p>
            <w:pPr>
              <w:spacing w:after="0"/>
              <w:rPr>
                <w:sz w:val="14"/>
                <w:szCs w:val="14"/>
                <w:color w:val="auto"/>
              </w:rPr>
            </w:pPr>
          </w:p>
        </w:tc>
        <w:tc>
          <w:tcPr>
            <w:tcW w:w="148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Have Not Vested</w:t>
            </w:r>
          </w:p>
        </w:tc>
        <w:tc>
          <w:tcPr>
            <w:tcW w:w="200" w:type="dxa"/>
            <w:vAlign w:val="bottom"/>
            <w:shd w:val="clear" w:color="auto" w:fill="62259D"/>
          </w:tcPr>
          <w:p>
            <w:pPr>
              <w:spacing w:after="0"/>
              <w:rPr>
                <w:sz w:val="14"/>
                <w:szCs w:val="14"/>
                <w:color w:val="auto"/>
              </w:rPr>
            </w:pPr>
          </w:p>
        </w:tc>
        <w:tc>
          <w:tcPr>
            <w:tcW w:w="1440" w:type="dxa"/>
            <w:vAlign w:val="bottom"/>
            <w:gridSpan w:val="3"/>
            <w:shd w:val="clear" w:color="auto" w:fill="62259D"/>
          </w:tcPr>
          <w:p>
            <w:pPr>
              <w:jc w:val="center"/>
              <w:spacing w:after="0"/>
              <w:rPr>
                <w:sz w:val="20"/>
                <w:szCs w:val="20"/>
                <w:color w:val="auto"/>
              </w:rPr>
            </w:pPr>
            <w:r>
              <w:rPr>
                <w:rFonts w:ascii="Arial" w:cs="Arial" w:eastAsia="Arial" w:hAnsi="Arial"/>
                <w:sz w:val="13"/>
                <w:szCs w:val="13"/>
                <w:b w:val="1"/>
                <w:bCs w:val="1"/>
                <w:color w:val="FEFEFE"/>
              </w:rPr>
              <w:t>Have Not Vested</w:t>
            </w:r>
          </w:p>
        </w:tc>
        <w:tc>
          <w:tcPr>
            <w:tcW w:w="220" w:type="dxa"/>
            <w:vAlign w:val="bottom"/>
            <w:shd w:val="clear" w:color="auto" w:fill="62259D"/>
          </w:tcPr>
          <w:p>
            <w:pPr>
              <w:spacing w:after="0"/>
              <w:rPr>
                <w:sz w:val="14"/>
                <w:szCs w:val="14"/>
                <w:color w:val="auto"/>
              </w:rPr>
            </w:pPr>
          </w:p>
        </w:tc>
        <w:tc>
          <w:tcPr>
            <w:tcW w:w="152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Have Not Vested</w:t>
            </w:r>
          </w:p>
        </w:tc>
        <w:tc>
          <w:tcPr>
            <w:tcW w:w="220" w:type="dxa"/>
            <w:vAlign w:val="bottom"/>
            <w:shd w:val="clear" w:color="auto" w:fill="62259D"/>
          </w:tcPr>
          <w:p>
            <w:pPr>
              <w:spacing w:after="0"/>
              <w:rPr>
                <w:sz w:val="14"/>
                <w:szCs w:val="14"/>
                <w:color w:val="auto"/>
              </w:rPr>
            </w:pPr>
          </w:p>
        </w:tc>
        <w:tc>
          <w:tcPr>
            <w:tcW w:w="1880" w:type="dxa"/>
            <w:vAlign w:val="bottom"/>
            <w:gridSpan w:val="3"/>
            <w:shd w:val="clear" w:color="auto" w:fill="62259D"/>
          </w:tcPr>
          <w:p>
            <w:pPr>
              <w:jc w:val="right"/>
              <w:ind w:right="468"/>
              <w:spacing w:after="0"/>
              <w:rPr>
                <w:sz w:val="20"/>
                <w:szCs w:val="20"/>
                <w:color w:val="auto"/>
              </w:rPr>
            </w:pPr>
            <w:r>
              <w:rPr>
                <w:rFonts w:ascii="Arial" w:cs="Arial" w:eastAsia="Arial" w:hAnsi="Arial"/>
                <w:sz w:val="13"/>
                <w:szCs w:val="13"/>
                <w:b w:val="1"/>
                <w:bCs w:val="1"/>
                <w:color w:val="FEFEFE"/>
              </w:rPr>
              <w:t>Not Vested</w:t>
            </w:r>
          </w:p>
        </w:tc>
        <w:tc>
          <w:tcPr>
            <w:tcW w:w="180" w:type="dxa"/>
            <w:vAlign w:val="bottom"/>
            <w:shd w:val="clear" w:color="auto" w:fill="62259D"/>
          </w:tcPr>
          <w:p>
            <w:pPr>
              <w:spacing w:after="0"/>
              <w:rPr>
                <w:sz w:val="14"/>
                <w:szCs w:val="14"/>
                <w:color w:val="auto"/>
              </w:rPr>
            </w:pPr>
          </w:p>
        </w:tc>
      </w:tr>
      <w:tr>
        <w:trPr>
          <w:trHeight w:val="177"/>
        </w:trPr>
        <w:tc>
          <w:tcPr>
            <w:tcW w:w="1400" w:type="dxa"/>
            <w:vAlign w:val="bottom"/>
            <w:shd w:val="clear" w:color="auto" w:fill="62259D"/>
          </w:tcPr>
          <w:p>
            <w:pPr>
              <w:ind w:left="40"/>
              <w:spacing w:after="0"/>
              <w:rPr>
                <w:sz w:val="20"/>
                <w:szCs w:val="20"/>
                <w:color w:val="auto"/>
              </w:rPr>
            </w:pPr>
            <w:r>
              <w:rPr>
                <w:rFonts w:ascii="Arial" w:cs="Arial" w:eastAsia="Arial" w:hAnsi="Arial"/>
                <w:sz w:val="13"/>
                <w:szCs w:val="13"/>
                <w:b w:val="1"/>
                <w:bCs w:val="1"/>
                <w:color w:val="FEFEFE"/>
              </w:rPr>
              <w:t>​Name</w:t>
            </w:r>
          </w:p>
        </w:tc>
        <w:tc>
          <w:tcPr>
            <w:tcW w:w="320" w:type="dxa"/>
            <w:vAlign w:val="bottom"/>
            <w:gridSpan w:val="2"/>
            <w:shd w:val="clear" w:color="auto" w:fill="62259D"/>
          </w:tcPr>
          <w:p>
            <w:pPr>
              <w:jc w:val="right"/>
              <w:spacing w:after="0"/>
              <w:rPr>
                <w:sz w:val="20"/>
                <w:szCs w:val="20"/>
                <w:color w:val="auto"/>
              </w:rPr>
            </w:pPr>
            <w:r>
              <w:rPr>
                <w:rFonts w:ascii="Arial" w:cs="Arial" w:eastAsia="Arial" w:hAnsi="Arial"/>
                <w:sz w:val="13"/>
                <w:szCs w:val="13"/>
                <w:b w:val="1"/>
                <w:bCs w:val="1"/>
                <w:color w:val="FEFEFE"/>
              </w:rPr>
              <w:t>​ ​</w:t>
            </w:r>
          </w:p>
        </w:tc>
        <w:tc>
          <w:tcPr>
            <w:tcW w:w="520" w:type="dxa"/>
            <w:vAlign w:val="bottom"/>
            <w:shd w:val="clear" w:color="auto" w:fill="62259D"/>
          </w:tcPr>
          <w:p>
            <w:pPr>
              <w:spacing w:after="0"/>
              <w:rPr>
                <w:sz w:val="15"/>
                <w:szCs w:val="15"/>
                <w:color w:val="auto"/>
              </w:rPr>
            </w:pPr>
          </w:p>
        </w:tc>
        <w:tc>
          <w:tcPr>
            <w:tcW w:w="960" w:type="dxa"/>
            <w:vAlign w:val="bottom"/>
            <w:shd w:val="clear" w:color="auto" w:fill="62259D"/>
          </w:tcPr>
          <w:p>
            <w:pPr>
              <w:jc w:val="right"/>
              <w:ind w:right="568"/>
              <w:spacing w:after="0"/>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 ​</w:t>
            </w:r>
          </w:p>
        </w:tc>
        <w:tc>
          <w:tcPr>
            <w:tcW w:w="420" w:type="dxa"/>
            <w:vAlign w:val="bottom"/>
            <w:shd w:val="clear" w:color="auto" w:fill="62259D"/>
          </w:tcPr>
          <w:p>
            <w:pPr>
              <w:spacing w:after="0"/>
              <w:rPr>
                <w:sz w:val="15"/>
                <w:szCs w:val="15"/>
                <w:color w:val="auto"/>
              </w:rPr>
            </w:pPr>
          </w:p>
        </w:tc>
        <w:tc>
          <w:tcPr>
            <w:tcW w:w="60" w:type="dxa"/>
            <w:vAlign w:val="bottom"/>
            <w:shd w:val="clear" w:color="auto" w:fill="62259D"/>
          </w:tcPr>
          <w:p>
            <w:pPr>
              <w:spacing w:after="0"/>
              <w:rPr>
                <w:sz w:val="15"/>
                <w:szCs w:val="15"/>
                <w:color w:val="auto"/>
              </w:rPr>
            </w:pPr>
          </w:p>
        </w:tc>
        <w:tc>
          <w:tcPr>
            <w:tcW w:w="960" w:type="dxa"/>
            <w:vAlign w:val="bottom"/>
            <w:shd w:val="clear" w:color="auto" w:fill="62259D"/>
          </w:tcPr>
          <w:p>
            <w:pPr>
              <w:jc w:val="right"/>
              <w:ind w:right="528"/>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62259D"/>
          </w:tcPr>
          <w:p>
            <w:pPr>
              <w:ind w:left="100"/>
              <w:spacing w:after="0"/>
              <w:rPr>
                <w:sz w:val="20"/>
                <w:szCs w:val="20"/>
                <w:color w:val="auto"/>
              </w:rPr>
            </w:pPr>
            <w:r>
              <w:rPr>
                <w:rFonts w:ascii="Arial" w:cs="Arial" w:eastAsia="Arial" w:hAnsi="Arial"/>
                <w:sz w:val="13"/>
                <w:szCs w:val="13"/>
                <w:b w:val="1"/>
                <w:bCs w:val="1"/>
                <w:color w:val="FEFEFE"/>
              </w:rPr>
              <w:t>​ ​</w:t>
            </w:r>
          </w:p>
        </w:tc>
        <w:tc>
          <w:tcPr>
            <w:tcW w:w="580" w:type="dxa"/>
            <w:vAlign w:val="bottom"/>
            <w:shd w:val="clear" w:color="auto" w:fill="62259D"/>
          </w:tcPr>
          <w:p>
            <w:pPr>
              <w:spacing w:after="0"/>
              <w:rPr>
                <w:sz w:val="15"/>
                <w:szCs w:val="15"/>
                <w:color w:val="auto"/>
              </w:rPr>
            </w:pPr>
          </w:p>
        </w:tc>
        <w:tc>
          <w:tcPr>
            <w:tcW w:w="940" w:type="dxa"/>
            <w:vAlign w:val="bottom"/>
            <w:shd w:val="clear" w:color="auto" w:fill="62259D"/>
          </w:tcPr>
          <w:p>
            <w:pPr>
              <w:ind w:left="120"/>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62259D"/>
          </w:tcPr>
          <w:p>
            <w:pPr>
              <w:ind w:left="100"/>
              <w:spacing w:after="0"/>
              <w:rPr>
                <w:sz w:val="20"/>
                <w:szCs w:val="20"/>
                <w:color w:val="auto"/>
              </w:rPr>
            </w:pPr>
            <w:r>
              <w:rPr>
                <w:rFonts w:ascii="Arial" w:cs="Arial" w:eastAsia="Arial" w:hAnsi="Arial"/>
                <w:sz w:val="13"/>
                <w:szCs w:val="13"/>
                <w:b w:val="1"/>
                <w:bCs w:val="1"/>
                <w:color w:val="FEFEFE"/>
              </w:rPr>
              <w:t>​ ​</w:t>
            </w:r>
          </w:p>
        </w:tc>
        <w:tc>
          <w:tcPr>
            <w:tcW w:w="740" w:type="dxa"/>
            <w:vAlign w:val="bottom"/>
            <w:shd w:val="clear" w:color="auto" w:fill="62259D"/>
          </w:tcPr>
          <w:p>
            <w:pPr>
              <w:spacing w:after="0"/>
              <w:rPr>
                <w:sz w:val="15"/>
                <w:szCs w:val="15"/>
                <w:color w:val="auto"/>
              </w:rPr>
            </w:pPr>
          </w:p>
        </w:tc>
        <w:tc>
          <w:tcPr>
            <w:tcW w:w="40" w:type="dxa"/>
            <w:vAlign w:val="bottom"/>
            <w:shd w:val="clear" w:color="auto" w:fill="62259D"/>
          </w:tcPr>
          <w:p>
            <w:pPr>
              <w:spacing w:after="0"/>
              <w:rPr>
                <w:sz w:val="15"/>
                <w:szCs w:val="15"/>
                <w:color w:val="auto"/>
              </w:rPr>
            </w:pPr>
          </w:p>
        </w:tc>
        <w:tc>
          <w:tcPr>
            <w:tcW w:w="1100" w:type="dxa"/>
            <w:vAlign w:val="bottom"/>
            <w:shd w:val="clear" w:color="auto" w:fill="62259D"/>
          </w:tcPr>
          <w:p>
            <w:pPr>
              <w:jc w:val="right"/>
              <w:ind w:right="728"/>
              <w:spacing w:after="0"/>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62259D"/>
          </w:tcPr>
          <w:p>
            <w:pPr>
              <w:ind w:left="140"/>
              <w:spacing w:after="0"/>
              <w:rPr>
                <w:sz w:val="20"/>
                <w:szCs w:val="20"/>
                <w:color w:val="auto"/>
              </w:rPr>
            </w:pPr>
            <w:r>
              <w:rPr>
                <w:rFonts w:ascii="Arial" w:cs="Arial" w:eastAsia="Arial" w:hAnsi="Arial"/>
                <w:sz w:val="13"/>
                <w:szCs w:val="13"/>
                <w:b w:val="1"/>
                <w:bCs w:val="1"/>
                <w:color w:val="FEFEFE"/>
              </w:rPr>
              <w:t>​</w:t>
            </w:r>
          </w:p>
        </w:tc>
      </w:tr>
      <w:tr>
        <w:trPr>
          <w:trHeight w:val="189"/>
        </w:trPr>
        <w:tc>
          <w:tcPr>
            <w:tcW w:w="1400" w:type="dxa"/>
            <w:vAlign w:val="bottom"/>
          </w:tcPr>
          <w:p>
            <w:pPr>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Bruce McClelland</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20" w:type="dxa"/>
            <w:vAlign w:val="bottom"/>
          </w:tcPr>
          <w:p>
            <w:pPr>
              <w:ind w:left="380"/>
              <w:spacing w:after="0" w:line="189"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Pr>
          <w:p>
            <w:pPr>
              <w:jc w:val="right"/>
              <w:ind w:right="188"/>
              <w:spacing w:after="0" w:line="189" w:lineRule="exact"/>
              <w:rPr>
                <w:sz w:val="20"/>
                <w:szCs w:val="20"/>
                <w:color w:val="auto"/>
              </w:rPr>
            </w:pPr>
            <w:r>
              <w:rPr>
                <w:rFonts w:ascii="Arial" w:cs="Arial" w:eastAsia="Arial" w:hAnsi="Arial"/>
                <w:sz w:val="14"/>
                <w:szCs w:val="14"/>
                <w:color w:val="auto"/>
              </w:rPr>
              <w:t>34,420</w:t>
            </w:r>
            <w:r>
              <w:rPr>
                <w:rFonts w:ascii="Arial" w:cs="Arial" w:eastAsia="Arial" w:hAnsi="Arial"/>
                <w:sz w:val="17"/>
                <w:szCs w:val="17"/>
                <w:color w:val="auto"/>
                <w:vertAlign w:val="superscript"/>
              </w:rPr>
              <w:t>(2)</w:t>
            </w:r>
          </w:p>
        </w:tc>
        <w:tc>
          <w:tcPr>
            <w:tcW w:w="200" w:type="dxa"/>
            <w:vAlign w:val="bottom"/>
          </w:tcPr>
          <w:p>
            <w:pPr>
              <w:spacing w:after="0"/>
              <w:rPr>
                <w:sz w:val="20"/>
                <w:szCs w:val="20"/>
                <w:color w:val="auto"/>
              </w:rPr>
            </w:pPr>
            <w:r>
              <w:rPr>
                <w:rFonts w:ascii="Arial" w:cs="Arial" w:eastAsia="Arial" w:hAnsi="Arial"/>
                <w:sz w:val="14"/>
                <w:szCs w:val="14"/>
                <w:color w:val="auto"/>
              </w:rPr>
              <w:t>​​ ​</w:t>
            </w:r>
          </w:p>
        </w:tc>
        <w:tc>
          <w:tcPr>
            <w:tcW w:w="420" w:type="dxa"/>
            <w:vAlign w:val="bottom"/>
          </w:tcPr>
          <w:p>
            <w:pPr>
              <w:ind w:left="320"/>
              <w:spacing w:after="0" w:line="189"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Pr>
          <w:p>
            <w:pPr>
              <w:spacing w:after="0"/>
              <w:rPr>
                <w:sz w:val="16"/>
                <w:szCs w:val="16"/>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99,130</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940" w:type="dxa"/>
            <w:vAlign w:val="bottom"/>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4C4C4C"/>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top w:val="single" w:sz="8" w:color="4C4C4C"/>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375,000</w:t>
            </w:r>
            <w:r>
              <w:rPr>
                <w:rFonts w:ascii="Arial" w:cs="Arial" w:eastAsia="Arial" w:hAnsi="Arial"/>
                <w:sz w:val="17"/>
                <w:szCs w:val="17"/>
                <w:color w:val="auto"/>
                <w:vertAlign w:val="superscript"/>
              </w:rPr>
              <w:t>(2)</w:t>
            </w:r>
          </w:p>
        </w:tc>
        <w:tc>
          <w:tcPr>
            <w:tcW w:w="20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top w:val="single" w:sz="8" w:color="4C4C4C"/>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top w:val="single" w:sz="8" w:color="4C4C4C"/>
              <w:bottom w:val="single" w:sz="8" w:color="4C4C4C"/>
            </w:tcBorders>
          </w:tcPr>
          <w:p>
            <w:pPr>
              <w:spacing w:after="0"/>
              <w:rPr>
                <w:sz w:val="15"/>
                <w:szCs w:val="15"/>
                <w:color w:val="auto"/>
              </w:rPr>
            </w:pPr>
          </w:p>
        </w:tc>
        <w:tc>
          <w:tcPr>
            <w:tcW w:w="960" w:type="dxa"/>
            <w:vAlign w:val="bottom"/>
            <w:tcBorders>
              <w:top w:val="single" w:sz="8" w:color="4C4C4C"/>
              <w:bottom w:val="single" w:sz="8" w:color="4C4C4C"/>
            </w:tcBorders>
          </w:tcPr>
          <w:p>
            <w:pPr>
              <w:jc w:val="right"/>
              <w:ind w:right="228"/>
              <w:spacing w:after="0"/>
              <w:rPr>
                <w:sz w:val="20"/>
                <w:szCs w:val="20"/>
                <w:color w:val="auto"/>
              </w:rPr>
            </w:pPr>
            <w:r>
              <w:rPr>
                <w:rFonts w:ascii="Arial" w:cs="Arial" w:eastAsia="Arial" w:hAnsi="Arial"/>
                <w:sz w:val="14"/>
                <w:szCs w:val="14"/>
                <w:color w:val="auto"/>
              </w:rPr>
              <w:t>1,080,000</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top w:val="single" w:sz="8" w:color="4C4C4C"/>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4C4C4C"/>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top w:val="single" w:sz="8" w:color="4C4C4C"/>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4C4C4C"/>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4C4C4C"/>
            </w:tcBorders>
            <w:gridSpan w:val="2"/>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 3,125,000</w:t>
            </w:r>
            <w:r>
              <w:rPr>
                <w:rFonts w:ascii="Arial" w:cs="Arial" w:eastAsia="Arial" w:hAnsi="Arial"/>
                <w:sz w:val="14"/>
                <w:szCs w:val="14"/>
                <w:color w:val="auto"/>
                <w:vertAlign w:val="superscript"/>
              </w:rPr>
              <w:t>(2)</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9,000,000</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474,684</w:t>
            </w:r>
            <w:r>
              <w:rPr>
                <w:rFonts w:ascii="Arial" w:cs="Arial" w:eastAsia="Arial" w:hAnsi="Arial"/>
                <w:sz w:val="17"/>
                <w:szCs w:val="17"/>
                <w:color w:val="auto"/>
                <w:vertAlign w:val="superscript"/>
              </w:rPr>
              <w:t>(2)</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1,367,090</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56,999</w:t>
            </w:r>
            <w:r>
              <w:rPr>
                <w:rFonts w:ascii="Arial" w:cs="Arial" w:eastAsia="Arial" w:hAnsi="Arial"/>
                <w:sz w:val="17"/>
                <w:szCs w:val="17"/>
                <w:color w:val="auto"/>
                <w:vertAlign w:val="superscript"/>
              </w:rPr>
              <w:t>(3)</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164,157</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173,591</w:t>
            </w:r>
            <w:r>
              <w:rPr>
                <w:rFonts w:ascii="Arial" w:cs="Arial" w:eastAsia="Arial" w:hAnsi="Arial"/>
                <w:sz w:val="17"/>
                <w:szCs w:val="17"/>
                <w:color w:val="auto"/>
                <w:vertAlign w:val="superscript"/>
              </w:rPr>
              <w:t>(3)</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499,942</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15,882</w:t>
            </w:r>
            <w:r>
              <w:rPr>
                <w:rFonts w:ascii="Arial" w:cs="Arial" w:eastAsia="Arial" w:hAnsi="Arial"/>
                <w:sz w:val="17"/>
                <w:szCs w:val="17"/>
                <w:color w:val="auto"/>
                <w:vertAlign w:val="superscript"/>
              </w:rPr>
              <w:t>(3)</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45,740</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2"/>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107,394</w:t>
            </w:r>
            <w:r>
              <w:rPr>
                <w:rFonts w:ascii="Arial" w:cs="Arial" w:eastAsia="Arial" w:hAnsi="Arial"/>
                <w:sz w:val="17"/>
                <w:szCs w:val="17"/>
                <w:color w:val="auto"/>
                <w:vertAlign w:val="superscript"/>
              </w:rPr>
              <w:t>(4)</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309,295</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ind w:left="60"/>
              <w:spacing w:after="0" w:line="183" w:lineRule="exact"/>
              <w:rPr>
                <w:sz w:val="20"/>
                <w:szCs w:val="20"/>
                <w:color w:val="auto"/>
              </w:rPr>
            </w:pPr>
            <w:r>
              <w:rPr>
                <w:rFonts w:ascii="Arial" w:cs="Arial" w:eastAsia="Arial" w:hAnsi="Arial"/>
                <w:sz w:val="14"/>
                <w:szCs w:val="14"/>
                <w:color w:val="auto"/>
              </w:rPr>
              <w:t>88,235</w:t>
            </w:r>
            <w:r>
              <w:rPr>
                <w:rFonts w:ascii="Arial" w:cs="Arial" w:eastAsia="Arial" w:hAnsi="Arial"/>
                <w:sz w:val="17"/>
                <w:szCs w:val="17"/>
                <w:color w:val="auto"/>
                <w:vertAlign w:val="superscript"/>
              </w:rPr>
              <w:t>(3)</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4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508"/>
              <w:spacing w:after="0"/>
              <w:rPr>
                <w:sz w:val="20"/>
                <w:szCs w:val="20"/>
                <w:color w:val="auto"/>
              </w:rPr>
            </w:pPr>
            <w:r>
              <w:rPr>
                <w:rFonts w:ascii="Arial" w:cs="Arial" w:eastAsia="Arial" w:hAnsi="Arial"/>
                <w:sz w:val="14"/>
                <w:szCs w:val="14"/>
                <w:color w:val="auto"/>
                <w:w w:val="98"/>
              </w:rPr>
              <w:t>254,117</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520" w:type="dxa"/>
            <w:vAlign w:val="bottom"/>
            <w:tcBorders>
              <w:bottom w:val="single" w:sz="8" w:color="4C4C4C"/>
            </w:tcBorders>
            <w:gridSpan w:val="2"/>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 272,943</w:t>
            </w:r>
            <w:r>
              <w:rPr>
                <w:rFonts w:ascii="Arial" w:cs="Arial" w:eastAsia="Arial" w:hAnsi="Arial"/>
                <w:sz w:val="14"/>
                <w:szCs w:val="14"/>
                <w:color w:val="auto"/>
                <w:vertAlign w:val="superscript"/>
              </w:rPr>
              <w:t>(3)</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4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508"/>
              <w:spacing w:after="0"/>
              <w:rPr>
                <w:sz w:val="20"/>
                <w:szCs w:val="20"/>
                <w:color w:val="auto"/>
              </w:rPr>
            </w:pPr>
            <w:r>
              <w:rPr>
                <w:rFonts w:ascii="Arial" w:cs="Arial" w:eastAsia="Arial" w:hAnsi="Arial"/>
                <w:sz w:val="14"/>
                <w:szCs w:val="14"/>
                <w:color w:val="auto"/>
                <w:w w:val="98"/>
              </w:rPr>
              <w:t>786,076</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520" w:type="dxa"/>
            <w:vAlign w:val="bottom"/>
            <w:tcBorders>
              <w:bottom w:val="single" w:sz="8" w:color="4C4C4C"/>
            </w:tcBorders>
            <w:gridSpan w:val="2"/>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 218,354</w:t>
            </w:r>
            <w:r>
              <w:rPr>
                <w:rFonts w:ascii="Arial" w:cs="Arial" w:eastAsia="Arial" w:hAnsi="Arial"/>
                <w:sz w:val="14"/>
                <w:szCs w:val="14"/>
                <w:color w:val="auto"/>
                <w:vertAlign w:val="superscript"/>
              </w:rPr>
              <w:t>(4)</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4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508"/>
              <w:spacing w:after="0"/>
              <w:rPr>
                <w:sz w:val="20"/>
                <w:szCs w:val="20"/>
                <w:color w:val="auto"/>
              </w:rPr>
            </w:pPr>
            <w:r>
              <w:rPr>
                <w:rFonts w:ascii="Arial" w:cs="Arial" w:eastAsia="Arial" w:hAnsi="Arial"/>
                <w:sz w:val="14"/>
                <w:szCs w:val="14"/>
                <w:color w:val="auto"/>
                <w:w w:val="98"/>
              </w:rPr>
              <w:t>628,860</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69"/>
        </w:trPr>
        <w:tc>
          <w:tcPr>
            <w:tcW w:w="1400" w:type="dxa"/>
            <w:vAlign w:val="bottom"/>
            <w:tcBorders>
              <w:bottom w:val="single" w:sz="8" w:color="E7417A"/>
            </w:tcBorders>
          </w:tcPr>
          <w:p>
            <w:pPr>
              <w:spacing w:after="0"/>
              <w:rPr>
                <w:sz w:val="14"/>
                <w:szCs w:val="14"/>
                <w:color w:val="auto"/>
              </w:rPr>
            </w:pPr>
          </w:p>
        </w:tc>
        <w:tc>
          <w:tcPr>
            <w:tcW w:w="240" w:type="dxa"/>
            <w:vAlign w:val="bottom"/>
            <w:tcBorders>
              <w:bottom w:val="single" w:sz="8" w:color="E7417A"/>
            </w:tcBorders>
          </w:tcPr>
          <w:p>
            <w:pPr>
              <w:spacing w:after="0"/>
              <w:rPr>
                <w:sz w:val="14"/>
                <w:szCs w:val="14"/>
                <w:color w:val="auto"/>
              </w:rPr>
            </w:pPr>
          </w:p>
        </w:tc>
        <w:tc>
          <w:tcPr>
            <w:tcW w:w="8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7417A"/>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E7417A"/>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7417A"/>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E7417A"/>
            </w:tcBorders>
          </w:tcPr>
          <w:p>
            <w:pPr>
              <w:ind w:left="460"/>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940" w:type="dxa"/>
            <w:vAlign w:val="bottom"/>
            <w:tcBorders>
              <w:bottom w:val="single" w:sz="8" w:color="E7417A"/>
            </w:tcBorders>
          </w:tcPr>
          <w:p>
            <w:pPr>
              <w:ind w:left="60"/>
              <w:spacing w:after="0" w:line="169" w:lineRule="exact"/>
              <w:rPr>
                <w:sz w:val="20"/>
                <w:szCs w:val="20"/>
                <w:color w:val="auto"/>
              </w:rPr>
            </w:pPr>
            <w:r>
              <w:rPr>
                <w:rFonts w:ascii="Arial" w:cs="Arial" w:eastAsia="Arial" w:hAnsi="Arial"/>
                <w:sz w:val="14"/>
                <w:szCs w:val="14"/>
                <w:color w:val="auto"/>
              </w:rPr>
              <w:t>88,235</w:t>
            </w:r>
            <w:r>
              <w:rPr>
                <w:rFonts w:ascii="Arial" w:cs="Arial" w:eastAsia="Arial" w:hAnsi="Arial"/>
                <w:sz w:val="17"/>
                <w:szCs w:val="17"/>
                <w:color w:val="auto"/>
                <w:vertAlign w:val="superscript"/>
              </w:rPr>
              <w:t>(4)</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E7417A"/>
            </w:tcBorders>
          </w:tcPr>
          <w:p>
            <w:pPr>
              <w:ind w:left="600"/>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40" w:type="dxa"/>
            <w:vAlign w:val="bottom"/>
            <w:tcBorders>
              <w:bottom w:val="single" w:sz="8" w:color="E7417A"/>
            </w:tcBorders>
          </w:tcPr>
          <w:p>
            <w:pPr>
              <w:spacing w:after="0"/>
              <w:rPr>
                <w:sz w:val="14"/>
                <w:szCs w:val="14"/>
                <w:color w:val="auto"/>
              </w:rPr>
            </w:pPr>
          </w:p>
        </w:tc>
        <w:tc>
          <w:tcPr>
            <w:tcW w:w="1100" w:type="dxa"/>
            <w:vAlign w:val="bottom"/>
            <w:tcBorders>
              <w:bottom w:val="single" w:sz="8" w:color="E7417A"/>
            </w:tcBorders>
          </w:tcPr>
          <w:p>
            <w:pPr>
              <w:jc w:val="right"/>
              <w:ind w:right="508"/>
              <w:spacing w:after="0"/>
              <w:rPr>
                <w:sz w:val="20"/>
                <w:szCs w:val="20"/>
                <w:color w:val="auto"/>
              </w:rPr>
            </w:pPr>
            <w:r>
              <w:rPr>
                <w:rFonts w:ascii="Arial" w:cs="Arial" w:eastAsia="Arial" w:hAnsi="Arial"/>
                <w:sz w:val="14"/>
                <w:szCs w:val="14"/>
                <w:color w:val="auto"/>
                <w:w w:val="98"/>
              </w:rPr>
              <w:t>254,117</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John Townsend</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20" w:type="dxa"/>
            <w:vAlign w:val="bottom"/>
          </w:tcPr>
          <w:p>
            <w:pPr>
              <w:ind w:left="38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60" w:type="dxa"/>
            <w:vAlign w:val="bottom"/>
          </w:tcPr>
          <w:p>
            <w:pPr>
              <w:jc w:val="right"/>
              <w:ind w:right="188"/>
              <w:spacing w:after="0" w:line="183" w:lineRule="exact"/>
              <w:rPr>
                <w:sz w:val="20"/>
                <w:szCs w:val="20"/>
                <w:color w:val="auto"/>
              </w:rPr>
            </w:pPr>
            <w:r>
              <w:rPr>
                <w:rFonts w:ascii="Arial" w:cs="Arial" w:eastAsia="Arial" w:hAnsi="Arial"/>
                <w:sz w:val="14"/>
                <w:szCs w:val="14"/>
                <w:color w:val="auto"/>
              </w:rPr>
              <w:t>102,564</w:t>
            </w:r>
            <w:r>
              <w:rPr>
                <w:rFonts w:ascii="Arial" w:cs="Arial" w:eastAsia="Arial" w:hAnsi="Arial"/>
                <w:sz w:val="17"/>
                <w:szCs w:val="17"/>
                <w:color w:val="auto"/>
                <w:vertAlign w:val="superscript"/>
              </w:rPr>
              <w:t>(5)</w:t>
            </w:r>
          </w:p>
        </w:tc>
        <w:tc>
          <w:tcPr>
            <w:tcW w:w="200" w:type="dxa"/>
            <w:vAlign w:val="bottom"/>
          </w:tcPr>
          <w:p>
            <w:pPr>
              <w:spacing w:after="0"/>
              <w:rPr>
                <w:sz w:val="20"/>
                <w:szCs w:val="20"/>
                <w:color w:val="auto"/>
              </w:rPr>
            </w:pPr>
            <w:r>
              <w:rPr>
                <w:rFonts w:ascii="Arial" w:cs="Arial" w:eastAsia="Arial" w:hAnsi="Arial"/>
                <w:sz w:val="14"/>
                <w:szCs w:val="14"/>
                <w:color w:val="auto"/>
              </w:rPr>
              <w:t>​​ ​</w:t>
            </w:r>
          </w:p>
        </w:tc>
        <w:tc>
          <w:tcPr>
            <w:tcW w:w="420" w:type="dxa"/>
            <w:vAlign w:val="bottom"/>
          </w:tcPr>
          <w:p>
            <w:pPr>
              <w:ind w:left="3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295,384</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940" w:type="dxa"/>
            <w:vAlign w:val="bottom"/>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4C4C4C"/>
              <w:bottom w:val="single" w:sz="8" w:color="4C4C4C"/>
            </w:tcBorders>
          </w:tcPr>
          <w:p>
            <w:pPr>
              <w:ind w:left="38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60" w:type="dxa"/>
            <w:vAlign w:val="bottom"/>
            <w:tcBorders>
              <w:top w:val="single" w:sz="8" w:color="4C4C4C"/>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16,615</w:t>
            </w:r>
            <w:r>
              <w:rPr>
                <w:rFonts w:ascii="Arial" w:cs="Arial" w:eastAsia="Arial" w:hAnsi="Arial"/>
                <w:sz w:val="17"/>
                <w:szCs w:val="17"/>
                <w:color w:val="auto"/>
                <w:vertAlign w:val="superscript"/>
              </w:rPr>
              <w:t>(6)</w:t>
            </w:r>
          </w:p>
        </w:tc>
        <w:tc>
          <w:tcPr>
            <w:tcW w:w="20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top w:val="single" w:sz="8" w:color="4C4C4C"/>
              <w:bottom w:val="single" w:sz="8" w:color="4C4C4C"/>
            </w:tcBorders>
          </w:tcPr>
          <w:p>
            <w:pPr>
              <w:ind w:left="3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60" w:type="dxa"/>
            <w:vAlign w:val="bottom"/>
            <w:tcBorders>
              <w:top w:val="single" w:sz="8" w:color="4C4C4C"/>
              <w:bottom w:val="single" w:sz="8" w:color="4C4C4C"/>
            </w:tcBorders>
          </w:tcPr>
          <w:p>
            <w:pPr>
              <w:spacing w:after="0"/>
              <w:rPr>
                <w:sz w:val="15"/>
                <w:szCs w:val="15"/>
                <w:color w:val="auto"/>
              </w:rPr>
            </w:pPr>
          </w:p>
        </w:tc>
        <w:tc>
          <w:tcPr>
            <w:tcW w:w="960" w:type="dxa"/>
            <w:vAlign w:val="bottom"/>
            <w:tcBorders>
              <w:top w:val="single" w:sz="8" w:color="4C4C4C"/>
              <w:bottom w:val="single" w:sz="8" w:color="4C4C4C"/>
            </w:tcBorders>
          </w:tcPr>
          <w:p>
            <w:pPr>
              <w:jc w:val="right"/>
              <w:ind w:right="228"/>
              <w:spacing w:after="0"/>
              <w:rPr>
                <w:sz w:val="20"/>
                <w:szCs w:val="20"/>
                <w:color w:val="auto"/>
              </w:rPr>
            </w:pPr>
            <w:r>
              <w:rPr>
                <w:rFonts w:ascii="Arial" w:cs="Arial" w:eastAsia="Arial" w:hAnsi="Arial"/>
                <w:sz w:val="14"/>
                <w:szCs w:val="14"/>
                <w:color w:val="auto"/>
              </w:rPr>
              <w:t>47,851</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top w:val="single" w:sz="8" w:color="4C4C4C"/>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4C4C4C"/>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top w:val="single" w:sz="8" w:color="4C4C4C"/>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4C4C4C"/>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40" w:type="dxa"/>
            <w:vAlign w:val="bottom"/>
            <w:tcBorders>
              <w:bottom w:val="single" w:sz="8" w:color="4C4C4C"/>
            </w:tcBorders>
          </w:tcPr>
          <w:p>
            <w:pPr>
              <w:ind w:left="60"/>
              <w:spacing w:after="0" w:line="183" w:lineRule="exact"/>
              <w:rPr>
                <w:sz w:val="20"/>
                <w:szCs w:val="20"/>
                <w:color w:val="auto"/>
              </w:rPr>
            </w:pPr>
            <w:r>
              <w:rPr>
                <w:rFonts w:ascii="Arial" w:cs="Arial" w:eastAsia="Arial" w:hAnsi="Arial"/>
                <w:sz w:val="14"/>
                <w:szCs w:val="14"/>
                <w:color w:val="auto"/>
              </w:rPr>
              <w:t>92,307</w:t>
            </w:r>
            <w:r>
              <w:rPr>
                <w:rFonts w:ascii="Arial" w:cs="Arial" w:eastAsia="Arial" w:hAnsi="Arial"/>
                <w:sz w:val="17"/>
                <w:szCs w:val="17"/>
                <w:color w:val="auto"/>
                <w:vertAlign w:val="superscript"/>
              </w:rPr>
              <w:t>(6)</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4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508"/>
              <w:spacing w:after="0"/>
              <w:rPr>
                <w:sz w:val="20"/>
                <w:szCs w:val="20"/>
                <w:color w:val="auto"/>
              </w:rPr>
            </w:pPr>
            <w:r>
              <w:rPr>
                <w:rFonts w:ascii="Arial" w:cs="Arial" w:eastAsia="Arial" w:hAnsi="Arial"/>
                <w:sz w:val="14"/>
                <w:szCs w:val="14"/>
                <w:color w:val="auto"/>
                <w:w w:val="98"/>
              </w:rPr>
              <w:t>265,844</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ind w:left="60"/>
              <w:spacing w:after="0" w:line="183" w:lineRule="exact"/>
              <w:rPr>
                <w:sz w:val="20"/>
                <w:szCs w:val="20"/>
                <w:color w:val="auto"/>
              </w:rPr>
            </w:pPr>
            <w:r>
              <w:rPr>
                <w:rFonts w:ascii="Arial" w:cs="Arial" w:eastAsia="Arial" w:hAnsi="Arial"/>
                <w:sz w:val="14"/>
                <w:szCs w:val="14"/>
                <w:color w:val="auto"/>
              </w:rPr>
              <w:t>92,308</w:t>
            </w:r>
            <w:r>
              <w:rPr>
                <w:rFonts w:ascii="Arial" w:cs="Arial" w:eastAsia="Arial" w:hAnsi="Arial"/>
                <w:sz w:val="17"/>
                <w:szCs w:val="17"/>
                <w:color w:val="auto"/>
                <w:vertAlign w:val="superscript"/>
              </w:rPr>
              <w:t>(7)</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4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508"/>
              <w:spacing w:after="0"/>
              <w:rPr>
                <w:sz w:val="20"/>
                <w:szCs w:val="20"/>
                <w:color w:val="auto"/>
              </w:rPr>
            </w:pPr>
            <w:r>
              <w:rPr>
                <w:rFonts w:ascii="Arial" w:cs="Arial" w:eastAsia="Arial" w:hAnsi="Arial"/>
                <w:sz w:val="14"/>
                <w:szCs w:val="14"/>
                <w:color w:val="auto"/>
                <w:w w:val="98"/>
              </w:rPr>
              <w:t>265,847</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69"/>
        </w:trPr>
        <w:tc>
          <w:tcPr>
            <w:tcW w:w="1400" w:type="dxa"/>
            <w:vAlign w:val="bottom"/>
            <w:tcBorders>
              <w:bottom w:val="single" w:sz="8" w:color="E7417A"/>
            </w:tcBorders>
          </w:tcPr>
          <w:p>
            <w:pPr>
              <w:spacing w:after="0"/>
              <w:rPr>
                <w:sz w:val="14"/>
                <w:szCs w:val="14"/>
                <w:color w:val="auto"/>
              </w:rPr>
            </w:pPr>
          </w:p>
        </w:tc>
        <w:tc>
          <w:tcPr>
            <w:tcW w:w="240" w:type="dxa"/>
            <w:vAlign w:val="bottom"/>
            <w:tcBorders>
              <w:bottom w:val="single" w:sz="8" w:color="E7417A"/>
            </w:tcBorders>
          </w:tcPr>
          <w:p>
            <w:pPr>
              <w:spacing w:after="0"/>
              <w:rPr>
                <w:sz w:val="14"/>
                <w:szCs w:val="14"/>
                <w:color w:val="auto"/>
              </w:rPr>
            </w:pPr>
          </w:p>
        </w:tc>
        <w:tc>
          <w:tcPr>
            <w:tcW w:w="8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7417A"/>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E7417A"/>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7417A"/>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1520" w:type="dxa"/>
            <w:vAlign w:val="bottom"/>
            <w:tcBorders>
              <w:bottom w:val="single" w:sz="8" w:color="E7417A"/>
            </w:tcBorders>
            <w:gridSpan w:val="2"/>
          </w:tcPr>
          <w:p>
            <w:pPr>
              <w:ind w:left="460"/>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 314,583</w:t>
            </w:r>
            <w:r>
              <w:rPr>
                <w:rFonts w:ascii="Arial" w:cs="Arial" w:eastAsia="Arial" w:hAnsi="Arial"/>
                <w:sz w:val="13"/>
                <w:szCs w:val="13"/>
                <w:color w:val="auto"/>
                <w:vertAlign w:val="superscript"/>
              </w:rPr>
              <w:t>(8)</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E7417A"/>
            </w:tcBorders>
          </w:tcPr>
          <w:p>
            <w:pPr>
              <w:ind w:left="600"/>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40" w:type="dxa"/>
            <w:vAlign w:val="bottom"/>
            <w:tcBorders>
              <w:bottom w:val="single" w:sz="8" w:color="E7417A"/>
            </w:tcBorders>
          </w:tcPr>
          <w:p>
            <w:pPr>
              <w:spacing w:after="0"/>
              <w:rPr>
                <w:sz w:val="14"/>
                <w:szCs w:val="14"/>
                <w:color w:val="auto"/>
              </w:rPr>
            </w:pPr>
          </w:p>
        </w:tc>
        <w:tc>
          <w:tcPr>
            <w:tcW w:w="1100" w:type="dxa"/>
            <w:vAlign w:val="bottom"/>
            <w:tcBorders>
              <w:bottom w:val="single" w:sz="8" w:color="E7417A"/>
            </w:tcBorders>
          </w:tcPr>
          <w:p>
            <w:pPr>
              <w:jc w:val="right"/>
              <w:ind w:right="508"/>
              <w:spacing w:after="0"/>
              <w:rPr>
                <w:sz w:val="20"/>
                <w:szCs w:val="20"/>
                <w:color w:val="auto"/>
              </w:rPr>
            </w:pPr>
            <w:r>
              <w:rPr>
                <w:rFonts w:ascii="Arial" w:cs="Arial" w:eastAsia="Arial" w:hAnsi="Arial"/>
                <w:sz w:val="14"/>
                <w:szCs w:val="14"/>
                <w:color w:val="auto"/>
                <w:w w:val="98"/>
              </w:rPr>
              <w:t>905,999</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Sam Bucci</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20" w:type="dxa"/>
            <w:vAlign w:val="bottom"/>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Pr>
          <w:p>
            <w:pPr>
              <w:jc w:val="right"/>
              <w:ind w:right="188"/>
              <w:spacing w:after="0" w:line="183" w:lineRule="exact"/>
              <w:rPr>
                <w:sz w:val="20"/>
                <w:szCs w:val="20"/>
                <w:color w:val="auto"/>
              </w:rPr>
            </w:pPr>
            <w:r>
              <w:rPr>
                <w:rFonts w:ascii="Arial" w:cs="Arial" w:eastAsia="Arial" w:hAnsi="Arial"/>
                <w:sz w:val="14"/>
                <w:szCs w:val="14"/>
                <w:color w:val="auto"/>
              </w:rPr>
              <w:t>25,815</w:t>
            </w:r>
            <w:r>
              <w:rPr>
                <w:rFonts w:ascii="Arial" w:cs="Arial" w:eastAsia="Arial" w:hAnsi="Arial"/>
                <w:sz w:val="17"/>
                <w:szCs w:val="17"/>
                <w:color w:val="auto"/>
                <w:vertAlign w:val="superscript"/>
              </w:rPr>
              <w:t>(9)</w:t>
            </w:r>
          </w:p>
        </w:tc>
        <w:tc>
          <w:tcPr>
            <w:tcW w:w="200" w:type="dxa"/>
            <w:vAlign w:val="bottom"/>
          </w:tcPr>
          <w:p>
            <w:pPr>
              <w:spacing w:after="0"/>
              <w:rPr>
                <w:sz w:val="20"/>
                <w:szCs w:val="20"/>
                <w:color w:val="auto"/>
              </w:rPr>
            </w:pPr>
            <w:r>
              <w:rPr>
                <w:rFonts w:ascii="Arial" w:cs="Arial" w:eastAsia="Arial" w:hAnsi="Arial"/>
                <w:sz w:val="14"/>
                <w:szCs w:val="14"/>
                <w:color w:val="auto"/>
              </w:rPr>
              <w:t>​​ ​</w:t>
            </w:r>
          </w:p>
        </w:tc>
        <w:tc>
          <w:tcPr>
            <w:tcW w:w="420" w:type="dxa"/>
            <w:vAlign w:val="bottom"/>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Pr>
          <w:p>
            <w:pPr>
              <w:spacing w:after="0"/>
              <w:rPr>
                <w:sz w:val="15"/>
                <w:szCs w:val="15"/>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74,347</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940" w:type="dxa"/>
            <w:vAlign w:val="bottom"/>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4C4C4C"/>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top w:val="single" w:sz="8" w:color="4C4C4C"/>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250,000</w:t>
            </w:r>
            <w:r>
              <w:rPr>
                <w:rFonts w:ascii="Arial" w:cs="Arial" w:eastAsia="Arial" w:hAnsi="Arial"/>
                <w:sz w:val="17"/>
                <w:szCs w:val="17"/>
                <w:color w:val="auto"/>
                <w:vertAlign w:val="superscript"/>
              </w:rPr>
              <w:t>(9)</w:t>
            </w:r>
          </w:p>
        </w:tc>
        <w:tc>
          <w:tcPr>
            <w:tcW w:w="20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top w:val="single" w:sz="8" w:color="4C4C4C"/>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top w:val="single" w:sz="8" w:color="4C4C4C"/>
              <w:bottom w:val="single" w:sz="8" w:color="4C4C4C"/>
            </w:tcBorders>
          </w:tcPr>
          <w:p>
            <w:pPr>
              <w:spacing w:after="0"/>
              <w:rPr>
                <w:sz w:val="15"/>
                <w:szCs w:val="15"/>
                <w:color w:val="auto"/>
              </w:rPr>
            </w:pPr>
          </w:p>
        </w:tc>
        <w:tc>
          <w:tcPr>
            <w:tcW w:w="960" w:type="dxa"/>
            <w:vAlign w:val="bottom"/>
            <w:tcBorders>
              <w:top w:val="single" w:sz="8" w:color="4C4C4C"/>
              <w:bottom w:val="single" w:sz="8" w:color="4C4C4C"/>
            </w:tcBorders>
          </w:tcPr>
          <w:p>
            <w:pPr>
              <w:jc w:val="right"/>
              <w:ind w:right="228"/>
              <w:spacing w:after="0"/>
              <w:rPr>
                <w:sz w:val="20"/>
                <w:szCs w:val="20"/>
                <w:color w:val="auto"/>
              </w:rPr>
            </w:pPr>
            <w:r>
              <w:rPr>
                <w:rFonts w:ascii="Arial" w:cs="Arial" w:eastAsia="Arial" w:hAnsi="Arial"/>
                <w:sz w:val="14"/>
                <w:szCs w:val="14"/>
                <w:color w:val="auto"/>
              </w:rPr>
              <w:t>720,000</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top w:val="single" w:sz="8" w:color="4C4C4C"/>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4C4C4C"/>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top w:val="single" w:sz="8" w:color="4C4C4C"/>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4C4C4C"/>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bottom w:val="single" w:sz="8" w:color="4C4C4C"/>
            </w:tcBorders>
          </w:tcPr>
          <w:p>
            <w:pPr>
              <w:jc w:val="right"/>
              <w:ind w:right="188"/>
              <w:spacing w:after="0" w:line="183" w:lineRule="exact"/>
              <w:rPr>
                <w:sz w:val="20"/>
                <w:szCs w:val="20"/>
                <w:color w:val="auto"/>
              </w:rPr>
            </w:pPr>
            <w:r>
              <w:rPr>
                <w:rFonts w:ascii="Arial" w:cs="Arial" w:eastAsia="Arial" w:hAnsi="Arial"/>
                <w:sz w:val="14"/>
                <w:szCs w:val="14"/>
                <w:color w:val="auto"/>
              </w:rPr>
              <w:t>105,485</w:t>
            </w:r>
            <w:r>
              <w:rPr>
                <w:rFonts w:ascii="Arial" w:cs="Arial" w:eastAsia="Arial" w:hAnsi="Arial"/>
                <w:sz w:val="17"/>
                <w:szCs w:val="17"/>
                <w:color w:val="auto"/>
                <w:vertAlign w:val="superscript"/>
              </w:rPr>
              <w:t>(9)</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303,797</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42,751</w:t>
            </w:r>
            <w:r>
              <w:rPr>
                <w:rFonts w:ascii="Arial" w:cs="Arial" w:eastAsia="Arial" w:hAnsi="Arial"/>
                <w:sz w:val="17"/>
                <w:szCs w:val="17"/>
                <w:color w:val="auto"/>
                <w:vertAlign w:val="superscript"/>
              </w:rPr>
              <w:t>(10)</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123,123</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38,575</w:t>
            </w:r>
            <w:r>
              <w:rPr>
                <w:rFonts w:ascii="Arial" w:cs="Arial" w:eastAsia="Arial" w:hAnsi="Arial"/>
                <w:sz w:val="17"/>
                <w:szCs w:val="17"/>
                <w:color w:val="auto"/>
                <w:vertAlign w:val="superscript"/>
              </w:rPr>
              <w:t>(10)</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111,096</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18,000</w:t>
            </w:r>
            <w:r>
              <w:rPr>
                <w:rFonts w:ascii="Arial" w:cs="Arial" w:eastAsia="Arial" w:hAnsi="Arial"/>
                <w:sz w:val="17"/>
                <w:szCs w:val="17"/>
                <w:color w:val="auto"/>
                <w:vertAlign w:val="superscript"/>
              </w:rPr>
              <w:t>(10)</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51,840</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80,545</w:t>
            </w:r>
            <w:r>
              <w:rPr>
                <w:rFonts w:ascii="Arial" w:cs="Arial" w:eastAsia="Arial" w:hAnsi="Arial"/>
                <w:sz w:val="17"/>
                <w:szCs w:val="17"/>
                <w:color w:val="auto"/>
                <w:vertAlign w:val="superscript"/>
              </w:rPr>
              <w:t>(11)</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231,970</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1520" w:type="dxa"/>
            <w:vAlign w:val="bottom"/>
            <w:tcBorders>
              <w:bottom w:val="single" w:sz="8" w:color="4C4C4C"/>
            </w:tcBorders>
            <w:gridSpan w:val="2"/>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 100,000</w:t>
            </w:r>
            <w:r>
              <w:rPr>
                <w:rFonts w:ascii="Arial" w:cs="Arial" w:eastAsia="Arial" w:hAnsi="Arial"/>
                <w:sz w:val="14"/>
                <w:szCs w:val="14"/>
                <w:color w:val="auto"/>
                <w:vertAlign w:val="superscript"/>
              </w:rPr>
              <w:t>(10)</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4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508"/>
              <w:spacing w:after="0"/>
              <w:rPr>
                <w:sz w:val="20"/>
                <w:szCs w:val="20"/>
                <w:color w:val="auto"/>
              </w:rPr>
            </w:pPr>
            <w:r>
              <w:rPr>
                <w:rFonts w:ascii="Arial" w:cs="Arial" w:eastAsia="Arial" w:hAnsi="Arial"/>
                <w:sz w:val="14"/>
                <w:szCs w:val="14"/>
                <w:color w:val="auto"/>
                <w:w w:val="98"/>
              </w:rPr>
              <w:t>288,000</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2"/>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ind w:left="60"/>
              <w:spacing w:after="0" w:line="183" w:lineRule="exact"/>
              <w:rPr>
                <w:sz w:val="20"/>
                <w:szCs w:val="20"/>
                <w:color w:val="auto"/>
              </w:rPr>
            </w:pPr>
            <w:r>
              <w:rPr>
                <w:rFonts w:ascii="Arial" w:cs="Arial" w:eastAsia="Arial" w:hAnsi="Arial"/>
                <w:sz w:val="14"/>
                <w:szCs w:val="14"/>
                <w:color w:val="auto"/>
              </w:rPr>
              <w:t>60,654</w:t>
            </w:r>
            <w:r>
              <w:rPr>
                <w:rFonts w:ascii="Arial" w:cs="Arial" w:eastAsia="Arial" w:hAnsi="Arial"/>
                <w:sz w:val="17"/>
                <w:szCs w:val="17"/>
                <w:color w:val="auto"/>
                <w:vertAlign w:val="superscript"/>
              </w:rPr>
              <w:t>(10)</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4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508"/>
              <w:spacing w:after="0"/>
              <w:rPr>
                <w:sz w:val="20"/>
                <w:szCs w:val="20"/>
                <w:color w:val="auto"/>
              </w:rPr>
            </w:pPr>
            <w:r>
              <w:rPr>
                <w:rFonts w:ascii="Arial" w:cs="Arial" w:eastAsia="Arial" w:hAnsi="Arial"/>
                <w:sz w:val="14"/>
                <w:szCs w:val="14"/>
                <w:color w:val="auto"/>
                <w:w w:val="98"/>
              </w:rPr>
              <w:t>174,684</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40" w:type="dxa"/>
            <w:vAlign w:val="bottom"/>
            <w:tcBorders>
              <w:bottom w:val="single" w:sz="8" w:color="4C4C4C"/>
            </w:tcBorders>
          </w:tcPr>
          <w:p>
            <w:pPr>
              <w:ind w:left="60"/>
              <w:spacing w:after="0" w:line="183" w:lineRule="exact"/>
              <w:rPr>
                <w:sz w:val="20"/>
                <w:szCs w:val="20"/>
                <w:color w:val="auto"/>
              </w:rPr>
            </w:pPr>
            <w:r>
              <w:rPr>
                <w:rFonts w:ascii="Arial" w:cs="Arial" w:eastAsia="Arial" w:hAnsi="Arial"/>
                <w:sz w:val="14"/>
                <w:szCs w:val="14"/>
                <w:color w:val="auto"/>
              </w:rPr>
              <w:t>48,253</w:t>
            </w:r>
            <w:r>
              <w:rPr>
                <w:rFonts w:ascii="Arial" w:cs="Arial" w:eastAsia="Arial" w:hAnsi="Arial"/>
                <w:sz w:val="17"/>
                <w:szCs w:val="17"/>
                <w:color w:val="auto"/>
                <w:vertAlign w:val="superscript"/>
              </w:rPr>
              <w:t>(11)</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4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508"/>
              <w:spacing w:after="0"/>
              <w:rPr>
                <w:sz w:val="20"/>
                <w:szCs w:val="20"/>
                <w:color w:val="auto"/>
              </w:rPr>
            </w:pPr>
            <w:r>
              <w:rPr>
                <w:rFonts w:ascii="Arial" w:cs="Arial" w:eastAsia="Arial" w:hAnsi="Arial"/>
                <w:sz w:val="14"/>
                <w:szCs w:val="14"/>
                <w:color w:val="auto"/>
                <w:w w:val="98"/>
              </w:rPr>
              <w:t>139,746</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69"/>
        </w:trPr>
        <w:tc>
          <w:tcPr>
            <w:tcW w:w="1400" w:type="dxa"/>
            <w:vAlign w:val="bottom"/>
            <w:tcBorders>
              <w:bottom w:val="single" w:sz="8" w:color="E7417A"/>
            </w:tcBorders>
          </w:tcPr>
          <w:p>
            <w:pPr>
              <w:spacing w:after="0"/>
              <w:rPr>
                <w:sz w:val="14"/>
                <w:szCs w:val="14"/>
                <w:color w:val="auto"/>
              </w:rPr>
            </w:pPr>
          </w:p>
        </w:tc>
        <w:tc>
          <w:tcPr>
            <w:tcW w:w="240" w:type="dxa"/>
            <w:vAlign w:val="bottom"/>
            <w:tcBorders>
              <w:bottom w:val="single" w:sz="8" w:color="E7417A"/>
            </w:tcBorders>
          </w:tcPr>
          <w:p>
            <w:pPr>
              <w:spacing w:after="0"/>
              <w:rPr>
                <w:sz w:val="14"/>
                <w:szCs w:val="14"/>
                <w:color w:val="auto"/>
              </w:rPr>
            </w:pPr>
          </w:p>
        </w:tc>
        <w:tc>
          <w:tcPr>
            <w:tcW w:w="8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7417A"/>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E7417A"/>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7417A"/>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1520" w:type="dxa"/>
            <w:vAlign w:val="bottom"/>
            <w:tcBorders>
              <w:bottom w:val="single" w:sz="8" w:color="E7417A"/>
            </w:tcBorders>
            <w:gridSpan w:val="2"/>
          </w:tcPr>
          <w:p>
            <w:pPr>
              <w:ind w:left="460"/>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 100,000</w:t>
            </w:r>
            <w:r>
              <w:rPr>
                <w:rFonts w:ascii="Arial" w:cs="Arial" w:eastAsia="Arial" w:hAnsi="Arial"/>
                <w:sz w:val="13"/>
                <w:szCs w:val="13"/>
                <w:color w:val="auto"/>
                <w:vertAlign w:val="superscript"/>
              </w:rPr>
              <w:t>(11)</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E7417A"/>
            </w:tcBorders>
          </w:tcPr>
          <w:p>
            <w:pPr>
              <w:ind w:left="600"/>
              <w:spacing w:after="0" w:line="169"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w:t>
            </w:r>
          </w:p>
        </w:tc>
        <w:tc>
          <w:tcPr>
            <w:tcW w:w="40" w:type="dxa"/>
            <w:vAlign w:val="bottom"/>
            <w:tcBorders>
              <w:bottom w:val="single" w:sz="8" w:color="E7417A"/>
            </w:tcBorders>
          </w:tcPr>
          <w:p>
            <w:pPr>
              <w:spacing w:after="0"/>
              <w:rPr>
                <w:sz w:val="14"/>
                <w:szCs w:val="14"/>
                <w:color w:val="auto"/>
              </w:rPr>
            </w:pPr>
          </w:p>
        </w:tc>
        <w:tc>
          <w:tcPr>
            <w:tcW w:w="1100" w:type="dxa"/>
            <w:vAlign w:val="bottom"/>
            <w:tcBorders>
              <w:bottom w:val="single" w:sz="8" w:color="E7417A"/>
            </w:tcBorders>
          </w:tcPr>
          <w:p>
            <w:pPr>
              <w:jc w:val="right"/>
              <w:ind w:right="508"/>
              <w:spacing w:after="0"/>
              <w:rPr>
                <w:sz w:val="20"/>
                <w:szCs w:val="20"/>
                <w:color w:val="auto"/>
              </w:rPr>
            </w:pPr>
            <w:r>
              <w:rPr>
                <w:rFonts w:ascii="Arial" w:cs="Arial" w:eastAsia="Arial" w:hAnsi="Arial"/>
                <w:sz w:val="14"/>
                <w:szCs w:val="14"/>
                <w:color w:val="auto"/>
                <w:w w:val="98"/>
              </w:rPr>
              <w:t>288,000</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Patrick Macken</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20" w:type="dxa"/>
            <w:vAlign w:val="bottom"/>
          </w:tcPr>
          <w:p>
            <w:pPr>
              <w:ind w:left="38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60" w:type="dxa"/>
            <w:vAlign w:val="bottom"/>
          </w:tcPr>
          <w:p>
            <w:pPr>
              <w:jc w:val="right"/>
              <w:ind w:right="148"/>
              <w:spacing w:after="0" w:line="183" w:lineRule="exact"/>
              <w:rPr>
                <w:sz w:val="20"/>
                <w:szCs w:val="20"/>
                <w:color w:val="auto"/>
              </w:rPr>
            </w:pPr>
            <w:r>
              <w:rPr>
                <w:rFonts w:ascii="Arial" w:cs="Arial" w:eastAsia="Arial" w:hAnsi="Arial"/>
                <w:sz w:val="14"/>
                <w:szCs w:val="14"/>
                <w:color w:val="auto"/>
              </w:rPr>
              <w:t>20,652</w:t>
            </w:r>
            <w:r>
              <w:rPr>
                <w:rFonts w:ascii="Arial" w:cs="Arial" w:eastAsia="Arial" w:hAnsi="Arial"/>
                <w:sz w:val="17"/>
                <w:szCs w:val="17"/>
                <w:color w:val="auto"/>
                <w:vertAlign w:val="superscript"/>
              </w:rPr>
              <w:t>(12)</w:t>
            </w:r>
          </w:p>
        </w:tc>
        <w:tc>
          <w:tcPr>
            <w:tcW w:w="200" w:type="dxa"/>
            <w:vAlign w:val="bottom"/>
          </w:tcPr>
          <w:p>
            <w:pPr>
              <w:spacing w:after="0"/>
              <w:rPr>
                <w:sz w:val="20"/>
                <w:szCs w:val="20"/>
                <w:color w:val="auto"/>
              </w:rPr>
            </w:pPr>
            <w:r>
              <w:rPr>
                <w:rFonts w:ascii="Arial" w:cs="Arial" w:eastAsia="Arial" w:hAnsi="Arial"/>
                <w:sz w:val="14"/>
                <w:szCs w:val="14"/>
                <w:color w:val="auto"/>
              </w:rPr>
              <w:t>​​ ​</w:t>
            </w:r>
          </w:p>
        </w:tc>
        <w:tc>
          <w:tcPr>
            <w:tcW w:w="420" w:type="dxa"/>
            <w:vAlign w:val="bottom"/>
          </w:tcPr>
          <w:p>
            <w:pPr>
              <w:ind w:left="3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60" w:type="dxa"/>
            <w:vAlign w:val="bottom"/>
          </w:tcPr>
          <w:p>
            <w:pPr>
              <w:spacing w:after="0"/>
              <w:rPr>
                <w:sz w:val="15"/>
                <w:szCs w:val="15"/>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59,478</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940" w:type="dxa"/>
            <w:vAlign w:val="bottom"/>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4C4C4C"/>
              <w:bottom w:val="single" w:sz="8" w:color="4C4C4C"/>
            </w:tcBorders>
          </w:tcPr>
          <w:p>
            <w:pPr>
              <w:ind w:left="38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60" w:type="dxa"/>
            <w:vAlign w:val="bottom"/>
            <w:tcBorders>
              <w:top w:val="single" w:sz="8" w:color="4C4C4C"/>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162,500</w:t>
            </w:r>
            <w:r>
              <w:rPr>
                <w:rFonts w:ascii="Arial" w:cs="Arial" w:eastAsia="Arial" w:hAnsi="Arial"/>
                <w:sz w:val="17"/>
                <w:szCs w:val="17"/>
                <w:color w:val="auto"/>
                <w:vertAlign w:val="superscript"/>
              </w:rPr>
              <w:t>(12)</w:t>
            </w:r>
          </w:p>
        </w:tc>
        <w:tc>
          <w:tcPr>
            <w:tcW w:w="20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top w:val="single" w:sz="8" w:color="4C4C4C"/>
              <w:bottom w:val="single" w:sz="8" w:color="4C4C4C"/>
            </w:tcBorders>
          </w:tcPr>
          <w:p>
            <w:pPr>
              <w:ind w:left="3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60" w:type="dxa"/>
            <w:vAlign w:val="bottom"/>
            <w:tcBorders>
              <w:top w:val="single" w:sz="8" w:color="4C4C4C"/>
              <w:bottom w:val="single" w:sz="8" w:color="4C4C4C"/>
            </w:tcBorders>
          </w:tcPr>
          <w:p>
            <w:pPr>
              <w:spacing w:after="0"/>
              <w:rPr>
                <w:sz w:val="15"/>
                <w:szCs w:val="15"/>
                <w:color w:val="auto"/>
              </w:rPr>
            </w:pPr>
          </w:p>
        </w:tc>
        <w:tc>
          <w:tcPr>
            <w:tcW w:w="960" w:type="dxa"/>
            <w:vAlign w:val="bottom"/>
            <w:tcBorders>
              <w:top w:val="single" w:sz="8" w:color="4C4C4C"/>
              <w:bottom w:val="single" w:sz="8" w:color="4C4C4C"/>
            </w:tcBorders>
          </w:tcPr>
          <w:p>
            <w:pPr>
              <w:jc w:val="right"/>
              <w:ind w:right="228"/>
              <w:spacing w:after="0"/>
              <w:rPr>
                <w:sz w:val="20"/>
                <w:szCs w:val="20"/>
                <w:color w:val="auto"/>
              </w:rPr>
            </w:pPr>
            <w:r>
              <w:rPr>
                <w:rFonts w:ascii="Arial" w:cs="Arial" w:eastAsia="Arial" w:hAnsi="Arial"/>
                <w:sz w:val="14"/>
                <w:szCs w:val="14"/>
                <w:color w:val="auto"/>
              </w:rPr>
              <w:t>468,000</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top w:val="single" w:sz="8" w:color="4C4C4C"/>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4C4C4C"/>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top w:val="single" w:sz="8" w:color="4C4C4C"/>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4C4C4C"/>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60" w:type="dxa"/>
            <w:vAlign w:val="bottom"/>
            <w:tcBorders>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89,662</w:t>
            </w:r>
            <w:r>
              <w:rPr>
                <w:rFonts w:ascii="Arial" w:cs="Arial" w:eastAsia="Arial" w:hAnsi="Arial"/>
                <w:sz w:val="17"/>
                <w:szCs w:val="17"/>
                <w:color w:val="auto"/>
                <w:vertAlign w:val="superscript"/>
              </w:rPr>
              <w:t>(12)</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258,227</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60" w:type="dxa"/>
            <w:vAlign w:val="bottom"/>
            <w:tcBorders>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34,199</w:t>
            </w:r>
            <w:r>
              <w:rPr>
                <w:rFonts w:ascii="Arial" w:cs="Arial" w:eastAsia="Arial" w:hAnsi="Arial"/>
                <w:sz w:val="17"/>
                <w:szCs w:val="17"/>
                <w:color w:val="auto"/>
                <w:vertAlign w:val="superscript"/>
              </w:rPr>
              <w:t>(13)</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98,493</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60" w:type="dxa"/>
            <w:vAlign w:val="bottom"/>
            <w:tcBorders>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32,789</w:t>
            </w:r>
            <w:r>
              <w:rPr>
                <w:rFonts w:ascii="Arial" w:cs="Arial" w:eastAsia="Arial" w:hAnsi="Arial"/>
                <w:sz w:val="17"/>
                <w:szCs w:val="17"/>
                <w:color w:val="auto"/>
                <w:vertAlign w:val="superscript"/>
              </w:rPr>
              <w:t>(13)</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94,432</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60" w:type="dxa"/>
            <w:vAlign w:val="bottom"/>
            <w:tcBorders>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11,700</w:t>
            </w:r>
            <w:r>
              <w:rPr>
                <w:rFonts w:ascii="Arial" w:cs="Arial" w:eastAsia="Arial" w:hAnsi="Arial"/>
                <w:sz w:val="17"/>
                <w:szCs w:val="17"/>
                <w:color w:val="auto"/>
                <w:vertAlign w:val="superscript"/>
              </w:rPr>
              <w:t>(13)</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33,696</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60" w:type="dxa"/>
            <w:vAlign w:val="bottom"/>
            <w:tcBorders>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64,437</w:t>
            </w:r>
            <w:r>
              <w:rPr>
                <w:rFonts w:ascii="Arial" w:cs="Arial" w:eastAsia="Arial" w:hAnsi="Arial"/>
                <w:sz w:val="17"/>
                <w:szCs w:val="17"/>
                <w:color w:val="auto"/>
                <w:vertAlign w:val="superscript"/>
              </w:rPr>
              <w:t>(14)</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185,579</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940" w:type="dxa"/>
            <w:vAlign w:val="bottom"/>
            <w:tcBorders>
              <w:bottom w:val="single" w:sz="8" w:color="4C4C4C"/>
            </w:tcBorders>
          </w:tcPr>
          <w:p>
            <w:pPr>
              <w:ind w:left="60"/>
              <w:spacing w:after="0" w:line="183" w:lineRule="exact"/>
              <w:rPr>
                <w:sz w:val="20"/>
                <w:szCs w:val="20"/>
                <w:color w:val="auto"/>
              </w:rPr>
            </w:pPr>
            <w:r>
              <w:rPr>
                <w:rFonts w:ascii="Arial" w:cs="Arial" w:eastAsia="Arial" w:hAnsi="Arial"/>
                <w:sz w:val="14"/>
                <w:szCs w:val="14"/>
                <w:color w:val="auto"/>
              </w:rPr>
              <w:t>65,000</w:t>
            </w:r>
            <w:r>
              <w:rPr>
                <w:rFonts w:ascii="Arial" w:cs="Arial" w:eastAsia="Arial" w:hAnsi="Arial"/>
                <w:sz w:val="17"/>
                <w:szCs w:val="17"/>
                <w:color w:val="auto"/>
                <w:vertAlign w:val="superscript"/>
              </w:rPr>
              <w:t>(13)</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w:t>
            </w:r>
          </w:p>
        </w:tc>
        <w:tc>
          <w:tcPr>
            <w:tcW w:w="4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508"/>
              <w:spacing w:after="0"/>
              <w:rPr>
                <w:sz w:val="20"/>
                <w:szCs w:val="20"/>
                <w:color w:val="auto"/>
              </w:rPr>
            </w:pPr>
            <w:r>
              <w:rPr>
                <w:rFonts w:ascii="Arial" w:cs="Arial" w:eastAsia="Arial" w:hAnsi="Arial"/>
                <w:sz w:val="14"/>
                <w:szCs w:val="14"/>
                <w:color w:val="auto"/>
                <w:w w:val="98"/>
              </w:rPr>
              <w:t>187,200</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ind w:left="60"/>
              <w:spacing w:after="0" w:line="183" w:lineRule="exact"/>
              <w:rPr>
                <w:sz w:val="20"/>
                <w:szCs w:val="20"/>
                <w:color w:val="auto"/>
              </w:rPr>
            </w:pPr>
            <w:r>
              <w:rPr>
                <w:rFonts w:ascii="Arial" w:cs="Arial" w:eastAsia="Arial" w:hAnsi="Arial"/>
                <w:sz w:val="14"/>
                <w:szCs w:val="14"/>
                <w:color w:val="auto"/>
              </w:rPr>
              <w:t>51,556</w:t>
            </w:r>
            <w:r>
              <w:rPr>
                <w:rFonts w:ascii="Arial" w:cs="Arial" w:eastAsia="Arial" w:hAnsi="Arial"/>
                <w:sz w:val="17"/>
                <w:szCs w:val="17"/>
                <w:color w:val="auto"/>
                <w:vertAlign w:val="superscript"/>
              </w:rPr>
              <w:t>(13)</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4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508"/>
              <w:spacing w:after="0"/>
              <w:rPr>
                <w:sz w:val="20"/>
                <w:szCs w:val="20"/>
                <w:color w:val="auto"/>
              </w:rPr>
            </w:pPr>
            <w:r>
              <w:rPr>
                <w:rFonts w:ascii="Arial" w:cs="Arial" w:eastAsia="Arial" w:hAnsi="Arial"/>
                <w:sz w:val="14"/>
                <w:szCs w:val="14"/>
                <w:color w:val="auto"/>
                <w:w w:val="98"/>
              </w:rPr>
              <w:t>148,481</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ind w:left="60"/>
              <w:spacing w:after="0" w:line="183" w:lineRule="exact"/>
              <w:rPr>
                <w:sz w:val="20"/>
                <w:szCs w:val="20"/>
                <w:color w:val="auto"/>
              </w:rPr>
            </w:pPr>
            <w:r>
              <w:rPr>
                <w:rFonts w:ascii="Arial" w:cs="Arial" w:eastAsia="Arial" w:hAnsi="Arial"/>
                <w:sz w:val="14"/>
                <w:szCs w:val="14"/>
                <w:color w:val="auto"/>
              </w:rPr>
              <w:t>41,244</w:t>
            </w:r>
            <w:r>
              <w:rPr>
                <w:rFonts w:ascii="Arial" w:cs="Arial" w:eastAsia="Arial" w:hAnsi="Arial"/>
                <w:sz w:val="17"/>
                <w:szCs w:val="17"/>
                <w:color w:val="auto"/>
                <w:vertAlign w:val="superscript"/>
              </w:rPr>
              <w:t>(14)</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4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508"/>
              <w:spacing w:after="0"/>
              <w:rPr>
                <w:sz w:val="20"/>
                <w:szCs w:val="20"/>
                <w:color w:val="auto"/>
              </w:rPr>
            </w:pPr>
            <w:r>
              <w:rPr>
                <w:rFonts w:ascii="Arial" w:cs="Arial" w:eastAsia="Arial" w:hAnsi="Arial"/>
                <w:sz w:val="14"/>
                <w:szCs w:val="14"/>
                <w:color w:val="auto"/>
                <w:w w:val="98"/>
              </w:rPr>
              <w:t>118,783</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69"/>
        </w:trPr>
        <w:tc>
          <w:tcPr>
            <w:tcW w:w="1400" w:type="dxa"/>
            <w:vAlign w:val="bottom"/>
            <w:tcBorders>
              <w:bottom w:val="single" w:sz="8" w:color="E7417A"/>
            </w:tcBorders>
          </w:tcPr>
          <w:p>
            <w:pPr>
              <w:spacing w:after="0"/>
              <w:rPr>
                <w:sz w:val="14"/>
                <w:szCs w:val="14"/>
                <w:color w:val="auto"/>
              </w:rPr>
            </w:pPr>
          </w:p>
        </w:tc>
        <w:tc>
          <w:tcPr>
            <w:tcW w:w="240" w:type="dxa"/>
            <w:vAlign w:val="bottom"/>
            <w:tcBorders>
              <w:bottom w:val="single" w:sz="8" w:color="E7417A"/>
            </w:tcBorders>
          </w:tcPr>
          <w:p>
            <w:pPr>
              <w:spacing w:after="0"/>
              <w:rPr>
                <w:sz w:val="14"/>
                <w:szCs w:val="14"/>
                <w:color w:val="auto"/>
              </w:rPr>
            </w:pPr>
          </w:p>
        </w:tc>
        <w:tc>
          <w:tcPr>
            <w:tcW w:w="8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7417A"/>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E7417A"/>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7417A"/>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E7417A"/>
            </w:tcBorders>
          </w:tcPr>
          <w:p>
            <w:pPr>
              <w:ind w:left="460"/>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940" w:type="dxa"/>
            <w:vAlign w:val="bottom"/>
            <w:tcBorders>
              <w:bottom w:val="single" w:sz="8" w:color="E7417A"/>
            </w:tcBorders>
          </w:tcPr>
          <w:p>
            <w:pPr>
              <w:ind w:left="60"/>
              <w:spacing w:after="0" w:line="169" w:lineRule="exact"/>
              <w:rPr>
                <w:sz w:val="20"/>
                <w:szCs w:val="20"/>
                <w:color w:val="auto"/>
              </w:rPr>
            </w:pPr>
            <w:r>
              <w:rPr>
                <w:rFonts w:ascii="Arial" w:cs="Arial" w:eastAsia="Arial" w:hAnsi="Arial"/>
                <w:sz w:val="14"/>
                <w:szCs w:val="14"/>
                <w:color w:val="auto"/>
              </w:rPr>
              <w:t>65,000</w:t>
            </w:r>
            <w:r>
              <w:rPr>
                <w:rFonts w:ascii="Arial" w:cs="Arial" w:eastAsia="Arial" w:hAnsi="Arial"/>
                <w:sz w:val="17"/>
                <w:szCs w:val="17"/>
                <w:color w:val="auto"/>
                <w:vertAlign w:val="superscript"/>
              </w:rPr>
              <w:t>(14)</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E7417A"/>
            </w:tcBorders>
          </w:tcPr>
          <w:p>
            <w:pPr>
              <w:ind w:left="600"/>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40" w:type="dxa"/>
            <w:vAlign w:val="bottom"/>
            <w:tcBorders>
              <w:bottom w:val="single" w:sz="8" w:color="E7417A"/>
            </w:tcBorders>
          </w:tcPr>
          <w:p>
            <w:pPr>
              <w:spacing w:after="0"/>
              <w:rPr>
                <w:sz w:val="14"/>
                <w:szCs w:val="14"/>
                <w:color w:val="auto"/>
              </w:rPr>
            </w:pPr>
          </w:p>
        </w:tc>
        <w:tc>
          <w:tcPr>
            <w:tcW w:w="1100" w:type="dxa"/>
            <w:vAlign w:val="bottom"/>
            <w:tcBorders>
              <w:bottom w:val="single" w:sz="8" w:color="E7417A"/>
            </w:tcBorders>
          </w:tcPr>
          <w:p>
            <w:pPr>
              <w:jc w:val="right"/>
              <w:ind w:right="508"/>
              <w:spacing w:after="0"/>
              <w:rPr>
                <w:sz w:val="20"/>
                <w:szCs w:val="20"/>
                <w:color w:val="auto"/>
              </w:rPr>
            </w:pPr>
            <w:r>
              <w:rPr>
                <w:rFonts w:ascii="Arial" w:cs="Arial" w:eastAsia="Arial" w:hAnsi="Arial"/>
                <w:sz w:val="14"/>
                <w:szCs w:val="14"/>
                <w:color w:val="auto"/>
                <w:w w:val="98"/>
              </w:rPr>
              <w:t>187,200</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Steve McCaffery</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20" w:type="dxa"/>
            <w:vAlign w:val="bottom"/>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Pr>
          <w:p>
            <w:pPr>
              <w:jc w:val="right"/>
              <w:ind w:right="148"/>
              <w:spacing w:after="0" w:line="183" w:lineRule="exact"/>
              <w:rPr>
                <w:sz w:val="20"/>
                <w:szCs w:val="20"/>
                <w:color w:val="auto"/>
              </w:rPr>
            </w:pPr>
            <w:r>
              <w:rPr>
                <w:rFonts w:ascii="Arial" w:cs="Arial" w:eastAsia="Arial" w:hAnsi="Arial"/>
                <w:sz w:val="14"/>
                <w:szCs w:val="14"/>
                <w:color w:val="auto"/>
              </w:rPr>
              <w:t>432,027</w:t>
            </w:r>
            <w:r>
              <w:rPr>
                <w:rFonts w:ascii="Arial" w:cs="Arial" w:eastAsia="Arial" w:hAnsi="Arial"/>
                <w:sz w:val="17"/>
                <w:szCs w:val="17"/>
                <w:color w:val="auto"/>
                <w:vertAlign w:val="superscript"/>
              </w:rPr>
              <w:t>(15)</w:t>
            </w:r>
          </w:p>
        </w:tc>
        <w:tc>
          <w:tcPr>
            <w:tcW w:w="200" w:type="dxa"/>
            <w:vAlign w:val="bottom"/>
          </w:tcPr>
          <w:p>
            <w:pPr>
              <w:spacing w:after="0"/>
              <w:rPr>
                <w:sz w:val="20"/>
                <w:szCs w:val="20"/>
                <w:color w:val="auto"/>
              </w:rPr>
            </w:pPr>
            <w:r>
              <w:rPr>
                <w:rFonts w:ascii="Arial" w:cs="Arial" w:eastAsia="Arial" w:hAnsi="Arial"/>
                <w:sz w:val="14"/>
                <w:szCs w:val="14"/>
                <w:color w:val="auto"/>
              </w:rPr>
              <w:t>​​ ​</w:t>
            </w:r>
          </w:p>
        </w:tc>
        <w:tc>
          <w:tcPr>
            <w:tcW w:w="420" w:type="dxa"/>
            <w:vAlign w:val="bottom"/>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Pr>
          <w:p>
            <w:pPr>
              <w:spacing w:after="0"/>
              <w:rPr>
                <w:sz w:val="15"/>
                <w:szCs w:val="15"/>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1,244,238</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940" w:type="dxa"/>
            <w:vAlign w:val="bottom"/>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4C4C4C"/>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top w:val="single" w:sz="8" w:color="4C4C4C"/>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108,006</w:t>
            </w:r>
            <w:r>
              <w:rPr>
                <w:rFonts w:ascii="Arial" w:cs="Arial" w:eastAsia="Arial" w:hAnsi="Arial"/>
                <w:sz w:val="17"/>
                <w:szCs w:val="17"/>
                <w:color w:val="auto"/>
                <w:vertAlign w:val="superscript"/>
              </w:rPr>
              <w:t>(15)</w:t>
            </w:r>
          </w:p>
        </w:tc>
        <w:tc>
          <w:tcPr>
            <w:tcW w:w="20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top w:val="single" w:sz="8" w:color="4C4C4C"/>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top w:val="single" w:sz="8" w:color="4C4C4C"/>
              <w:bottom w:val="single" w:sz="8" w:color="4C4C4C"/>
            </w:tcBorders>
          </w:tcPr>
          <w:p>
            <w:pPr>
              <w:spacing w:after="0"/>
              <w:rPr>
                <w:sz w:val="15"/>
                <w:szCs w:val="15"/>
                <w:color w:val="auto"/>
              </w:rPr>
            </w:pPr>
          </w:p>
        </w:tc>
        <w:tc>
          <w:tcPr>
            <w:tcW w:w="960" w:type="dxa"/>
            <w:vAlign w:val="bottom"/>
            <w:tcBorders>
              <w:top w:val="single" w:sz="8" w:color="4C4C4C"/>
              <w:bottom w:val="single" w:sz="8" w:color="4C4C4C"/>
            </w:tcBorders>
          </w:tcPr>
          <w:p>
            <w:pPr>
              <w:jc w:val="right"/>
              <w:ind w:right="228"/>
              <w:spacing w:after="0"/>
              <w:rPr>
                <w:sz w:val="20"/>
                <w:szCs w:val="20"/>
                <w:color w:val="auto"/>
              </w:rPr>
            </w:pPr>
            <w:r>
              <w:rPr>
                <w:rFonts w:ascii="Arial" w:cs="Arial" w:eastAsia="Arial" w:hAnsi="Arial"/>
                <w:sz w:val="14"/>
                <w:szCs w:val="14"/>
                <w:color w:val="auto"/>
              </w:rPr>
              <w:t>311,057</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top w:val="single" w:sz="8" w:color="4C4C4C"/>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4C4C4C"/>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top w:val="single" w:sz="8" w:color="4C4C4C"/>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4C4C4C"/>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1,296</w:t>
            </w:r>
            <w:r>
              <w:rPr>
                <w:rFonts w:ascii="Arial" w:cs="Arial" w:eastAsia="Arial" w:hAnsi="Arial"/>
                <w:sz w:val="17"/>
                <w:szCs w:val="17"/>
                <w:color w:val="auto"/>
                <w:vertAlign w:val="superscript"/>
              </w:rPr>
              <w:t>(16)</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3,732</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4C4C4C"/>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40" w:type="dxa"/>
            <w:vAlign w:val="bottom"/>
            <w:tcBorders>
              <w:bottom w:val="single" w:sz="8" w:color="4C4C4C"/>
            </w:tcBorders>
          </w:tcPr>
          <w:p>
            <w:pPr>
              <w:ind w:left="60"/>
              <w:spacing w:after="0" w:line="183" w:lineRule="exact"/>
              <w:rPr>
                <w:sz w:val="20"/>
                <w:szCs w:val="20"/>
                <w:color w:val="auto"/>
              </w:rPr>
            </w:pPr>
            <w:r>
              <w:rPr>
                <w:rFonts w:ascii="Arial" w:cs="Arial" w:eastAsia="Arial" w:hAnsi="Arial"/>
                <w:sz w:val="14"/>
                <w:szCs w:val="14"/>
                <w:color w:val="auto"/>
              </w:rPr>
              <w:t>61,240</w:t>
            </w:r>
            <w:r>
              <w:rPr>
                <w:rFonts w:ascii="Arial" w:cs="Arial" w:eastAsia="Arial" w:hAnsi="Arial"/>
                <w:sz w:val="17"/>
                <w:szCs w:val="17"/>
                <w:color w:val="auto"/>
                <w:vertAlign w:val="superscript"/>
              </w:rPr>
              <w:t>(16)</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40" w:type="dxa"/>
            <w:vAlign w:val="bottom"/>
            <w:tcBorders>
              <w:bottom w:val="single" w:sz="8" w:color="4C4C4C"/>
            </w:tcBorders>
          </w:tcPr>
          <w:p>
            <w:pPr>
              <w:spacing w:after="0"/>
              <w:rPr>
                <w:sz w:val="15"/>
                <w:szCs w:val="15"/>
                <w:color w:val="auto"/>
              </w:rPr>
            </w:pPr>
          </w:p>
        </w:tc>
        <w:tc>
          <w:tcPr>
            <w:tcW w:w="1100" w:type="dxa"/>
            <w:vAlign w:val="bottom"/>
            <w:tcBorders>
              <w:bottom w:val="single" w:sz="8" w:color="4C4C4C"/>
            </w:tcBorders>
          </w:tcPr>
          <w:p>
            <w:pPr>
              <w:jc w:val="right"/>
              <w:ind w:right="508"/>
              <w:spacing w:after="0"/>
              <w:rPr>
                <w:sz w:val="20"/>
                <w:szCs w:val="20"/>
                <w:color w:val="auto"/>
              </w:rPr>
            </w:pPr>
            <w:r>
              <w:rPr>
                <w:rFonts w:ascii="Arial" w:cs="Arial" w:eastAsia="Arial" w:hAnsi="Arial"/>
                <w:sz w:val="14"/>
                <w:szCs w:val="14"/>
                <w:color w:val="auto"/>
                <w:w w:val="98"/>
              </w:rPr>
              <w:t>176,268</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69"/>
        </w:trPr>
        <w:tc>
          <w:tcPr>
            <w:tcW w:w="1400" w:type="dxa"/>
            <w:vAlign w:val="bottom"/>
            <w:tcBorders>
              <w:bottom w:val="single" w:sz="8" w:color="E7417A"/>
            </w:tcBorders>
          </w:tcPr>
          <w:p>
            <w:pPr>
              <w:spacing w:after="0"/>
              <w:rPr>
                <w:sz w:val="14"/>
                <w:szCs w:val="14"/>
                <w:color w:val="auto"/>
              </w:rPr>
            </w:pPr>
          </w:p>
        </w:tc>
        <w:tc>
          <w:tcPr>
            <w:tcW w:w="240" w:type="dxa"/>
            <w:vAlign w:val="bottom"/>
            <w:tcBorders>
              <w:bottom w:val="single" w:sz="8" w:color="E7417A"/>
            </w:tcBorders>
          </w:tcPr>
          <w:p>
            <w:pPr>
              <w:spacing w:after="0"/>
              <w:rPr>
                <w:sz w:val="14"/>
                <w:szCs w:val="14"/>
                <w:color w:val="auto"/>
              </w:rPr>
            </w:pPr>
          </w:p>
        </w:tc>
        <w:tc>
          <w:tcPr>
            <w:tcW w:w="80" w:type="dxa"/>
            <w:vAlign w:val="bottom"/>
            <w:tcBorders>
              <w:bottom w:val="single" w:sz="8" w:color="E7417A"/>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7417A"/>
            </w:tcBorders>
          </w:tcPr>
          <w:p>
            <w:pPr>
              <w:jc w:val="right"/>
              <w:ind w:right="26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E7417A"/>
            </w:tcBorders>
          </w:tcPr>
          <w:p>
            <w:pPr>
              <w:ind w:left="3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7417A"/>
            </w:tcBorders>
          </w:tcPr>
          <w:p>
            <w:pPr>
              <w:jc w:val="right"/>
              <w:ind w:right="18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E7417A"/>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E7417A"/>
            </w:tcBorders>
          </w:tcPr>
          <w:p>
            <w:pPr>
              <w:ind w:left="460"/>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940" w:type="dxa"/>
            <w:vAlign w:val="bottom"/>
            <w:tcBorders>
              <w:bottom w:val="single" w:sz="8" w:color="E7417A"/>
            </w:tcBorders>
          </w:tcPr>
          <w:p>
            <w:pPr>
              <w:ind w:left="60"/>
              <w:spacing w:after="0" w:line="169" w:lineRule="exact"/>
              <w:rPr>
                <w:sz w:val="20"/>
                <w:szCs w:val="20"/>
                <w:color w:val="auto"/>
              </w:rPr>
            </w:pPr>
            <w:r>
              <w:rPr>
                <w:rFonts w:ascii="Arial" w:cs="Arial" w:eastAsia="Arial" w:hAnsi="Arial"/>
                <w:sz w:val="14"/>
                <w:szCs w:val="14"/>
                <w:color w:val="auto"/>
              </w:rPr>
              <w:t>43,202</w:t>
            </w:r>
            <w:r>
              <w:rPr>
                <w:rFonts w:ascii="Arial" w:cs="Arial" w:eastAsia="Arial" w:hAnsi="Arial"/>
                <w:sz w:val="17"/>
                <w:szCs w:val="17"/>
                <w:color w:val="auto"/>
                <w:vertAlign w:val="superscript"/>
              </w:rPr>
              <w:t>(17)</w:t>
            </w:r>
          </w:p>
        </w:tc>
        <w:tc>
          <w:tcPr>
            <w:tcW w:w="220" w:type="dxa"/>
            <w:vAlign w:val="bottom"/>
            <w:tcBorders>
              <w:bottom w:val="single" w:sz="8" w:color="E7417A"/>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E7417A"/>
            </w:tcBorders>
          </w:tcPr>
          <w:p>
            <w:pPr>
              <w:ind w:left="600"/>
              <w:spacing w:after="0" w:line="169"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40" w:type="dxa"/>
            <w:vAlign w:val="bottom"/>
            <w:tcBorders>
              <w:bottom w:val="single" w:sz="8" w:color="E7417A"/>
            </w:tcBorders>
          </w:tcPr>
          <w:p>
            <w:pPr>
              <w:spacing w:after="0"/>
              <w:rPr>
                <w:sz w:val="14"/>
                <w:szCs w:val="14"/>
                <w:color w:val="auto"/>
              </w:rPr>
            </w:pPr>
          </w:p>
        </w:tc>
        <w:tc>
          <w:tcPr>
            <w:tcW w:w="1100" w:type="dxa"/>
            <w:vAlign w:val="bottom"/>
            <w:tcBorders>
              <w:bottom w:val="single" w:sz="8" w:color="E7417A"/>
            </w:tcBorders>
          </w:tcPr>
          <w:p>
            <w:pPr>
              <w:jc w:val="right"/>
              <w:ind w:right="508"/>
              <w:spacing w:after="0"/>
              <w:rPr>
                <w:sz w:val="20"/>
                <w:szCs w:val="20"/>
                <w:color w:val="auto"/>
              </w:rPr>
            </w:pPr>
            <w:r>
              <w:rPr>
                <w:rFonts w:ascii="Arial" w:cs="Arial" w:eastAsia="Arial" w:hAnsi="Arial"/>
                <w:sz w:val="14"/>
                <w:szCs w:val="14"/>
                <w:color w:val="auto"/>
                <w:w w:val="98"/>
              </w:rPr>
              <w:t>124,710</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line="183"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Dan Redington</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520" w:type="dxa"/>
            <w:vAlign w:val="bottom"/>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Pr>
          <w:p>
            <w:pPr>
              <w:jc w:val="right"/>
              <w:ind w:right="148"/>
              <w:spacing w:after="0" w:line="183" w:lineRule="exact"/>
              <w:rPr>
                <w:sz w:val="20"/>
                <w:szCs w:val="20"/>
                <w:color w:val="auto"/>
              </w:rPr>
            </w:pPr>
            <w:r>
              <w:rPr>
                <w:rFonts w:ascii="Arial" w:cs="Arial" w:eastAsia="Arial" w:hAnsi="Arial"/>
                <w:sz w:val="14"/>
                <w:szCs w:val="14"/>
                <w:color w:val="auto"/>
              </w:rPr>
              <w:t>27,973</w:t>
            </w:r>
            <w:r>
              <w:rPr>
                <w:rFonts w:ascii="Arial" w:cs="Arial" w:eastAsia="Arial" w:hAnsi="Arial"/>
                <w:sz w:val="17"/>
                <w:szCs w:val="17"/>
                <w:color w:val="auto"/>
                <w:vertAlign w:val="superscript"/>
              </w:rPr>
              <w:t>(18)</w:t>
            </w:r>
          </w:p>
        </w:tc>
        <w:tc>
          <w:tcPr>
            <w:tcW w:w="200" w:type="dxa"/>
            <w:vAlign w:val="bottom"/>
          </w:tcPr>
          <w:p>
            <w:pPr>
              <w:spacing w:after="0"/>
              <w:rPr>
                <w:sz w:val="20"/>
                <w:szCs w:val="20"/>
                <w:color w:val="auto"/>
              </w:rPr>
            </w:pPr>
            <w:r>
              <w:rPr>
                <w:rFonts w:ascii="Arial" w:cs="Arial" w:eastAsia="Arial" w:hAnsi="Arial"/>
                <w:sz w:val="14"/>
                <w:szCs w:val="14"/>
                <w:color w:val="auto"/>
              </w:rPr>
              <w:t>​​ ​</w:t>
            </w:r>
          </w:p>
        </w:tc>
        <w:tc>
          <w:tcPr>
            <w:tcW w:w="420" w:type="dxa"/>
            <w:vAlign w:val="bottom"/>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Pr>
          <w:p>
            <w:pPr>
              <w:spacing w:after="0"/>
              <w:rPr>
                <w:sz w:val="15"/>
                <w:szCs w:val="15"/>
                <w:color w:val="auto"/>
              </w:rPr>
            </w:pPr>
          </w:p>
        </w:tc>
        <w:tc>
          <w:tcPr>
            <w:tcW w:w="960" w:type="dxa"/>
            <w:vAlign w:val="bottom"/>
          </w:tcPr>
          <w:p>
            <w:pPr>
              <w:jc w:val="right"/>
              <w:ind w:right="228"/>
              <w:spacing w:after="0"/>
              <w:rPr>
                <w:sz w:val="20"/>
                <w:szCs w:val="20"/>
                <w:color w:val="auto"/>
              </w:rPr>
            </w:pPr>
            <w:r>
              <w:rPr>
                <w:rFonts w:ascii="Arial" w:cs="Arial" w:eastAsia="Arial" w:hAnsi="Arial"/>
                <w:sz w:val="14"/>
                <w:szCs w:val="14"/>
                <w:color w:val="auto"/>
              </w:rPr>
              <w:t>80,562</w:t>
            </w:r>
          </w:p>
        </w:tc>
        <w:tc>
          <w:tcPr>
            <w:tcW w:w="220" w:type="dxa"/>
            <w:vAlign w:val="bottom"/>
          </w:tcPr>
          <w:p>
            <w:pPr>
              <w:spacing w:after="0"/>
              <w:rPr>
                <w:sz w:val="20"/>
                <w:szCs w:val="20"/>
                <w:color w:val="auto"/>
              </w:rPr>
            </w:pPr>
            <w:r>
              <w:rPr>
                <w:rFonts w:ascii="Arial" w:cs="Arial" w:eastAsia="Arial" w:hAnsi="Arial"/>
                <w:sz w:val="14"/>
                <w:szCs w:val="14"/>
                <w:color w:val="auto"/>
              </w:rPr>
              <w:t>​​ ​</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940" w:type="dxa"/>
            <w:vAlign w:val="bottom"/>
          </w:tcPr>
          <w:p>
            <w:pPr>
              <w:ind w:left="50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 ​</w:t>
            </w:r>
          </w:p>
        </w:tc>
        <w:tc>
          <w:tcPr>
            <w:tcW w:w="740" w:type="dxa"/>
            <w:vAlign w:val="bottom"/>
          </w:tcPr>
          <w:p>
            <w:pPr>
              <w:ind w:left="6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4C4C4C"/>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top w:val="single" w:sz="8" w:color="4C4C4C"/>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28,241</w:t>
            </w:r>
            <w:r>
              <w:rPr>
                <w:rFonts w:ascii="Arial" w:cs="Arial" w:eastAsia="Arial" w:hAnsi="Arial"/>
                <w:sz w:val="17"/>
                <w:szCs w:val="17"/>
                <w:color w:val="auto"/>
                <w:vertAlign w:val="superscript"/>
              </w:rPr>
              <w:t>(18)</w:t>
            </w:r>
          </w:p>
        </w:tc>
        <w:tc>
          <w:tcPr>
            <w:tcW w:w="20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top w:val="single" w:sz="8" w:color="4C4C4C"/>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top w:val="single" w:sz="8" w:color="4C4C4C"/>
              <w:bottom w:val="single" w:sz="8" w:color="4C4C4C"/>
            </w:tcBorders>
          </w:tcPr>
          <w:p>
            <w:pPr>
              <w:spacing w:after="0"/>
              <w:rPr>
                <w:sz w:val="15"/>
                <w:szCs w:val="15"/>
                <w:color w:val="auto"/>
              </w:rPr>
            </w:pPr>
          </w:p>
        </w:tc>
        <w:tc>
          <w:tcPr>
            <w:tcW w:w="960" w:type="dxa"/>
            <w:vAlign w:val="bottom"/>
            <w:tcBorders>
              <w:top w:val="single" w:sz="8" w:color="4C4C4C"/>
              <w:bottom w:val="single" w:sz="8" w:color="4C4C4C"/>
            </w:tcBorders>
          </w:tcPr>
          <w:p>
            <w:pPr>
              <w:jc w:val="right"/>
              <w:ind w:right="228"/>
              <w:spacing w:after="0"/>
              <w:rPr>
                <w:sz w:val="20"/>
                <w:szCs w:val="20"/>
                <w:color w:val="auto"/>
              </w:rPr>
            </w:pPr>
            <w:r>
              <w:rPr>
                <w:rFonts w:ascii="Arial" w:cs="Arial" w:eastAsia="Arial" w:hAnsi="Arial"/>
                <w:sz w:val="14"/>
                <w:szCs w:val="14"/>
                <w:color w:val="auto"/>
              </w:rPr>
              <w:t>81,334</w:t>
            </w:r>
          </w:p>
        </w:tc>
        <w:tc>
          <w:tcPr>
            <w:tcW w:w="22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top w:val="single" w:sz="8" w:color="4C4C4C"/>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4C4C4C"/>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top w:val="single" w:sz="8" w:color="4C4C4C"/>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4C4C4C"/>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4C4C4C"/>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6,058</w:t>
            </w:r>
            <w:r>
              <w:rPr>
                <w:rFonts w:ascii="Arial" w:cs="Arial" w:eastAsia="Arial" w:hAnsi="Arial"/>
                <w:sz w:val="17"/>
                <w:szCs w:val="17"/>
                <w:color w:val="auto"/>
                <w:vertAlign w:val="superscript"/>
              </w:rPr>
              <w:t>(18)</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17,447</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183"/>
        </w:trPr>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4C4C4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4C4C4C"/>
            </w:tcBorders>
          </w:tcPr>
          <w:p>
            <w:pPr>
              <w:ind w:left="38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960" w:type="dxa"/>
            <w:vAlign w:val="bottom"/>
            <w:tcBorders>
              <w:bottom w:val="single" w:sz="8" w:color="4C4C4C"/>
            </w:tcBorders>
          </w:tcPr>
          <w:p>
            <w:pPr>
              <w:jc w:val="right"/>
              <w:ind w:right="148"/>
              <w:spacing w:after="0" w:line="183" w:lineRule="exact"/>
              <w:rPr>
                <w:sz w:val="20"/>
                <w:szCs w:val="20"/>
                <w:color w:val="auto"/>
              </w:rPr>
            </w:pPr>
            <w:r>
              <w:rPr>
                <w:rFonts w:ascii="Arial" w:cs="Arial" w:eastAsia="Arial" w:hAnsi="Arial"/>
                <w:sz w:val="14"/>
                <w:szCs w:val="14"/>
                <w:color w:val="auto"/>
              </w:rPr>
              <w:t>51,645</w:t>
            </w:r>
            <w:r>
              <w:rPr>
                <w:rFonts w:ascii="Arial" w:cs="Arial" w:eastAsia="Arial" w:hAnsi="Arial"/>
                <w:sz w:val="17"/>
                <w:szCs w:val="17"/>
                <w:color w:val="auto"/>
                <w:vertAlign w:val="superscript"/>
              </w:rPr>
              <w:t>(19)</w:t>
            </w:r>
          </w:p>
        </w:tc>
        <w:tc>
          <w:tcPr>
            <w:tcW w:w="20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4C4C4C"/>
            </w:tcBorders>
          </w:tcPr>
          <w:p>
            <w:pPr>
              <w:ind w:left="320"/>
              <w:spacing w:after="0" w:line="183"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w:t>
            </w:r>
          </w:p>
        </w:tc>
        <w:tc>
          <w:tcPr>
            <w:tcW w:w="60" w:type="dxa"/>
            <w:vAlign w:val="bottom"/>
            <w:tcBorders>
              <w:bottom w:val="single" w:sz="8" w:color="4C4C4C"/>
            </w:tcBorders>
          </w:tcPr>
          <w:p>
            <w:pPr>
              <w:spacing w:after="0"/>
              <w:rPr>
                <w:sz w:val="15"/>
                <w:szCs w:val="15"/>
                <w:color w:val="auto"/>
              </w:rPr>
            </w:pPr>
          </w:p>
        </w:tc>
        <w:tc>
          <w:tcPr>
            <w:tcW w:w="960" w:type="dxa"/>
            <w:vAlign w:val="bottom"/>
            <w:tcBorders>
              <w:bottom w:val="single" w:sz="8" w:color="4C4C4C"/>
            </w:tcBorders>
          </w:tcPr>
          <w:p>
            <w:pPr>
              <w:jc w:val="right"/>
              <w:ind w:right="228"/>
              <w:spacing w:after="0"/>
              <w:rPr>
                <w:sz w:val="20"/>
                <w:szCs w:val="20"/>
                <w:color w:val="auto"/>
              </w:rPr>
            </w:pPr>
            <w:r>
              <w:rPr>
                <w:rFonts w:ascii="Arial" w:cs="Arial" w:eastAsia="Arial" w:hAnsi="Arial"/>
                <w:sz w:val="14"/>
                <w:szCs w:val="14"/>
                <w:color w:val="auto"/>
              </w:rPr>
              <w:t>148,738</w:t>
            </w:r>
          </w:p>
        </w:tc>
        <w:tc>
          <w:tcPr>
            <w:tcW w:w="22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4C4C4C"/>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4C4C4C"/>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4C4C4C"/>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4C4C4C"/>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4C4C4C"/>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4"/>
                <w:szCs w:val="14"/>
                <w:color w:val="auto"/>
              </w:rPr>
              <w:t>​ ​</w:t>
            </w:r>
          </w:p>
        </w:tc>
      </w:tr>
      <w:tr>
        <w:trPr>
          <w:trHeight w:val="209"/>
        </w:trPr>
        <w:tc>
          <w:tcPr>
            <w:tcW w:w="1400" w:type="dxa"/>
            <w:vAlign w:val="bottom"/>
            <w:tcBorders>
              <w:bottom w:val="single" w:sz="8" w:color="62259D"/>
            </w:tcBorders>
          </w:tcPr>
          <w:p>
            <w:pPr>
              <w:spacing w:after="0"/>
              <w:rPr>
                <w:sz w:val="18"/>
                <w:szCs w:val="18"/>
                <w:color w:val="auto"/>
              </w:rPr>
            </w:pPr>
          </w:p>
        </w:tc>
        <w:tc>
          <w:tcPr>
            <w:tcW w:w="240" w:type="dxa"/>
            <w:vAlign w:val="bottom"/>
            <w:tcBorders>
              <w:bottom w:val="single" w:sz="8" w:color="62259D"/>
            </w:tcBorders>
          </w:tcPr>
          <w:p>
            <w:pPr>
              <w:spacing w:after="0"/>
              <w:rPr>
                <w:sz w:val="18"/>
                <w:szCs w:val="18"/>
                <w:color w:val="auto"/>
              </w:rPr>
            </w:pPr>
          </w:p>
        </w:tc>
        <w:tc>
          <w:tcPr>
            <w:tcW w:w="80" w:type="dxa"/>
            <w:vAlign w:val="bottom"/>
            <w:tcBorders>
              <w:bottom w:val="single" w:sz="8" w:color="62259D"/>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62259D"/>
            </w:tcBorders>
          </w:tcPr>
          <w:p>
            <w:pPr>
              <w:ind w:left="38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960" w:type="dxa"/>
            <w:vAlign w:val="bottom"/>
            <w:tcBorders>
              <w:bottom w:val="single" w:sz="8" w:color="62259D"/>
            </w:tcBorders>
          </w:tcPr>
          <w:p>
            <w:pPr>
              <w:jc w:val="right"/>
              <w:ind w:right="148"/>
              <w:spacing w:after="0"/>
              <w:rPr>
                <w:sz w:val="20"/>
                <w:szCs w:val="20"/>
                <w:color w:val="auto"/>
              </w:rPr>
            </w:pPr>
            <w:r>
              <w:rPr>
                <w:rFonts w:ascii="Arial" w:cs="Arial" w:eastAsia="Arial" w:hAnsi="Arial"/>
                <w:sz w:val="14"/>
                <w:szCs w:val="14"/>
                <w:color w:val="auto"/>
              </w:rPr>
              <w:t>27,140</w:t>
            </w:r>
            <w:r>
              <w:rPr>
                <w:rFonts w:ascii="Arial" w:cs="Arial" w:eastAsia="Arial" w:hAnsi="Arial"/>
                <w:sz w:val="17"/>
                <w:szCs w:val="17"/>
                <w:color w:val="auto"/>
                <w:vertAlign w:val="superscript"/>
              </w:rPr>
              <w:t>(19)</w:t>
            </w:r>
          </w:p>
        </w:tc>
        <w:tc>
          <w:tcPr>
            <w:tcW w:w="200" w:type="dxa"/>
            <w:vAlign w:val="bottom"/>
            <w:tcBorders>
              <w:bottom w:val="single" w:sz="8" w:color="62259D"/>
            </w:tcBorders>
          </w:tcPr>
          <w:p>
            <w:pPr>
              <w:spacing w:after="0"/>
              <w:rPr>
                <w:sz w:val="20"/>
                <w:szCs w:val="20"/>
                <w:color w:val="auto"/>
              </w:rPr>
            </w:pPr>
            <w:r>
              <w:rPr>
                <w:rFonts w:ascii="Arial" w:cs="Arial" w:eastAsia="Arial" w:hAnsi="Arial"/>
                <w:sz w:val="14"/>
                <w:szCs w:val="14"/>
                <w:color w:val="auto"/>
              </w:rPr>
              <w:t>​​ ​</w:t>
            </w:r>
          </w:p>
        </w:tc>
        <w:tc>
          <w:tcPr>
            <w:tcW w:w="420" w:type="dxa"/>
            <w:vAlign w:val="bottom"/>
            <w:tcBorders>
              <w:bottom w:val="single" w:sz="8" w:color="62259D"/>
            </w:tcBorders>
          </w:tcPr>
          <w:p>
            <w:pPr>
              <w:ind w:left="320"/>
              <w:spacing w:after="0" w:line="210" w:lineRule="exact"/>
              <w:rPr>
                <w:sz w:val="20"/>
                <w:szCs w:val="20"/>
                <w:color w:val="auto"/>
              </w:rPr>
            </w:pPr>
            <w:r>
              <w:rPr>
                <w:rFonts w:ascii="Arial" w:cs="Arial" w:eastAsia="Arial" w:hAnsi="Arial"/>
                <w:sz w:val="13"/>
                <w:szCs w:val="13"/>
                <w:color w:val="auto"/>
                <w:w w:val="89"/>
              </w:rPr>
              <w:t>​</w:t>
            </w:r>
            <w:r>
              <w:rPr>
                <w:rFonts w:ascii="Arial" w:cs="Arial" w:eastAsia="Arial" w:hAnsi="Arial"/>
                <w:sz w:val="24"/>
                <w:szCs w:val="24"/>
                <w:color w:val="auto"/>
                <w:w w:val="89"/>
                <w:vertAlign w:val="subscript"/>
              </w:rPr>
              <w:t>$</w:t>
            </w:r>
          </w:p>
        </w:tc>
        <w:tc>
          <w:tcPr>
            <w:tcW w:w="60" w:type="dxa"/>
            <w:vAlign w:val="bottom"/>
            <w:tcBorders>
              <w:bottom w:val="single" w:sz="8" w:color="62259D"/>
            </w:tcBorders>
          </w:tcPr>
          <w:p>
            <w:pPr>
              <w:spacing w:after="0"/>
              <w:rPr>
                <w:sz w:val="18"/>
                <w:szCs w:val="18"/>
                <w:color w:val="auto"/>
              </w:rPr>
            </w:pPr>
          </w:p>
        </w:tc>
        <w:tc>
          <w:tcPr>
            <w:tcW w:w="960" w:type="dxa"/>
            <w:vAlign w:val="bottom"/>
            <w:tcBorders>
              <w:bottom w:val="single" w:sz="8" w:color="62259D"/>
            </w:tcBorders>
          </w:tcPr>
          <w:p>
            <w:pPr>
              <w:jc w:val="right"/>
              <w:ind w:right="228"/>
              <w:spacing w:after="0"/>
              <w:rPr>
                <w:sz w:val="20"/>
                <w:szCs w:val="20"/>
                <w:color w:val="auto"/>
              </w:rPr>
            </w:pPr>
            <w:r>
              <w:rPr>
                <w:rFonts w:ascii="Arial" w:cs="Arial" w:eastAsia="Arial" w:hAnsi="Arial"/>
                <w:sz w:val="14"/>
                <w:szCs w:val="14"/>
                <w:color w:val="auto"/>
              </w:rPr>
              <w:t>78,163</w:t>
            </w:r>
          </w:p>
        </w:tc>
        <w:tc>
          <w:tcPr>
            <w:tcW w:w="220" w:type="dxa"/>
            <w:vAlign w:val="bottom"/>
            <w:tcBorders>
              <w:bottom w:val="single" w:sz="8" w:color="62259D"/>
            </w:tcBorders>
          </w:tcPr>
          <w:p>
            <w:pPr>
              <w:spacing w:after="0"/>
              <w:rPr>
                <w:sz w:val="20"/>
                <w:szCs w:val="20"/>
                <w:color w:val="auto"/>
              </w:rPr>
            </w:pPr>
            <w:r>
              <w:rPr>
                <w:rFonts w:ascii="Arial" w:cs="Arial" w:eastAsia="Arial" w:hAnsi="Arial"/>
                <w:sz w:val="14"/>
                <w:szCs w:val="14"/>
                <w:color w:val="auto"/>
              </w:rPr>
              <w:t>​​ ​</w:t>
            </w:r>
          </w:p>
        </w:tc>
        <w:tc>
          <w:tcPr>
            <w:tcW w:w="580" w:type="dxa"/>
            <w:vAlign w:val="bottom"/>
            <w:tcBorders>
              <w:bottom w:val="single" w:sz="8" w:color="62259D"/>
            </w:tcBorders>
          </w:tcPr>
          <w:p>
            <w:pPr>
              <w:ind w:left="46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2259D"/>
            </w:tcBorders>
          </w:tcPr>
          <w:p>
            <w:pPr>
              <w:ind w:left="5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2259D"/>
            </w:tcBorders>
          </w:tcPr>
          <w:p>
            <w:pPr>
              <w:ind w:left="20"/>
              <w:spacing w:after="0"/>
              <w:rPr>
                <w:sz w:val="20"/>
                <w:szCs w:val="20"/>
                <w:color w:val="auto"/>
              </w:rPr>
            </w:pPr>
            <w:r>
              <w:rPr>
                <w:rFonts w:ascii="Arial" w:cs="Arial" w:eastAsia="Arial" w:hAnsi="Arial"/>
                <w:sz w:val="14"/>
                <w:szCs w:val="14"/>
                <w:color w:val="auto"/>
              </w:rPr>
              <w:t>​​ ​</w:t>
            </w:r>
          </w:p>
        </w:tc>
        <w:tc>
          <w:tcPr>
            <w:tcW w:w="740" w:type="dxa"/>
            <w:vAlign w:val="bottom"/>
            <w:tcBorders>
              <w:bottom w:val="single" w:sz="8" w:color="62259D"/>
            </w:tcBorders>
          </w:tcPr>
          <w:p>
            <w:pPr>
              <w:ind w:left="6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62259D"/>
            </w:tcBorders>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62259D"/>
            </w:tcBorders>
          </w:tcPr>
          <w:p>
            <w:pPr>
              <w:jc w:val="right"/>
              <w:ind w:right="46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2259D"/>
            </w:tcBorders>
          </w:tcPr>
          <w:p>
            <w:pPr>
              <w:ind w:left="20"/>
              <w:spacing w:after="0"/>
              <w:rPr>
                <w:sz w:val="20"/>
                <w:szCs w:val="20"/>
                <w:color w:val="auto"/>
              </w:rPr>
            </w:pPr>
            <w:r>
              <w:rPr>
                <w:rFonts w:ascii="Arial" w:cs="Arial" w:eastAsia="Arial" w:hAnsi="Arial"/>
                <w:sz w:val="14"/>
                <w:szCs w:val="14"/>
                <w:color w:val="auto"/>
              </w:rPr>
              <w:t>​ ​</w:t>
            </w:r>
          </w:p>
        </w:tc>
      </w:tr>
    </w:tbl>
    <w:p>
      <w:pPr>
        <w:spacing w:after="0" w:line="184" w:lineRule="exact"/>
        <w:rPr>
          <w:sz w:val="20"/>
          <w:szCs w:val="20"/>
          <w:color w:val="auto"/>
        </w:rPr>
      </w:pPr>
    </w:p>
    <w:p>
      <w:pPr>
        <w:sectPr>
          <w:pgSz w:w="11900" w:h="16838" w:orient="portrait"/>
          <w:cols w:equalWidth="0" w:num="1">
            <w:col w:w="9879"/>
          </w:cols>
          <w:pgMar w:left="580" w:top="97" w:right="1440" w:bottom="1440" w:gutter="0" w:footer="0" w:header="0"/>
        </w:sect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63" w:lineRule="exact"/>
        <w:rPr>
          <w:sz w:val="20"/>
          <w:szCs w:val="20"/>
          <w:color w:val="auto"/>
        </w:rPr>
      </w:pPr>
    </w:p>
    <w:p>
      <w:pPr>
        <w:ind w:left="1400" w:right="99" w:hanging="368"/>
        <w:spacing w:after="0" w:line="301" w:lineRule="auto"/>
        <w:tabs>
          <w:tab w:leader="none" w:pos="14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In accordance with SEC rules, the market value of unvested restricted stock units was determined by multiplying the number of such shares by $2.88, the closing market price of our common stock on December 31, 2025.</w:t>
      </w:r>
    </w:p>
    <w:p>
      <w:pPr>
        <w:spacing w:after="0" w:line="1" w:lineRule="exact"/>
        <w:rPr>
          <w:rFonts w:ascii="Arial" w:cs="Arial" w:eastAsia="Arial" w:hAnsi="Arial"/>
          <w:sz w:val="14"/>
          <w:szCs w:val="14"/>
          <w:color w:val="auto"/>
        </w:rPr>
      </w:pPr>
    </w:p>
    <w:p>
      <w:pPr>
        <w:ind w:left="1400" w:right="179" w:hanging="368"/>
        <w:spacing w:after="0" w:line="267" w:lineRule="auto"/>
        <w:tabs>
          <w:tab w:leader="none" w:pos="14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34,420 unvested RSUs will vest on April 17, 2026. Of Mr. McClelland’s 375,000 RSUs, 124,500 will vest on May 15, 2026 and 62,625 will vest on each of November 15, 2026, May 15, 2027, November 15, 2027 and May 15, 2028. Of the 3,125,000 RSUs issued in connection with the Strategic Achievement Award, 1,562,500 will vest on May 15, 2026 and 781,250 will vest on each of November 15, 2026 and May 15, 2027. Of Mr. McClelland’s 474,684 True-Up RSUs, 237,342 will vest on May 15, 2026 and 118,671 will vest on each of November 15, 2026 and May 15, 2027.</w:t>
      </w:r>
    </w:p>
    <w:p>
      <w:pPr>
        <w:spacing w:after="0" w:line="35" w:lineRule="exact"/>
        <w:rPr>
          <w:rFonts w:ascii="Arial" w:cs="Arial" w:eastAsia="Arial" w:hAnsi="Arial"/>
          <w:sz w:val="14"/>
          <w:szCs w:val="14"/>
          <w:color w:val="auto"/>
        </w:rPr>
      </w:pPr>
    </w:p>
    <w:p>
      <w:pPr>
        <w:ind w:left="1400" w:right="99" w:hanging="368"/>
        <w:spacing w:after="0" w:line="260" w:lineRule="auto"/>
        <w:tabs>
          <w:tab w:leader="none" w:pos="14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56,999 unvested stock units represent the number of shares underlying Mr. McClelland’s unvested 2023 Annual PSUs based on actual 2023, 2024 and 2025 performance; these shares will vest on April 17, 2026. The 173,591 unvested stock units represent the number of shares underlying Mr. McClelland’s unvested 2024 Annual PSUs based on actual 2024 and 2025 performance; these shares will vest on May 15, 2026. The 15,882 unvested stock units represent the number of shares underlying Mr. McClelland’s unvested 2025 Annual PSUs based on 2025 performance and the 88,235 unearned stock units represent shares underlying 2025 Annual PSUs that will vest upon achievement of target performance goals in a future performance period; any shares earned under the 2025 Annual PSUs will vest on May 15, 2028. The 272,943 unearned stock units represent the number of shares underlying Mr. McClelland’s unearned 2025 True-Up PSUs that will vest upon achievement of target performance goals in a future performance period; any shares earned under the 2025 True-Up PSUs will vest on May 15, 2027.</w:t>
      </w:r>
    </w:p>
    <w:p>
      <w:pPr>
        <w:spacing w:after="0" w:line="212" w:lineRule="exact"/>
        <w:rPr>
          <w:rFonts w:ascii="Arial" w:cs="Arial" w:eastAsia="Arial" w:hAnsi="Arial"/>
          <w:sz w:val="14"/>
          <w:szCs w:val="14"/>
          <w:color w:val="auto"/>
        </w:rPr>
      </w:pPr>
    </w:p>
    <w:p>
      <w:pPr>
        <w:ind w:left="1400" w:right="119" w:hanging="368"/>
        <w:spacing w:after="0" w:line="262" w:lineRule="auto"/>
        <w:tabs>
          <w:tab w:leader="none" w:pos="14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107,394 unvested stock units represent the shares underlying Mr. McClelland’s unvested 2023 Annual PSUs based on the relative TSR for the three-year period ended December 31, 2025; these shares will vest on April 17, 2026. The 218,354 unvested stock units represent the shares underlying Mr. McClelland’s unvested 2024 Annual PSUs based on relative TSR, which have a three-year performance period, and that will vest upon achievement of target performance; shares earned, if any, will vest on May 15, 2027. The 88,235 unvested stock units represent the shares underlying Mr. McClelland’s unvested 2025 Annual PSUs based on relative TSR, which have a three-year performance period, and that will vest upon achievement of target performance; shares earned, if any, will vest on May 15, 2028.</w:t>
      </w:r>
    </w:p>
    <w:p>
      <w:pPr>
        <w:spacing w:after="0" w:line="25" w:lineRule="exact"/>
        <w:rPr>
          <w:rFonts w:ascii="Arial" w:cs="Arial" w:eastAsia="Arial" w:hAnsi="Arial"/>
          <w:sz w:val="14"/>
          <w:szCs w:val="14"/>
          <w:color w:val="auto"/>
        </w:rPr>
      </w:pPr>
    </w:p>
    <w:p>
      <w:pPr>
        <w:ind w:left="1400" w:right="259" w:hanging="368"/>
        <w:spacing w:after="0" w:line="305" w:lineRule="auto"/>
        <w:tabs>
          <w:tab w:leader="none" w:pos="14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Of Mr. Townsend’s 102,564 unvested RSUs, 25,641 will vest on each of April 15, 2026, October 15, 2026, April 15, 2027 and October 15, 2027.</w:t>
      </w:r>
    </w:p>
    <w:p>
      <w:pPr>
        <w:spacing w:after="0" w:line="9" w:lineRule="exact"/>
        <w:rPr>
          <w:rFonts w:ascii="Arial" w:cs="Arial" w:eastAsia="Arial" w:hAnsi="Arial"/>
          <w:sz w:val="14"/>
          <w:szCs w:val="14"/>
          <w:color w:val="auto"/>
        </w:rPr>
      </w:pPr>
    </w:p>
    <w:p>
      <w:pPr>
        <w:ind w:left="1400" w:right="139" w:hanging="368"/>
        <w:spacing w:after="0" w:line="269" w:lineRule="auto"/>
        <w:tabs>
          <w:tab w:leader="none" w:pos="14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16,615 unvested stock units represent the number of shares underlying Mr. Townsend’s unvested PSU grant made in October 2024 based on actual 2025 performance and the 92,307 unearned stock units represent shares underlying this PSU grant that will vest upon achievement of target performance goals in future performance periods; any shares earned under this PSU grant will vest on March 15, 2028.</w:t>
      </w:r>
    </w:p>
    <w:p>
      <w:pPr>
        <w:spacing w:after="0" w:line="34" w:lineRule="exact"/>
        <w:rPr>
          <w:rFonts w:ascii="Arial" w:cs="Arial" w:eastAsia="Arial" w:hAnsi="Arial"/>
          <w:sz w:val="14"/>
          <w:szCs w:val="14"/>
          <w:color w:val="auto"/>
        </w:rPr>
      </w:pPr>
    </w:p>
    <w:p>
      <w:pPr>
        <w:ind w:left="1400" w:right="119" w:hanging="368"/>
        <w:spacing w:after="0" w:line="273" w:lineRule="auto"/>
        <w:tabs>
          <w:tab w:leader="none" w:pos="14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92,308 unvested stock units represent the shares underlying Mr. Townsend’s unvested PSU grant made in October 2024 based on relative TSR, which have a performance period running from October 15, 2024 through December 31, 2027, and that will vest upon achievement of target performance; shares earned, if any, will vest on March 15, 2028.</w:t>
      </w:r>
    </w:p>
    <w:p>
      <w:pPr>
        <w:spacing w:after="0" w:line="31" w:lineRule="exact"/>
        <w:rPr>
          <w:rFonts w:ascii="Arial" w:cs="Arial" w:eastAsia="Arial" w:hAnsi="Arial"/>
          <w:sz w:val="14"/>
          <w:szCs w:val="14"/>
          <w:color w:val="auto"/>
        </w:rPr>
      </w:pPr>
    </w:p>
    <w:p>
      <w:pPr>
        <w:ind w:left="1400" w:right="99" w:hanging="368"/>
        <w:spacing w:after="0" w:line="273" w:lineRule="auto"/>
        <w:tabs>
          <w:tab w:leader="none" w:pos="14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314,583 unvested stock units represent the shares underlying the the PSU grant made to Mr. Townsend in connection with his appointment as CFO in October 2024 which have vesting based on both the achievement of stock price targets and the passage of time; shares earned, if any, will vest before October 15, 2028.</w:t>
      </w:r>
    </w:p>
    <w:p>
      <w:pPr>
        <w:spacing w:after="0" w:line="31" w:lineRule="exact"/>
        <w:rPr>
          <w:rFonts w:ascii="Arial" w:cs="Arial" w:eastAsia="Arial" w:hAnsi="Arial"/>
          <w:sz w:val="14"/>
          <w:szCs w:val="14"/>
          <w:color w:val="auto"/>
        </w:rPr>
      </w:pPr>
    </w:p>
    <w:p>
      <w:pPr>
        <w:ind w:left="1400" w:right="179" w:hanging="368"/>
        <w:spacing w:after="0" w:line="273" w:lineRule="auto"/>
        <w:tabs>
          <w:tab w:leader="none" w:pos="14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25,815 unvested RSUs will vest on April 17, 2026. Of Mr. Bucci’s 250,000 RSUs, 83,334 will vest on May 15, 2026 and 41,667 will vest on each of November 15, 2026, May 15, 2027, November 15, 2027 and May 15, 2028. Of Mr. Bucci’s 105,485 True-Up RSUs, 52,473 will vest on May 15, 2026 and 26,371 will vest on each of November 15, 2026 and May 15, 2027.</w:t>
      </w:r>
    </w:p>
    <w:p>
      <w:pPr>
        <w:spacing w:after="0" w:line="31" w:lineRule="exact"/>
        <w:rPr>
          <w:rFonts w:ascii="Arial" w:cs="Arial" w:eastAsia="Arial" w:hAnsi="Arial"/>
          <w:sz w:val="14"/>
          <w:szCs w:val="14"/>
          <w:color w:val="auto"/>
        </w:rPr>
      </w:pPr>
    </w:p>
    <w:p>
      <w:pPr>
        <w:ind w:left="1400" w:right="119" w:hanging="368"/>
        <w:spacing w:after="0" w:line="262" w:lineRule="auto"/>
        <w:tabs>
          <w:tab w:leader="none" w:pos="14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42,751 unvested stock units represent the number of shares underlying Mr. Bucci’s unvested 2023 Annual PSUs based on actual 2023, 2024 and 2025 performance; these shares will vest on April 17, 2026. The 38,575 unvested stock units represent the number of shares underlying Mr. Bucci’s unvested 2024 Annual PSUs based on actual 2024 and 2025 performance; these shares will vest on May 15, 2026. The 18,000 unvested stock units represent the number of shares underlying Mr. Bucci’s unvested 2025 Annual PSUs based on 2025 performance and the 100,000 unearned stock units represent shares underlying 2025 Annual PSUs that will vest upon achievement of target performance goals in a future performance period; any shares earned under the 2025 Annual PSUs will vest on May 15, 2028. The 60,654 unearned stock units represent the number of shares underlying Mr. Bucci’s unearned 2025 True-Up PSUs that will vest upon achievement of target performance goals in a future performance period; any shares earned under the 2025 True-Up PSUs will vest on May 15, 2027.</w:t>
      </w:r>
    </w:p>
    <w:p>
      <w:pPr>
        <w:spacing w:after="0" w:line="38" w:lineRule="exact"/>
        <w:rPr>
          <w:rFonts w:ascii="Arial" w:cs="Arial" w:eastAsia="Arial" w:hAnsi="Arial"/>
          <w:sz w:val="14"/>
          <w:szCs w:val="14"/>
          <w:color w:val="auto"/>
        </w:rPr>
      </w:pPr>
    </w:p>
    <w:p>
      <w:pPr>
        <w:ind w:left="1400" w:right="279" w:hanging="368"/>
        <w:spacing w:after="0" w:line="258" w:lineRule="auto"/>
        <w:tabs>
          <w:tab w:leader="none" w:pos="14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80,545 unvested stock units represent the shares underlying Mr. Bucci’s unvested 2023 Annual PSUs based on the relative TSR for the three-year period ended December 31, 2025; these shares will vest on April 17, 2026. The 48,523 unvested stock units represent the shares underlying Mr. Bucci’s unvested 2024 Annual PSUs based on relative TSR, which have a three-year performance period, and that will vest upon achievement of target performance; shares earned, if any, will vest on May 15, 2027. The 100,000 unvested stock units represent the shares underlying Mr. Bucci’s unvested 2025 Annual PSUs based on relative TSR, which have a three-year performance period, and that will vest upon achievement of target performance; shares earned, if any, will vest on May 15, 2028.</w:t>
      </w:r>
    </w:p>
    <w:p>
      <w:pPr>
        <w:spacing w:after="0" w:line="44" w:lineRule="exact"/>
        <w:rPr>
          <w:rFonts w:ascii="Arial" w:cs="Arial" w:eastAsia="Arial" w:hAnsi="Arial"/>
          <w:sz w:val="14"/>
          <w:szCs w:val="14"/>
          <w:color w:val="auto"/>
        </w:rPr>
      </w:pPr>
    </w:p>
    <w:p>
      <w:pPr>
        <w:ind w:left="1400" w:right="199" w:hanging="368"/>
        <w:spacing w:after="0" w:line="273" w:lineRule="auto"/>
        <w:tabs>
          <w:tab w:leader="none" w:pos="14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20,652 unvested RSUs will vest on April 17, 2026. Of Mr. Macken’s 162,500 RSUs, 54,167 will vest on May 15, 2026, 27,084 will vest on November 15, 2026 and 27,083 will vest on each of May 15, 2027, November 15, 2027 and May 15, 2028. Of Mr. Macken’s 89,662 True-Up RSUs, 44,831 will vest on May 15, 2026 and 22,416 will vest on each of November 15, 2026 and May 15, 2027.</w:t>
      </w:r>
    </w:p>
    <w:p>
      <w:pPr>
        <w:spacing w:after="0" w:line="206" w:lineRule="exact"/>
        <w:rPr>
          <w:rFonts w:ascii="Arial" w:cs="Arial" w:eastAsia="Arial" w:hAnsi="Arial"/>
          <w:sz w:val="14"/>
          <w:szCs w:val="14"/>
          <w:color w:val="auto"/>
        </w:rPr>
      </w:pPr>
    </w:p>
    <w:p>
      <w:pPr>
        <w:ind w:left="1400" w:right="159" w:hanging="368"/>
        <w:spacing w:after="0" w:line="269" w:lineRule="auto"/>
        <w:tabs>
          <w:tab w:leader="none" w:pos="140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34,199 unvested stock units represent the number of shares underlying Mr. Macken’s unvested 2023 Annual PSUs based on actual 2023, 2024 and 2025 performance; these shares will vest on April 17, 2026. The 32,789 unvested stock units represent the number of shares underlying Mr. Macken’s unvested 2024 Annual PSUs based on actual 2024 and 2025 performance; these shares will vest on May 15, 2026. The 11,700 unvested stock units represent the number</w:t>
      </w: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63" w:lineRule="exact"/>
        <w:rPr>
          <w:sz w:val="20"/>
          <w:szCs w:val="20"/>
          <w:color w:val="auto"/>
        </w:rPr>
      </w:pPr>
    </w:p>
    <w:p>
      <w:pPr>
        <w:ind w:left="1400" w:right="99"/>
        <w:spacing w:after="0" w:line="250" w:lineRule="auto"/>
        <w:rPr>
          <w:sz w:val="20"/>
          <w:szCs w:val="20"/>
          <w:color w:val="auto"/>
        </w:rPr>
      </w:pPr>
      <w:r>
        <w:rPr>
          <w:rFonts w:ascii="Arial" w:cs="Arial" w:eastAsia="Arial" w:hAnsi="Arial"/>
          <w:sz w:val="14"/>
          <w:szCs w:val="14"/>
          <w:color w:val="auto"/>
        </w:rPr>
        <w:t>of shares underlying Mr. Macken’s unvested 2025 Annual PSUs based on 2025 performance and the 65,000 unearned stock units represent shares underlying 2025 Annual PSUs that will vest upon achievement of target performance goals in a future performance period; any shares earned under the 2025 Annual PSUs will vest on May 15, 2028. The 51,556 unearned stock units represent the number of shares underlying Mr. Macken’s unearned 2025 True-Up PSUs that will vest upon achievement of target performance goals in a future performance period; any shares earned under the 2025 True-Up PSUs will vest on May 15, 2027.</w:t>
      </w:r>
    </w:p>
    <w:p>
      <w:pPr>
        <w:spacing w:after="0" w:line="187" w:lineRule="exact"/>
        <w:rPr>
          <w:sz w:val="20"/>
          <w:szCs w:val="20"/>
          <w:color w:val="auto"/>
        </w:rPr>
      </w:pPr>
    </w:p>
    <w:p>
      <w:pPr>
        <w:ind w:left="1400" w:right="139" w:hanging="368"/>
        <w:spacing w:after="0" w:line="262" w:lineRule="auto"/>
        <w:tabs>
          <w:tab w:leader="none" w:pos="14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64,437 unvested stock units represent the shares underlying Mr. Macken’s unvested 2023 Annual PSUs based on the relative TSR for the three-year period ended December 31, 2025; these shares will vest on April 17, 2026. The 41,244 unvested stock units represent the shares underlying Mr. Macken’s unvested 2024 Annual PSUs based on relative TSR, which have a three-year performance period, and that will vest upon achievement of target performance; shares earned, if any, will vest on May 15, 2027. The 65,000 unvested stock units represent the shares underlying Mr. Macken’s unvested 2025 Annual PSUs based on relative TSR, which have a three-year performance period, and that will vest upon achievement of target performance; shares earned, if any, will vest on May 15, 2028.</w:t>
      </w:r>
    </w:p>
    <w:p>
      <w:pPr>
        <w:spacing w:after="0" w:line="25" w:lineRule="exact"/>
        <w:rPr>
          <w:rFonts w:ascii="Arial" w:cs="Arial" w:eastAsia="Arial" w:hAnsi="Arial"/>
          <w:sz w:val="14"/>
          <w:szCs w:val="14"/>
          <w:color w:val="auto"/>
        </w:rPr>
      </w:pPr>
    </w:p>
    <w:p>
      <w:pPr>
        <w:ind w:left="1400" w:right="219" w:hanging="368"/>
        <w:spacing w:after="0" w:line="273" w:lineRule="auto"/>
        <w:tabs>
          <w:tab w:leader="none" w:pos="14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Of Mr. McCaffery’s 432,027 RSUs, 108,007 will vest on October 31, 2026 and 54,003 will vest on each of April 30, 2027, October 31, 2027, April 30, 2028, October 31, 2028, April 30, 2029 and October 31, 2029. Of Mr. McCaffery’s 108,006 RSUs, 36,002 will vest on October 31, 2026 and 18,001 will vest on each of April 30, 2027, October 31, 2027, April 30, 2028 and October 31, 2028.</w:t>
      </w:r>
    </w:p>
    <w:p>
      <w:pPr>
        <w:spacing w:after="0" w:line="179" w:lineRule="exact"/>
        <w:rPr>
          <w:rFonts w:ascii="Arial" w:cs="Arial" w:eastAsia="Arial" w:hAnsi="Arial"/>
          <w:sz w:val="14"/>
          <w:szCs w:val="14"/>
          <w:color w:val="auto"/>
        </w:rPr>
      </w:pPr>
    </w:p>
    <w:p>
      <w:pPr>
        <w:ind w:left="1400" w:right="299" w:hanging="368"/>
        <w:spacing w:after="0" w:line="269" w:lineRule="auto"/>
        <w:tabs>
          <w:tab w:leader="none" w:pos="14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1,296 unvested stock units represent the number of shares underlying Mr. McCaffey’s unvested PSU award made in October 2025 based on 2025 performance and the 61,240 unearned stock units represent shares underlying this award that will vest upon achievement of target performance goals in a future performance period; any shares earned under the 2025 Annual PSUs will vest on May 15, 2028.</w:t>
      </w:r>
    </w:p>
    <w:p>
      <w:pPr>
        <w:spacing w:after="0" w:line="20" w:lineRule="exact"/>
        <w:rPr>
          <w:rFonts w:ascii="Arial" w:cs="Arial" w:eastAsia="Arial" w:hAnsi="Arial"/>
          <w:sz w:val="14"/>
          <w:szCs w:val="14"/>
          <w:color w:val="auto"/>
        </w:rPr>
      </w:pPr>
    </w:p>
    <w:p>
      <w:pPr>
        <w:ind w:left="1400" w:right="199" w:hanging="368"/>
        <w:spacing w:after="0" w:line="273" w:lineRule="auto"/>
        <w:tabs>
          <w:tab w:leader="none" w:pos="14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43,202 unvested stock units represent the shares underlying Mr. McCaffery’s unvested PSUs granted as part of the Sign-on Awards with vesting based on relative TSR over the performance period running from October 31, 2025 through December 31, 2028, and that will vest upon achievement of target performance; shares earned, if any, will vest on May 15, 2029.</w:t>
      </w:r>
    </w:p>
    <w:p>
      <w:pPr>
        <w:spacing w:after="0" w:line="179" w:lineRule="exact"/>
        <w:rPr>
          <w:rFonts w:ascii="Arial" w:cs="Arial" w:eastAsia="Arial" w:hAnsi="Arial"/>
          <w:sz w:val="14"/>
          <w:szCs w:val="14"/>
          <w:color w:val="auto"/>
        </w:rPr>
      </w:pPr>
    </w:p>
    <w:p>
      <w:pPr>
        <w:ind w:left="1400" w:right="159" w:hanging="368"/>
        <w:spacing w:after="0" w:line="267" w:lineRule="auto"/>
        <w:tabs>
          <w:tab w:leader="none" w:pos="14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27,973 unvested stock units represent the pro rated number of shares underlying Mr. Redington’s unvested 2023 Annual PSUs based on actual 2023, 2024 and 2025 performance; these shares will vest on April 17, 2026. The 28,241 unvested stock units represent the pro rated number of shares underlying Mr. Redington’s unvested 2024 Annual PSUs based on actual 2024 and 2025 performance; these shares will vest on May 15, 2026. The 6,058 unvested stock units represent the pro rated number of shares underlying Mr. Redington’s unvested 2025 Annual PSUs based on actual 2025 performance; these shares will vest on May 15, 2026.</w:t>
      </w:r>
    </w:p>
    <w:p>
      <w:pPr>
        <w:spacing w:after="0" w:line="184" w:lineRule="exact"/>
        <w:rPr>
          <w:rFonts w:ascii="Arial" w:cs="Arial" w:eastAsia="Arial" w:hAnsi="Arial"/>
          <w:sz w:val="14"/>
          <w:szCs w:val="14"/>
          <w:color w:val="auto"/>
        </w:rPr>
      </w:pPr>
    </w:p>
    <w:p>
      <w:pPr>
        <w:ind w:left="1400" w:right="159" w:hanging="368"/>
        <w:spacing w:after="0" w:line="269" w:lineRule="auto"/>
        <w:tabs>
          <w:tab w:leader="none" w:pos="1400" w:val="left"/>
        </w:tabs>
        <w:numPr>
          <w:ilvl w:val="0"/>
          <w:numId w:val="124"/>
        </w:numPr>
        <w:rPr>
          <w:rFonts w:ascii="Arial" w:cs="Arial" w:eastAsia="Arial" w:hAnsi="Arial"/>
          <w:sz w:val="14"/>
          <w:szCs w:val="14"/>
          <w:color w:val="auto"/>
        </w:rPr>
      </w:pPr>
      <w:r>
        <w:rPr>
          <w:rFonts w:ascii="Arial" w:cs="Arial" w:eastAsia="Arial" w:hAnsi="Arial"/>
          <w:sz w:val="14"/>
          <w:szCs w:val="14"/>
          <w:color w:val="auto"/>
        </w:rPr>
        <w:t>The 51,645 unvested stock units represent the pro rated shares underlying Mr. Redington’s unvested 2023 Annual PSUs based on the relative TSR for the three-year period ended December 31, 2025; these shares will vest on April 17, 2026. The 27,140 unvested stock units represent the pro rated shares underlying Mr. Redington’s unvested 2024 Annual PSUs based on relative TSR; these shares will vest on May 15, 2027.</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2025 Stock Vested</w:t>
      </w:r>
    </w:p>
    <w:p>
      <w:pPr>
        <w:spacing w:after="0" w:line="139" w:lineRule="exact"/>
        <w:rPr>
          <w:sz w:val="20"/>
          <w:szCs w:val="20"/>
          <w:color w:val="auto"/>
        </w:rPr>
      </w:pPr>
    </w:p>
    <w:p>
      <w:pPr>
        <w:ind w:left="920" w:right="319"/>
        <w:spacing w:after="0" w:line="256" w:lineRule="auto"/>
        <w:rPr>
          <w:sz w:val="20"/>
          <w:szCs w:val="20"/>
          <w:color w:val="auto"/>
        </w:rPr>
      </w:pPr>
      <w:r>
        <w:rPr>
          <w:rFonts w:ascii="Arial" w:cs="Arial" w:eastAsia="Arial" w:hAnsi="Arial"/>
          <w:sz w:val="18"/>
          <w:szCs w:val="18"/>
          <w:color w:val="auto"/>
        </w:rPr>
        <w:t>The following table summarizes for the NEOs in 2025 the number of shares acquired upon the vesting of stock awards and the value realized, before payout of any applicable withholding tax.</w:t>
      </w:r>
    </w:p>
    <w:p>
      <w:pPr>
        <w:spacing w:after="0" w:line="158" w:lineRule="exact"/>
        <w:rPr>
          <w:sz w:val="20"/>
          <w:szCs w:val="20"/>
          <w:color w:val="auto"/>
        </w:rPr>
      </w:pPr>
    </w:p>
    <w:tbl>
      <w:tblPr>
        <w:tblLayout w:type="fixed"/>
        <w:tblInd w:w="1640" w:type="dxa"/>
        <w:tblCellMar>
          <w:top w:w="0" w:type="dxa"/>
          <w:left w:w="0" w:type="dxa"/>
          <w:bottom w:w="0" w:type="dxa"/>
          <w:right w:w="0" w:type="dxa"/>
        </w:tblCellMar>
      </w:tblPr>
      <w:tr>
        <w:trPr>
          <w:trHeight w:val="250"/>
        </w:trPr>
        <w:tc>
          <w:tcPr>
            <w:tcW w:w="2000" w:type="dxa"/>
            <w:vAlign w:val="bottom"/>
            <w:shd w:val="clear" w:color="auto" w:fill="62259D"/>
          </w:tcPr>
          <w:p>
            <w:pPr>
              <w:spacing w:after="0"/>
              <w:rPr>
                <w:sz w:val="21"/>
                <w:szCs w:val="21"/>
                <w:color w:val="auto"/>
              </w:rPr>
            </w:pPr>
          </w:p>
        </w:tc>
        <w:tc>
          <w:tcPr>
            <w:tcW w:w="760" w:type="dxa"/>
            <w:vAlign w:val="bottom"/>
            <w:shd w:val="clear" w:color="auto" w:fill="62259D"/>
          </w:tcPr>
          <w:p>
            <w:pPr>
              <w:jc w:val="right"/>
              <w:spacing w:after="0"/>
              <w:rPr>
                <w:sz w:val="20"/>
                <w:szCs w:val="20"/>
                <w:color w:val="auto"/>
              </w:rPr>
            </w:pPr>
            <w:r>
              <w:rPr>
                <w:rFonts w:ascii="Arial" w:cs="Arial" w:eastAsia="Arial" w:hAnsi="Arial"/>
                <w:sz w:val="15"/>
                <w:szCs w:val="15"/>
                <w:b w:val="1"/>
                <w:bCs w:val="1"/>
                <w:color w:val="FEFEFE"/>
              </w:rPr>
              <w:t>​</w:t>
            </w:r>
          </w:p>
        </w:tc>
        <w:tc>
          <w:tcPr>
            <w:tcW w:w="860" w:type="dxa"/>
            <w:vAlign w:val="bottom"/>
            <w:shd w:val="clear" w:color="auto" w:fill="62259D"/>
          </w:tcPr>
          <w:p>
            <w:pPr>
              <w:spacing w:after="0"/>
              <w:rPr>
                <w:sz w:val="21"/>
                <w:szCs w:val="21"/>
                <w:color w:val="auto"/>
              </w:rPr>
            </w:pPr>
          </w:p>
        </w:tc>
        <w:tc>
          <w:tcPr>
            <w:tcW w:w="800" w:type="dxa"/>
            <w:vAlign w:val="bottom"/>
            <w:shd w:val="clear" w:color="auto" w:fill="62259D"/>
          </w:tcPr>
          <w:p>
            <w:pPr>
              <w:spacing w:after="0"/>
              <w:rPr>
                <w:sz w:val="21"/>
                <w:szCs w:val="21"/>
                <w:color w:val="auto"/>
              </w:rPr>
            </w:pPr>
          </w:p>
        </w:tc>
        <w:tc>
          <w:tcPr>
            <w:tcW w:w="1280" w:type="dxa"/>
            <w:vAlign w:val="bottom"/>
            <w:shd w:val="clear" w:color="auto" w:fill="62259D"/>
          </w:tcPr>
          <w:p>
            <w:pPr>
              <w:ind w:left="60"/>
              <w:spacing w:after="0"/>
              <w:rPr>
                <w:sz w:val="20"/>
                <w:szCs w:val="20"/>
                <w:color w:val="auto"/>
              </w:rPr>
            </w:pPr>
            <w:r>
              <w:rPr>
                <w:rFonts w:ascii="Arial" w:cs="Arial" w:eastAsia="Arial" w:hAnsi="Arial"/>
                <w:sz w:val="15"/>
                <w:szCs w:val="15"/>
                <w:b w:val="1"/>
                <w:bCs w:val="1"/>
                <w:color w:val="FEFEFE"/>
              </w:rPr>
              <w:t>Stock Awards</w:t>
            </w:r>
          </w:p>
        </w:tc>
        <w:tc>
          <w:tcPr>
            <w:tcW w:w="340" w:type="dxa"/>
            <w:vAlign w:val="bottom"/>
            <w:shd w:val="clear" w:color="auto" w:fill="62259D"/>
          </w:tcPr>
          <w:p>
            <w:pPr>
              <w:spacing w:after="0"/>
              <w:rPr>
                <w:sz w:val="21"/>
                <w:szCs w:val="21"/>
                <w:color w:val="auto"/>
              </w:rPr>
            </w:pPr>
          </w:p>
        </w:tc>
        <w:tc>
          <w:tcPr>
            <w:tcW w:w="1040" w:type="dxa"/>
            <w:vAlign w:val="bottom"/>
            <w:shd w:val="clear" w:color="auto" w:fill="62259D"/>
          </w:tcPr>
          <w:p>
            <w:pPr>
              <w:spacing w:after="0"/>
              <w:rPr>
                <w:sz w:val="21"/>
                <w:szCs w:val="21"/>
                <w:color w:val="auto"/>
              </w:rPr>
            </w:pPr>
          </w:p>
        </w:tc>
        <w:tc>
          <w:tcPr>
            <w:tcW w:w="320" w:type="dxa"/>
            <w:vAlign w:val="bottom"/>
            <w:shd w:val="clear" w:color="auto" w:fill="62259D"/>
          </w:tcPr>
          <w:p>
            <w:pPr>
              <w:jc w:val="right"/>
              <w:spacing w:after="0"/>
              <w:rPr>
                <w:sz w:val="20"/>
                <w:szCs w:val="20"/>
                <w:color w:val="auto"/>
              </w:rPr>
            </w:pPr>
            <w:r>
              <w:rPr>
                <w:rFonts w:ascii="Arial" w:cs="Arial" w:eastAsia="Arial" w:hAnsi="Arial"/>
                <w:sz w:val="15"/>
                <w:szCs w:val="15"/>
                <w:b w:val="1"/>
                <w:bCs w:val="1"/>
                <w:color w:val="FEFEFE"/>
              </w:rPr>
              <w:t>​</w:t>
            </w:r>
          </w:p>
        </w:tc>
      </w:tr>
      <w:tr>
        <w:trPr>
          <w:trHeight w:val="191"/>
        </w:trPr>
        <w:tc>
          <w:tcPr>
            <w:tcW w:w="2000" w:type="dxa"/>
            <w:vAlign w:val="bottom"/>
            <w:shd w:val="clear" w:color="auto" w:fill="62259D"/>
          </w:tcPr>
          <w:p>
            <w:pPr>
              <w:spacing w:after="0"/>
              <w:rPr>
                <w:sz w:val="16"/>
                <w:szCs w:val="16"/>
                <w:color w:val="auto"/>
              </w:rPr>
            </w:pPr>
          </w:p>
        </w:tc>
        <w:tc>
          <w:tcPr>
            <w:tcW w:w="760" w:type="dxa"/>
            <w:vAlign w:val="bottom"/>
            <w:shd w:val="clear" w:color="auto" w:fill="62259D"/>
          </w:tcPr>
          <w:p>
            <w:pPr>
              <w:spacing w:after="0"/>
              <w:rPr>
                <w:sz w:val="16"/>
                <w:szCs w:val="16"/>
                <w:color w:val="auto"/>
              </w:rPr>
            </w:pPr>
          </w:p>
        </w:tc>
        <w:tc>
          <w:tcPr>
            <w:tcW w:w="1660" w:type="dxa"/>
            <w:vAlign w:val="bottom"/>
            <w:gridSpan w:val="2"/>
            <w:shd w:val="clear" w:color="auto" w:fill="62259D"/>
          </w:tcPr>
          <w:p>
            <w:pPr>
              <w:jc w:val="center"/>
              <w:ind w:left="383"/>
              <w:spacing w:after="0"/>
              <w:rPr>
                <w:sz w:val="20"/>
                <w:szCs w:val="20"/>
                <w:color w:val="auto"/>
              </w:rPr>
            </w:pPr>
            <w:r>
              <w:rPr>
                <w:rFonts w:ascii="Arial" w:cs="Arial" w:eastAsia="Arial" w:hAnsi="Arial"/>
                <w:sz w:val="15"/>
                <w:szCs w:val="15"/>
                <w:b w:val="1"/>
                <w:bCs w:val="1"/>
                <w:color w:val="FEFEFE"/>
              </w:rPr>
              <w:t>No. of Shares</w:t>
            </w:r>
          </w:p>
        </w:tc>
        <w:tc>
          <w:tcPr>
            <w:tcW w:w="2660" w:type="dxa"/>
            <w:vAlign w:val="bottom"/>
            <w:gridSpan w:val="3"/>
            <w:shd w:val="clear" w:color="auto" w:fill="62259D"/>
          </w:tcPr>
          <w:p>
            <w:pPr>
              <w:jc w:val="right"/>
              <w:ind w:right="101"/>
              <w:spacing w:after="0"/>
              <w:rPr>
                <w:sz w:val="20"/>
                <w:szCs w:val="20"/>
                <w:color w:val="auto"/>
              </w:rPr>
            </w:pPr>
            <w:r>
              <w:rPr>
                <w:rFonts w:ascii="Arial" w:cs="Arial" w:eastAsia="Arial" w:hAnsi="Arial"/>
                <w:sz w:val="15"/>
                <w:szCs w:val="15"/>
                <w:b w:val="1"/>
                <w:bCs w:val="1"/>
                <w:color w:val="FEFEFE"/>
              </w:rPr>
              <w:t>Value Realized on</w:t>
            </w:r>
          </w:p>
        </w:tc>
        <w:tc>
          <w:tcPr>
            <w:tcW w:w="320" w:type="dxa"/>
            <w:vAlign w:val="bottom"/>
            <w:shd w:val="clear" w:color="auto" w:fill="62259D"/>
          </w:tcPr>
          <w:p>
            <w:pPr>
              <w:spacing w:after="0"/>
              <w:rPr>
                <w:sz w:val="16"/>
                <w:szCs w:val="16"/>
                <w:color w:val="auto"/>
              </w:rPr>
            </w:pPr>
          </w:p>
        </w:tc>
      </w:tr>
      <w:tr>
        <w:trPr>
          <w:trHeight w:val="188"/>
        </w:trPr>
        <w:tc>
          <w:tcPr>
            <w:tcW w:w="2000" w:type="dxa"/>
            <w:vAlign w:val="bottom"/>
            <w:shd w:val="clear" w:color="auto" w:fill="62259D"/>
          </w:tcPr>
          <w:p>
            <w:pPr>
              <w:spacing w:after="0"/>
              <w:rPr>
                <w:sz w:val="16"/>
                <w:szCs w:val="16"/>
                <w:color w:val="auto"/>
              </w:rPr>
            </w:pPr>
          </w:p>
        </w:tc>
        <w:tc>
          <w:tcPr>
            <w:tcW w:w="760" w:type="dxa"/>
            <w:vAlign w:val="bottom"/>
            <w:shd w:val="clear" w:color="auto" w:fill="62259D"/>
          </w:tcPr>
          <w:p>
            <w:pPr>
              <w:spacing w:after="0"/>
              <w:rPr>
                <w:sz w:val="16"/>
                <w:szCs w:val="16"/>
                <w:color w:val="auto"/>
              </w:rPr>
            </w:pPr>
          </w:p>
        </w:tc>
        <w:tc>
          <w:tcPr>
            <w:tcW w:w="2940" w:type="dxa"/>
            <w:vAlign w:val="bottom"/>
            <w:gridSpan w:val="3"/>
            <w:shd w:val="clear" w:color="auto" w:fill="62259D"/>
          </w:tcPr>
          <w:p>
            <w:pPr>
              <w:jc w:val="center"/>
              <w:ind w:right="741"/>
              <w:spacing w:after="0" w:line="188" w:lineRule="exact"/>
              <w:rPr>
                <w:sz w:val="20"/>
                <w:szCs w:val="20"/>
                <w:color w:val="auto"/>
              </w:rPr>
            </w:pPr>
            <w:r>
              <w:rPr>
                <w:rFonts w:ascii="Arial" w:cs="Arial" w:eastAsia="Arial" w:hAnsi="Arial"/>
                <w:sz w:val="15"/>
                <w:szCs w:val="15"/>
                <w:b w:val="1"/>
                <w:bCs w:val="1"/>
                <w:color w:val="FEFEFE"/>
              </w:rPr>
              <w:t>Acquired on Vesting</w:t>
            </w:r>
            <w:r>
              <w:rPr>
                <w:rFonts w:ascii="Arial" w:cs="Arial" w:eastAsia="Arial" w:hAnsi="Arial"/>
                <w:sz w:val="19"/>
                <w:szCs w:val="19"/>
                <w:b w:val="1"/>
                <w:bCs w:val="1"/>
                <w:color w:val="FEFEFE"/>
                <w:vertAlign w:val="superscript"/>
              </w:rPr>
              <w:t>(1)</w:t>
            </w:r>
          </w:p>
        </w:tc>
        <w:tc>
          <w:tcPr>
            <w:tcW w:w="1380" w:type="dxa"/>
            <w:vAlign w:val="bottom"/>
            <w:gridSpan w:val="2"/>
            <w:shd w:val="clear" w:color="auto" w:fill="62259D"/>
          </w:tcPr>
          <w:p>
            <w:pPr>
              <w:jc w:val="right"/>
              <w:ind w:right="441"/>
              <w:spacing w:after="0" w:line="188" w:lineRule="exact"/>
              <w:rPr>
                <w:sz w:val="20"/>
                <w:szCs w:val="20"/>
                <w:color w:val="auto"/>
              </w:rPr>
            </w:pPr>
            <w:r>
              <w:rPr>
                <w:rFonts w:ascii="Arial" w:cs="Arial" w:eastAsia="Arial" w:hAnsi="Arial"/>
                <w:sz w:val="15"/>
                <w:szCs w:val="15"/>
                <w:b w:val="1"/>
                <w:bCs w:val="1"/>
                <w:color w:val="FEFEFE"/>
              </w:rPr>
              <w:t>Vesting</w:t>
            </w:r>
            <w:r>
              <w:rPr>
                <w:rFonts w:ascii="Arial" w:cs="Arial" w:eastAsia="Arial" w:hAnsi="Arial"/>
                <w:sz w:val="19"/>
                <w:szCs w:val="19"/>
                <w:b w:val="1"/>
                <w:bCs w:val="1"/>
                <w:color w:val="FEFEFE"/>
                <w:vertAlign w:val="superscript"/>
              </w:rPr>
              <w:t>(2)</w:t>
            </w:r>
          </w:p>
        </w:tc>
        <w:tc>
          <w:tcPr>
            <w:tcW w:w="320" w:type="dxa"/>
            <w:vAlign w:val="bottom"/>
            <w:shd w:val="clear" w:color="auto" w:fill="62259D"/>
          </w:tcPr>
          <w:p>
            <w:pPr>
              <w:spacing w:after="0"/>
              <w:rPr>
                <w:sz w:val="16"/>
                <w:szCs w:val="16"/>
                <w:color w:val="auto"/>
              </w:rPr>
            </w:pPr>
          </w:p>
        </w:tc>
      </w:tr>
      <w:tr>
        <w:trPr>
          <w:trHeight w:val="249"/>
        </w:trPr>
        <w:tc>
          <w:tcPr>
            <w:tcW w:w="2000" w:type="dxa"/>
            <w:vAlign w:val="bottom"/>
            <w:shd w:val="clear" w:color="auto" w:fill="62259D"/>
          </w:tcPr>
          <w:p>
            <w:pPr>
              <w:spacing w:after="0" w:line="249" w:lineRule="exact"/>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5"/>
                <w:szCs w:val="15"/>
                <w:b w:val="1"/>
                <w:bCs w:val="1"/>
                <w:color w:val="FEFEFE"/>
              </w:rPr>
              <w:t xml:space="preserve"> Name</w:t>
            </w:r>
          </w:p>
        </w:tc>
        <w:tc>
          <w:tcPr>
            <w:tcW w:w="760" w:type="dxa"/>
            <w:vAlign w:val="bottom"/>
            <w:shd w:val="clear" w:color="auto" w:fill="62259D"/>
          </w:tcPr>
          <w:p>
            <w:pPr>
              <w:jc w:val="right"/>
              <w:spacing w:after="0"/>
              <w:rPr>
                <w:sz w:val="20"/>
                <w:szCs w:val="20"/>
                <w:color w:val="auto"/>
              </w:rPr>
            </w:pPr>
            <w:r>
              <w:rPr>
                <w:rFonts w:ascii="Arial" w:cs="Arial" w:eastAsia="Arial" w:hAnsi="Arial"/>
                <w:sz w:val="15"/>
                <w:szCs w:val="15"/>
                <w:b w:val="1"/>
                <w:bCs w:val="1"/>
                <w:color w:val="FEFEFE"/>
              </w:rPr>
              <w:t>​  ​</w:t>
            </w:r>
          </w:p>
        </w:tc>
        <w:tc>
          <w:tcPr>
            <w:tcW w:w="860" w:type="dxa"/>
            <w:vAlign w:val="bottom"/>
            <w:shd w:val="clear" w:color="auto" w:fill="62259D"/>
          </w:tcPr>
          <w:p>
            <w:pPr>
              <w:spacing w:after="0"/>
              <w:rPr>
                <w:sz w:val="21"/>
                <w:szCs w:val="21"/>
                <w:color w:val="auto"/>
              </w:rPr>
            </w:pPr>
          </w:p>
        </w:tc>
        <w:tc>
          <w:tcPr>
            <w:tcW w:w="800" w:type="dxa"/>
            <w:vAlign w:val="bottom"/>
            <w:shd w:val="clear" w:color="auto" w:fill="62259D"/>
          </w:tcPr>
          <w:p>
            <w:pPr>
              <w:jc w:val="right"/>
              <w:ind w:right="401"/>
              <w:spacing w:after="0"/>
              <w:rPr>
                <w:sz w:val="20"/>
                <w:szCs w:val="20"/>
                <w:color w:val="auto"/>
              </w:rPr>
            </w:pPr>
            <w:r>
              <w:rPr>
                <w:rFonts w:ascii="Arial" w:cs="Arial" w:eastAsia="Arial" w:hAnsi="Arial"/>
                <w:sz w:val="15"/>
                <w:szCs w:val="15"/>
                <w:b w:val="1"/>
                <w:bCs w:val="1"/>
                <w:color w:val="FEFEFE"/>
              </w:rPr>
              <w:t>(#)</w:t>
            </w:r>
          </w:p>
        </w:tc>
        <w:tc>
          <w:tcPr>
            <w:tcW w:w="1280" w:type="dxa"/>
            <w:vAlign w:val="bottom"/>
            <w:shd w:val="clear" w:color="auto" w:fill="62259D"/>
          </w:tcPr>
          <w:p>
            <w:pPr>
              <w:ind w:left="560"/>
              <w:spacing w:after="0"/>
              <w:rPr>
                <w:sz w:val="20"/>
                <w:szCs w:val="20"/>
                <w:color w:val="auto"/>
              </w:rPr>
            </w:pPr>
            <w:r>
              <w:rPr>
                <w:rFonts w:ascii="Arial" w:cs="Arial" w:eastAsia="Arial" w:hAnsi="Arial"/>
                <w:sz w:val="15"/>
                <w:szCs w:val="15"/>
                <w:b w:val="1"/>
                <w:bCs w:val="1"/>
                <w:color w:val="FEFEFE"/>
              </w:rPr>
              <w:t>​ ​</w:t>
            </w:r>
          </w:p>
        </w:tc>
        <w:tc>
          <w:tcPr>
            <w:tcW w:w="340" w:type="dxa"/>
            <w:vAlign w:val="bottom"/>
            <w:shd w:val="clear" w:color="auto" w:fill="62259D"/>
          </w:tcPr>
          <w:p>
            <w:pPr>
              <w:spacing w:after="0"/>
              <w:rPr>
                <w:sz w:val="21"/>
                <w:szCs w:val="21"/>
                <w:color w:val="auto"/>
              </w:rPr>
            </w:pPr>
          </w:p>
        </w:tc>
        <w:tc>
          <w:tcPr>
            <w:tcW w:w="1040" w:type="dxa"/>
            <w:vAlign w:val="bottom"/>
            <w:shd w:val="clear" w:color="auto" w:fill="62259D"/>
          </w:tcPr>
          <w:p>
            <w:pPr>
              <w:jc w:val="right"/>
              <w:ind w:right="681"/>
              <w:spacing w:after="0"/>
              <w:rPr>
                <w:sz w:val="20"/>
                <w:szCs w:val="20"/>
                <w:color w:val="auto"/>
              </w:rPr>
            </w:pPr>
            <w:r>
              <w:rPr>
                <w:rFonts w:ascii="Arial" w:cs="Arial" w:eastAsia="Arial" w:hAnsi="Arial"/>
                <w:sz w:val="15"/>
                <w:szCs w:val="15"/>
                <w:b w:val="1"/>
                <w:bCs w:val="1"/>
                <w:color w:val="FEFEFE"/>
              </w:rPr>
              <w:t>($)</w:t>
            </w:r>
          </w:p>
        </w:tc>
        <w:tc>
          <w:tcPr>
            <w:tcW w:w="320" w:type="dxa"/>
            <w:vAlign w:val="bottom"/>
            <w:shd w:val="clear" w:color="auto" w:fill="62259D"/>
          </w:tcPr>
          <w:p>
            <w:pPr>
              <w:jc w:val="right"/>
              <w:spacing w:after="0"/>
              <w:rPr>
                <w:sz w:val="20"/>
                <w:szCs w:val="20"/>
                <w:color w:val="auto"/>
              </w:rPr>
            </w:pPr>
            <w:r>
              <w:rPr>
                <w:rFonts w:ascii="Arial" w:cs="Arial" w:eastAsia="Arial" w:hAnsi="Arial"/>
                <w:sz w:val="15"/>
                <w:szCs w:val="15"/>
                <w:b w:val="1"/>
                <w:bCs w:val="1"/>
                <w:color w:val="FEFEFE"/>
              </w:rPr>
              <w:t>​</w:t>
            </w:r>
          </w:p>
        </w:tc>
      </w:tr>
      <w:tr>
        <w:trPr>
          <w:trHeight w:val="256"/>
        </w:trPr>
        <w:tc>
          <w:tcPr>
            <w:tcW w:w="2000" w:type="dxa"/>
            <w:vAlign w:val="bottom"/>
            <w:tcBorders>
              <w:bottom w:val="single" w:sz="8" w:color="E7417A"/>
            </w:tcBorders>
          </w:tcPr>
          <w:p>
            <w:pPr>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Bruce McClelland</w:t>
            </w:r>
          </w:p>
        </w:tc>
        <w:tc>
          <w:tcPr>
            <w:tcW w:w="7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1660" w:type="dxa"/>
            <w:vAlign w:val="bottom"/>
            <w:tcBorders>
              <w:bottom w:val="single" w:sz="8" w:color="E7417A"/>
            </w:tcBorders>
            <w:gridSpan w:val="2"/>
          </w:tcPr>
          <w:p>
            <w:pPr>
              <w:jc w:val="right"/>
              <w:ind w:right="201"/>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271,762</w:t>
            </w:r>
          </w:p>
        </w:tc>
        <w:tc>
          <w:tcPr>
            <w:tcW w:w="128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 ​</w:t>
            </w:r>
          </w:p>
        </w:tc>
        <w:tc>
          <w:tcPr>
            <w:tcW w:w="1380" w:type="dxa"/>
            <w:vAlign w:val="bottom"/>
            <w:tcBorders>
              <w:bottom w:val="single" w:sz="8" w:color="E7417A"/>
            </w:tcBorders>
            <w:gridSpan w:val="2"/>
          </w:tcPr>
          <w:p>
            <w:pPr>
              <w:jc w:val="right"/>
              <w:ind w:right="481"/>
              <w:spacing w:after="0" w:line="256"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​999,812</w:t>
            </w:r>
          </w:p>
        </w:tc>
        <w:tc>
          <w:tcPr>
            <w:tcW w:w="3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0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John Townsend</w:t>
            </w:r>
          </w:p>
        </w:tc>
        <w:tc>
          <w:tcPr>
            <w:tcW w:w="7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1660" w:type="dxa"/>
            <w:vAlign w:val="bottom"/>
            <w:tcBorders>
              <w:bottom w:val="single" w:sz="8" w:color="E7417A"/>
            </w:tcBorders>
            <w:gridSpan w:val="2"/>
          </w:tcPr>
          <w:p>
            <w:pPr>
              <w:jc w:val="right"/>
              <w:ind w:right="20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128,205</w:t>
            </w:r>
          </w:p>
        </w:tc>
        <w:tc>
          <w:tcPr>
            <w:tcW w:w="128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 ​</w:t>
            </w:r>
          </w:p>
        </w:tc>
        <w:tc>
          <w:tcPr>
            <w:tcW w:w="1380" w:type="dxa"/>
            <w:vAlign w:val="bottom"/>
            <w:tcBorders>
              <w:bottom w:val="single" w:sz="8" w:color="E7417A"/>
            </w:tcBorders>
            <w:gridSpan w:val="2"/>
          </w:tcPr>
          <w:p>
            <w:pPr>
              <w:jc w:val="right"/>
              <w:ind w:right="48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​488,461</w:t>
            </w:r>
          </w:p>
        </w:tc>
        <w:tc>
          <w:tcPr>
            <w:tcW w:w="3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0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Sam Bucci</w:t>
            </w:r>
          </w:p>
        </w:tc>
        <w:tc>
          <w:tcPr>
            <w:tcW w:w="7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1660" w:type="dxa"/>
            <w:vAlign w:val="bottom"/>
            <w:tcBorders>
              <w:bottom w:val="single" w:sz="8" w:color="E7417A"/>
            </w:tcBorders>
            <w:gridSpan w:val="2"/>
          </w:tcPr>
          <w:p>
            <w:pPr>
              <w:jc w:val="right"/>
              <w:ind w:right="20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228,189</w:t>
            </w:r>
          </w:p>
        </w:tc>
        <w:tc>
          <w:tcPr>
            <w:tcW w:w="128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 ​</w:t>
            </w:r>
          </w:p>
        </w:tc>
        <w:tc>
          <w:tcPr>
            <w:tcW w:w="1380" w:type="dxa"/>
            <w:vAlign w:val="bottom"/>
            <w:tcBorders>
              <w:bottom w:val="single" w:sz="8" w:color="E7417A"/>
            </w:tcBorders>
            <w:gridSpan w:val="2"/>
          </w:tcPr>
          <w:p>
            <w:pPr>
              <w:jc w:val="right"/>
              <w:ind w:right="48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​861,713</w:t>
            </w:r>
          </w:p>
        </w:tc>
        <w:tc>
          <w:tcPr>
            <w:tcW w:w="3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0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Patrick Macken</w:t>
            </w:r>
          </w:p>
        </w:tc>
        <w:tc>
          <w:tcPr>
            <w:tcW w:w="7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1660" w:type="dxa"/>
            <w:vAlign w:val="bottom"/>
            <w:tcBorders>
              <w:bottom w:val="single" w:sz="8" w:color="E7417A"/>
            </w:tcBorders>
            <w:gridSpan w:val="2"/>
          </w:tcPr>
          <w:p>
            <w:pPr>
              <w:jc w:val="right"/>
              <w:ind w:right="20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185,188</w:t>
            </w:r>
          </w:p>
        </w:tc>
        <w:tc>
          <w:tcPr>
            <w:tcW w:w="128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 ​</w:t>
            </w:r>
          </w:p>
        </w:tc>
        <w:tc>
          <w:tcPr>
            <w:tcW w:w="1380" w:type="dxa"/>
            <w:vAlign w:val="bottom"/>
            <w:tcBorders>
              <w:bottom w:val="single" w:sz="8" w:color="E7417A"/>
            </w:tcBorders>
            <w:gridSpan w:val="2"/>
          </w:tcPr>
          <w:p>
            <w:pPr>
              <w:jc w:val="right"/>
              <w:ind w:right="481"/>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​699,020</w:t>
            </w:r>
          </w:p>
        </w:tc>
        <w:tc>
          <w:tcPr>
            <w:tcW w:w="3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250"/>
        </w:trPr>
        <w:tc>
          <w:tcPr>
            <w:tcW w:w="20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Steve McCaffery</w:t>
            </w:r>
          </w:p>
        </w:tc>
        <w:tc>
          <w:tcPr>
            <w:tcW w:w="76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 ​</w:t>
            </w:r>
          </w:p>
        </w:tc>
        <w:tc>
          <w:tcPr>
            <w:tcW w:w="860" w:type="dxa"/>
            <w:vAlign w:val="bottom"/>
            <w:tcBorders>
              <w:bottom w:val="single" w:sz="8" w:color="E7417A"/>
            </w:tcBorders>
          </w:tcPr>
          <w:p>
            <w:pPr>
              <w:ind w:left="78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7417A"/>
            </w:tcBorders>
          </w:tcPr>
          <w:p>
            <w:pPr>
              <w:jc w:val="right"/>
              <w:ind w:right="201"/>
              <w:spacing w:after="0"/>
              <w:rPr>
                <w:sz w:val="20"/>
                <w:szCs w:val="20"/>
                <w:color w:val="auto"/>
              </w:rPr>
            </w:pPr>
            <w:r>
              <w:rPr>
                <w:rFonts w:ascii="Arial" w:cs="Arial" w:eastAsia="Arial" w:hAnsi="Arial"/>
                <w:sz w:val="16"/>
                <w:szCs w:val="16"/>
                <w:color w:val="auto"/>
              </w:rPr>
              <w:t>0</w:t>
            </w:r>
          </w:p>
        </w:tc>
        <w:tc>
          <w:tcPr>
            <w:tcW w:w="1280" w:type="dxa"/>
            <w:vAlign w:val="bottom"/>
            <w:tcBorders>
              <w:bottom w:val="single" w:sz="8" w:color="E7417A"/>
            </w:tcBorders>
          </w:tcPr>
          <w:p>
            <w:pPr>
              <w:ind w:left="480"/>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E7417A"/>
            </w:tcBorders>
          </w:tcPr>
          <w:p>
            <w:pPr>
              <w:ind w:left="2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040" w:type="dxa"/>
            <w:vAlign w:val="bottom"/>
            <w:tcBorders>
              <w:bottom w:val="single" w:sz="8" w:color="E7417A"/>
            </w:tcBorders>
          </w:tcPr>
          <w:p>
            <w:pPr>
              <w:jc w:val="right"/>
              <w:ind w:right="48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7417A"/>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200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 Dan Redington</w:t>
            </w:r>
          </w:p>
        </w:tc>
        <w:tc>
          <w:tcPr>
            <w:tcW w:w="760" w:type="dxa"/>
            <w:vAlign w:val="bottom"/>
            <w:tcBorders>
              <w:bottom w:val="single" w:sz="8" w:color="62259D"/>
            </w:tcBorders>
          </w:tcPr>
          <w:p>
            <w:pPr>
              <w:jc w:val="right"/>
              <w:spacing w:after="0"/>
              <w:rPr>
                <w:sz w:val="20"/>
                <w:szCs w:val="20"/>
                <w:color w:val="auto"/>
              </w:rPr>
            </w:pPr>
            <w:r>
              <w:rPr>
                <w:rFonts w:ascii="Arial" w:cs="Arial" w:eastAsia="Arial" w:hAnsi="Arial"/>
                <w:sz w:val="16"/>
                <w:szCs w:val="16"/>
                <w:color w:val="auto"/>
              </w:rPr>
              <w:t>​ ​</w:t>
            </w:r>
          </w:p>
        </w:tc>
        <w:tc>
          <w:tcPr>
            <w:tcW w:w="860" w:type="dxa"/>
            <w:vAlign w:val="bottom"/>
            <w:tcBorders>
              <w:bottom w:val="single" w:sz="8" w:color="62259D"/>
            </w:tcBorders>
          </w:tcPr>
          <w:p>
            <w:pPr>
              <w:ind w:left="78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62259D"/>
            </w:tcBorders>
          </w:tcPr>
          <w:p>
            <w:pPr>
              <w:jc w:val="right"/>
              <w:ind w:right="201"/>
              <w:spacing w:after="0"/>
              <w:rPr>
                <w:sz w:val="20"/>
                <w:szCs w:val="20"/>
                <w:color w:val="auto"/>
              </w:rPr>
            </w:pPr>
            <w:r>
              <w:rPr>
                <w:rFonts w:ascii="Arial" w:cs="Arial" w:eastAsia="Arial" w:hAnsi="Arial"/>
                <w:sz w:val="16"/>
                <w:szCs w:val="16"/>
                <w:color w:val="auto"/>
              </w:rPr>
              <w:t>81,098</w:t>
            </w:r>
          </w:p>
        </w:tc>
        <w:tc>
          <w:tcPr>
            <w:tcW w:w="1280" w:type="dxa"/>
            <w:vAlign w:val="bottom"/>
            <w:tcBorders>
              <w:bottom w:val="single" w:sz="8" w:color="62259D"/>
            </w:tcBorders>
          </w:tcPr>
          <w:p>
            <w:pPr>
              <w:ind w:left="480"/>
              <w:spacing w:after="0"/>
              <w:rPr>
                <w:sz w:val="20"/>
                <w:szCs w:val="20"/>
                <w:color w:val="auto"/>
              </w:rPr>
            </w:pPr>
            <w:r>
              <w:rPr>
                <w:rFonts w:ascii="Arial" w:cs="Arial" w:eastAsia="Arial" w:hAnsi="Arial"/>
                <w:sz w:val="16"/>
                <w:szCs w:val="16"/>
                <w:color w:val="auto"/>
              </w:rPr>
              <w:t>​ ​</w:t>
            </w:r>
          </w:p>
        </w:tc>
        <w:tc>
          <w:tcPr>
            <w:tcW w:w="1380" w:type="dxa"/>
            <w:vAlign w:val="bottom"/>
            <w:tcBorders>
              <w:bottom w:val="single" w:sz="8" w:color="62259D"/>
            </w:tcBorders>
            <w:gridSpan w:val="2"/>
          </w:tcPr>
          <w:p>
            <w:pPr>
              <w:jc w:val="right"/>
              <w:ind w:right="481"/>
              <w:spacing w:after="0"/>
              <w:rPr>
                <w:sz w:val="20"/>
                <w:szCs w:val="20"/>
                <w:color w:val="auto"/>
              </w:rPr>
            </w:pPr>
            <w:r>
              <w:rPr>
                <w:rFonts w:ascii="Arial" w:cs="Arial" w:eastAsia="Arial" w:hAnsi="Arial"/>
                <w:sz w:val="16"/>
                <w:szCs w:val="16"/>
                <w:color w:val="auto"/>
              </w:rPr>
              <w:t>​​296,136</w:t>
            </w:r>
          </w:p>
        </w:tc>
        <w:tc>
          <w:tcPr>
            <w:tcW w:w="320" w:type="dxa"/>
            <w:vAlign w:val="bottom"/>
            <w:tcBorders>
              <w:bottom w:val="single" w:sz="8" w:color="62259D"/>
            </w:tcBorders>
          </w:tcPr>
          <w:p>
            <w:pPr>
              <w:jc w:val="right"/>
              <w:spacing w:after="0"/>
              <w:rPr>
                <w:sz w:val="20"/>
                <w:szCs w:val="20"/>
                <w:color w:val="auto"/>
              </w:rPr>
            </w:pPr>
            <w:r>
              <w:rPr>
                <w:rFonts w:ascii="Arial" w:cs="Arial" w:eastAsia="Arial" w:hAnsi="Arial"/>
                <w:sz w:val="16"/>
                <w:szCs w:val="16"/>
                <w:color w:val="auto"/>
              </w:rPr>
              <w:t>​​</w:t>
            </w:r>
          </w:p>
        </w:tc>
      </w:tr>
    </w:tbl>
    <w:p>
      <w:pPr>
        <w:spacing w:after="0" w:line="193" w:lineRule="exact"/>
        <w:rPr>
          <w:sz w:val="20"/>
          <w:szCs w:val="20"/>
          <w:color w:val="auto"/>
        </w:rPr>
      </w:pPr>
    </w:p>
    <w:p>
      <w:pPr>
        <w:ind w:left="1400" w:right="259" w:hanging="368"/>
        <w:spacing w:after="0" w:line="281" w:lineRule="auto"/>
        <w:tabs>
          <w:tab w:leader="none" w:pos="1400" w:val="left"/>
        </w:tabs>
        <w:numPr>
          <w:ilvl w:val="0"/>
          <w:numId w:val="125"/>
        </w:numPr>
        <w:rPr>
          <w:rFonts w:ascii="Arial" w:cs="Arial" w:eastAsia="Arial" w:hAnsi="Arial"/>
          <w:sz w:val="14"/>
          <w:szCs w:val="14"/>
          <w:color w:val="auto"/>
        </w:rPr>
      </w:pPr>
      <w:r>
        <w:rPr>
          <w:rFonts w:ascii="Arial" w:cs="Arial" w:eastAsia="Arial" w:hAnsi="Arial"/>
          <w:sz w:val="14"/>
          <w:szCs w:val="14"/>
          <w:color w:val="auto"/>
        </w:rPr>
        <w:t>We withhold and retire enough vesting shares to cover each NEO’s withholding tax obligations associated with the vesting of such shares.</w:t>
      </w:r>
    </w:p>
    <w:p>
      <w:pPr>
        <w:spacing w:after="0" w:line="1" w:lineRule="exact"/>
        <w:rPr>
          <w:rFonts w:ascii="Arial" w:cs="Arial" w:eastAsia="Arial" w:hAnsi="Arial"/>
          <w:sz w:val="14"/>
          <w:szCs w:val="14"/>
          <w:color w:val="auto"/>
        </w:rPr>
      </w:pPr>
    </w:p>
    <w:p>
      <w:pPr>
        <w:ind w:left="1400" w:right="459"/>
        <w:spacing w:after="0" w:line="281" w:lineRule="auto"/>
        <w:rPr>
          <w:rFonts w:ascii="Arial" w:cs="Arial" w:eastAsia="Arial" w:hAnsi="Arial"/>
          <w:sz w:val="14"/>
          <w:szCs w:val="14"/>
          <w:color w:val="auto"/>
        </w:rPr>
      </w:pPr>
      <w:r>
        <w:rPr>
          <w:rFonts w:ascii="Arial" w:cs="Arial" w:eastAsia="Arial" w:hAnsi="Arial"/>
          <w:sz w:val="14"/>
          <w:szCs w:val="14"/>
          <w:color w:val="auto"/>
        </w:rPr>
        <w:t>Of Mr. McClelland’s 271,762 shares that vested in 2025, 106,937 shares were returned to us to satisfy the tax withholding obligations associated with the vesting of the shares.</w:t>
      </w:r>
    </w:p>
    <w:p>
      <w:pPr>
        <w:spacing w:after="0" w:line="1" w:lineRule="exact"/>
        <w:rPr>
          <w:rFonts w:ascii="Arial" w:cs="Arial" w:eastAsia="Arial" w:hAnsi="Arial"/>
          <w:sz w:val="14"/>
          <w:szCs w:val="14"/>
          <w:color w:val="auto"/>
        </w:rPr>
      </w:pPr>
    </w:p>
    <w:p>
      <w:pPr>
        <w:ind w:left="1400" w:right="599"/>
        <w:spacing w:after="0" w:line="281" w:lineRule="auto"/>
        <w:rPr>
          <w:rFonts w:ascii="Arial" w:cs="Arial" w:eastAsia="Arial" w:hAnsi="Arial"/>
          <w:sz w:val="14"/>
          <w:szCs w:val="14"/>
          <w:color w:val="auto"/>
        </w:rPr>
      </w:pPr>
      <w:r>
        <w:rPr>
          <w:rFonts w:ascii="Arial" w:cs="Arial" w:eastAsia="Arial" w:hAnsi="Arial"/>
          <w:sz w:val="14"/>
          <w:szCs w:val="14"/>
          <w:color w:val="auto"/>
        </w:rPr>
        <w:t>Of Mr. Townsend’s 128,205 shares that vested in 2025, 50,448 shares were returned to us to satisfy the tax withholding obligations associated with the vesting of the shares.</w:t>
      </w:r>
    </w:p>
    <w:p>
      <w:pPr>
        <w:spacing w:after="0" w:line="1" w:lineRule="exact"/>
        <w:rPr>
          <w:rFonts w:ascii="Arial" w:cs="Arial" w:eastAsia="Arial" w:hAnsi="Arial"/>
          <w:sz w:val="14"/>
          <w:szCs w:val="14"/>
          <w:color w:val="auto"/>
        </w:rPr>
      </w:pPr>
    </w:p>
    <w:p>
      <w:pPr>
        <w:ind w:left="1400" w:right="819"/>
        <w:spacing w:after="0" w:line="271" w:lineRule="auto"/>
        <w:rPr>
          <w:rFonts w:ascii="Arial" w:cs="Arial" w:eastAsia="Arial" w:hAnsi="Arial"/>
          <w:sz w:val="14"/>
          <w:szCs w:val="14"/>
          <w:color w:val="auto"/>
        </w:rPr>
      </w:pPr>
      <w:r>
        <w:rPr>
          <w:rFonts w:ascii="Arial" w:cs="Arial" w:eastAsia="Arial" w:hAnsi="Arial"/>
          <w:sz w:val="14"/>
          <w:szCs w:val="14"/>
          <w:color w:val="auto"/>
        </w:rPr>
        <w:t>Of Mr. Bucci’s 228,189 shares that vested in 2025, 122,147 shares were returned to us to satisfy the tax withholding obligations associated with the vesting of the shares.</w:t>
      </w:r>
    </w:p>
    <w:p>
      <w:pPr>
        <w:ind w:left="1400" w:right="759"/>
        <w:spacing w:after="0" w:line="285" w:lineRule="auto"/>
        <w:rPr>
          <w:rFonts w:ascii="Arial" w:cs="Arial" w:eastAsia="Arial" w:hAnsi="Arial"/>
          <w:sz w:val="14"/>
          <w:szCs w:val="14"/>
          <w:color w:val="auto"/>
        </w:rPr>
      </w:pPr>
      <w:r>
        <w:rPr>
          <w:rFonts w:ascii="Arial" w:cs="Arial" w:eastAsia="Arial" w:hAnsi="Arial"/>
          <w:sz w:val="14"/>
          <w:szCs w:val="14"/>
          <w:color w:val="auto"/>
        </w:rPr>
        <w:t>Of Mr. Macken’s 185,188 shares that vested in 2025, 83,801 shares were returned to us to satisfy the tax withholding obligations associated with the vesting of the shares.</w:t>
      </w:r>
    </w:p>
    <w:p>
      <w:pPr>
        <w:sectPr>
          <w:pgSz w:w="11900" w:h="16838" w:orient="portrait"/>
          <w:cols w:equalWidth="0" w:num="1">
            <w:col w:w="9879"/>
          </w:cols>
          <w:pgMar w:left="580" w:top="97" w:right="1440" w:bottom="1440" w:gutter="0" w:footer="0" w:header="0"/>
        </w:sectPr>
      </w:pPr>
    </w:p>
    <w:p>
      <w:pPr>
        <w:spacing w:after="0" w:line="13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63" w:lineRule="exact"/>
        <w:rPr>
          <w:sz w:val="20"/>
          <w:szCs w:val="20"/>
          <w:color w:val="auto"/>
        </w:rPr>
      </w:pPr>
    </w:p>
    <w:p>
      <w:pPr>
        <w:ind w:left="1400" w:right="1280"/>
        <w:spacing w:after="0" w:line="271" w:lineRule="auto"/>
        <w:rPr>
          <w:sz w:val="20"/>
          <w:szCs w:val="20"/>
          <w:color w:val="auto"/>
        </w:rPr>
      </w:pPr>
      <w:r>
        <w:rPr>
          <w:rFonts w:ascii="Arial" w:cs="Arial" w:eastAsia="Arial" w:hAnsi="Arial"/>
          <w:sz w:val="14"/>
          <w:szCs w:val="14"/>
          <w:color w:val="auto"/>
        </w:rPr>
        <w:t>Of Mr. Redington’s 81,098 shares that vested in 2025, 31,910 shares were returned to us to satisfy the tax withholding obligations associated with the vesting of the shares.</w:t>
      </w:r>
    </w:p>
    <w:p>
      <w:pPr>
        <w:spacing w:after="0" w:line="1" w:lineRule="exact"/>
        <w:rPr>
          <w:sz w:val="20"/>
          <w:szCs w:val="20"/>
          <w:color w:val="auto"/>
        </w:rPr>
      </w:pPr>
    </w:p>
    <w:p>
      <w:pPr>
        <w:ind w:left="1400" w:right="840" w:hanging="368"/>
        <w:spacing w:after="0" w:line="305" w:lineRule="auto"/>
        <w:tabs>
          <w:tab w:leader="none" w:pos="1400" w:val="left"/>
        </w:tabs>
        <w:numPr>
          <w:ilvl w:val="0"/>
          <w:numId w:val="126"/>
        </w:numPr>
        <w:rPr>
          <w:rFonts w:ascii="Arial" w:cs="Arial" w:eastAsia="Arial" w:hAnsi="Arial"/>
          <w:sz w:val="14"/>
          <w:szCs w:val="14"/>
          <w:color w:val="auto"/>
        </w:rPr>
      </w:pPr>
      <w:r>
        <w:rPr>
          <w:rFonts w:ascii="Arial" w:cs="Arial" w:eastAsia="Arial" w:hAnsi="Arial"/>
          <w:sz w:val="14"/>
          <w:szCs w:val="14"/>
          <w:color w:val="auto"/>
        </w:rPr>
        <w:t>In accordance with SEC rules, the aggregate dollar amount realized upon vesting of restricted stock units was determined by multiplying the number of shares by the closing market price of our common stock on the day before vesting.</w:t>
      </w:r>
    </w:p>
    <w:p>
      <w:pPr>
        <w:spacing w:after="0" w:line="81"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Severance and Change of Control Benefits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 attract and retain key executive officers, the Company has entered into executive agreements that</w:t>
      </w:r>
    </w:p>
    <w:p>
      <w:pPr>
        <w:spacing w:after="0" w:line="14" w:lineRule="exact"/>
        <w:rPr>
          <w:sz w:val="20"/>
          <w:szCs w:val="20"/>
          <w:color w:val="auto"/>
        </w:rPr>
      </w:pPr>
    </w:p>
    <w:p>
      <w:pPr>
        <w:ind w:left="920" w:right="720"/>
        <w:spacing w:after="0" w:line="226" w:lineRule="auto"/>
        <w:rPr>
          <w:sz w:val="20"/>
          <w:szCs w:val="20"/>
          <w:color w:val="auto"/>
        </w:rPr>
      </w:pPr>
      <w:r>
        <w:rPr>
          <w:rFonts w:ascii="Arial" w:cs="Arial" w:eastAsia="Arial" w:hAnsi="Arial"/>
          <w:sz w:val="18"/>
          <w:szCs w:val="18"/>
          <w:color w:val="auto"/>
        </w:rPr>
        <w:t>include severance and change of control benefits. In the event or threat of a change of control transaction, we believe that these agreements reduce uncertainty and provide compensation for the significant levels of</w:t>
      </w:r>
    </w:p>
    <w:p>
      <w:pPr>
        <w:spacing w:after="0" w:line="2" w:lineRule="exact"/>
        <w:rPr>
          <w:sz w:val="20"/>
          <w:szCs w:val="20"/>
          <w:color w:val="auto"/>
        </w:rPr>
      </w:pPr>
    </w:p>
    <w:p>
      <w:pPr>
        <w:ind w:left="920" w:right="1120"/>
        <w:spacing w:after="0" w:line="226" w:lineRule="auto"/>
        <w:rPr>
          <w:sz w:val="20"/>
          <w:szCs w:val="20"/>
          <w:color w:val="auto"/>
        </w:rPr>
      </w:pPr>
      <w:r>
        <w:rPr>
          <w:rFonts w:ascii="Arial" w:cs="Arial" w:eastAsia="Arial" w:hAnsi="Arial"/>
          <w:sz w:val="18"/>
          <w:szCs w:val="18"/>
          <w:color w:val="auto"/>
        </w:rPr>
        <w:t>executive engagement and support required during an ownership transition that may result in the termination of their employment. The severance arrangements for the Current NEOs generally provide</w:t>
      </w:r>
    </w:p>
    <w:p>
      <w:pPr>
        <w:ind w:left="920"/>
        <w:spacing w:after="0" w:line="236" w:lineRule="auto"/>
        <w:rPr>
          <w:sz w:val="20"/>
          <w:szCs w:val="20"/>
          <w:color w:val="auto"/>
        </w:rPr>
      </w:pPr>
      <w:r>
        <w:rPr>
          <w:rFonts w:ascii="Arial" w:cs="Arial" w:eastAsia="Arial" w:hAnsi="Arial"/>
          <w:sz w:val="18"/>
          <w:szCs w:val="18"/>
          <w:color w:val="auto"/>
        </w:rPr>
        <w:t>that, upon termination of the NEO’s employment by the Company without cause, by the NEO for good</w:t>
      </w:r>
    </w:p>
    <w:p>
      <w:pPr>
        <w:spacing w:after="0" w:line="1" w:lineRule="exact"/>
        <w:rPr>
          <w:sz w:val="20"/>
          <w:szCs w:val="20"/>
          <w:color w:val="auto"/>
        </w:rPr>
      </w:pPr>
    </w:p>
    <w:p>
      <w:pPr>
        <w:ind w:left="920" w:right="1080"/>
        <w:spacing w:after="0" w:line="237" w:lineRule="auto"/>
        <w:rPr>
          <w:sz w:val="20"/>
          <w:szCs w:val="20"/>
          <w:color w:val="auto"/>
        </w:rPr>
      </w:pPr>
      <w:r>
        <w:rPr>
          <w:rFonts w:ascii="Arial" w:cs="Arial" w:eastAsia="Arial" w:hAnsi="Arial"/>
          <w:sz w:val="18"/>
          <w:szCs w:val="18"/>
          <w:color w:val="auto"/>
        </w:rPr>
        <w:t>reason or due to death or disability of the NEO, the NEO is entitled to certain severance payments and benefits as described below.</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Bruce McClelland</w:t>
      </w:r>
    </w:p>
    <w:p>
      <w:pPr>
        <w:spacing w:after="0" w:line="135" w:lineRule="exact"/>
        <w:rPr>
          <w:sz w:val="20"/>
          <w:szCs w:val="20"/>
          <w:color w:val="auto"/>
        </w:rPr>
      </w:pPr>
    </w:p>
    <w:p>
      <w:pPr>
        <w:ind w:left="920" w:right="1020"/>
        <w:spacing w:after="0" w:line="245" w:lineRule="auto"/>
        <w:rPr>
          <w:sz w:val="20"/>
          <w:szCs w:val="20"/>
          <w:color w:val="auto"/>
        </w:rPr>
      </w:pPr>
      <w:r>
        <w:rPr>
          <w:rFonts w:ascii="Arial" w:cs="Arial" w:eastAsia="Arial" w:hAnsi="Arial"/>
          <w:sz w:val="18"/>
          <w:szCs w:val="18"/>
          <w:color w:val="auto"/>
        </w:rPr>
        <w:t>We have entered into a severance agreement with Mr. McClelland (the “</w:t>
      </w:r>
      <w:r>
        <w:rPr>
          <w:rFonts w:ascii="Arial" w:cs="Arial" w:eastAsia="Arial" w:hAnsi="Arial"/>
          <w:sz w:val="18"/>
          <w:szCs w:val="18"/>
          <w:i w:val="1"/>
          <w:iCs w:val="1"/>
          <w:color w:val="auto"/>
        </w:rPr>
        <w:t>McClelland Severance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Upon a termination of Mr. McClelland’s employment by the Company without Cause or by</w:t>
      </w:r>
    </w:p>
    <w:p>
      <w:pPr>
        <w:ind w:left="920" w:right="1900"/>
        <w:spacing w:after="0" w:line="237" w:lineRule="auto"/>
        <w:rPr>
          <w:sz w:val="20"/>
          <w:szCs w:val="20"/>
          <w:color w:val="auto"/>
        </w:rPr>
      </w:pPr>
      <w:r>
        <w:rPr>
          <w:rFonts w:ascii="Arial" w:cs="Arial" w:eastAsia="Arial" w:hAnsi="Arial"/>
          <w:sz w:val="18"/>
          <w:szCs w:val="18"/>
          <w:color w:val="auto"/>
        </w:rPr>
        <w:t>Mr. McClelland for Good Reason (each as defined in the McClelland Severance Agreement), Mr. McClelland is entitled to:</w:t>
      </w:r>
    </w:p>
    <w:p>
      <w:pPr>
        <w:spacing w:after="0" w:line="113" w:lineRule="exact"/>
        <w:rPr>
          <w:sz w:val="20"/>
          <w:szCs w:val="20"/>
          <w:color w:val="auto"/>
        </w:rPr>
      </w:pPr>
    </w:p>
    <w:p>
      <w:pPr>
        <w:ind w:left="1640" w:hanging="356"/>
        <w:spacing w:after="0"/>
        <w:tabs>
          <w:tab w:leader="none" w:pos="1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severance payments equal to:</w:t>
      </w:r>
    </w:p>
    <w:p>
      <w:pPr>
        <w:spacing w:after="0" w:line="130" w:lineRule="exact"/>
        <w:rPr>
          <w:rFonts w:ascii="Arial" w:cs="Arial" w:eastAsia="Arial" w:hAnsi="Arial"/>
          <w:sz w:val="18"/>
          <w:szCs w:val="18"/>
          <w:color w:val="auto"/>
        </w:rPr>
      </w:pPr>
    </w:p>
    <w:p>
      <w:pPr>
        <w:ind w:left="2000" w:hanging="356"/>
        <w:spacing w:after="0"/>
        <w:tabs>
          <w:tab w:leader="none" w:pos="20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100% of his annual base salary, payable over 12 months following termination,</w:t>
      </w:r>
    </w:p>
    <w:p>
      <w:pPr>
        <w:spacing w:after="0" w:line="144" w:lineRule="exact"/>
        <w:rPr>
          <w:rFonts w:ascii="Arial" w:cs="Arial" w:eastAsia="Arial" w:hAnsi="Arial"/>
          <w:sz w:val="18"/>
          <w:szCs w:val="18"/>
          <w:color w:val="auto"/>
        </w:rPr>
      </w:pPr>
    </w:p>
    <w:p>
      <w:pPr>
        <w:ind w:left="2000" w:right="1220" w:hanging="356"/>
        <w:spacing w:after="0" w:line="271" w:lineRule="auto"/>
        <w:tabs>
          <w:tab w:leader="none" w:pos="20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his target annual bonus, payable at the same time as such bonus would have been paid absent termination, and</w:t>
      </w:r>
    </w:p>
    <w:p>
      <w:pPr>
        <w:spacing w:after="0" w:line="72" w:lineRule="exact"/>
        <w:rPr>
          <w:rFonts w:ascii="Arial" w:cs="Arial" w:eastAsia="Arial" w:hAnsi="Arial"/>
          <w:sz w:val="18"/>
          <w:szCs w:val="18"/>
          <w:color w:val="auto"/>
        </w:rPr>
      </w:pPr>
    </w:p>
    <w:p>
      <w:pPr>
        <w:ind w:left="2000" w:right="960" w:hanging="356"/>
        <w:spacing w:after="0" w:line="251" w:lineRule="auto"/>
        <w:tabs>
          <w:tab w:leader="none" w:pos="200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in the event such termination occurs more than six months following the commencement of the fiscal year, Mr. McClelland shall be entitled to receive a prorated portion of the annual bonus for the fiscal year of termination based on actual Company performance and target individual performance (such proration based on the number of days actually employed in such fiscal year) (the “</w:t>
      </w:r>
      <w:r>
        <w:rPr>
          <w:rFonts w:ascii="Arial" w:cs="Arial" w:eastAsia="Arial" w:hAnsi="Arial"/>
          <w:sz w:val="18"/>
          <w:szCs w:val="18"/>
          <w:i w:val="1"/>
          <w:iCs w:val="1"/>
          <w:color w:val="auto"/>
        </w:rPr>
        <w:t>Pro Rata Bonus</w:t>
      </w:r>
      <w:r>
        <w:rPr>
          <w:rFonts w:ascii="Arial" w:cs="Arial" w:eastAsia="Arial" w:hAnsi="Arial"/>
          <w:sz w:val="18"/>
          <w:szCs w:val="18"/>
          <w:color w:val="auto"/>
        </w:rPr>
        <w:t>”), and</w:t>
      </w:r>
    </w:p>
    <w:p>
      <w:pPr>
        <w:spacing w:after="0" w:line="92" w:lineRule="exact"/>
        <w:rPr>
          <w:rFonts w:ascii="Arial" w:cs="Arial" w:eastAsia="Arial" w:hAnsi="Arial"/>
          <w:sz w:val="18"/>
          <w:szCs w:val="18"/>
          <w:color w:val="auto"/>
        </w:rPr>
      </w:pPr>
    </w:p>
    <w:p>
      <w:pPr>
        <w:ind w:left="1640" w:right="1260" w:hanging="356"/>
        <w:spacing w:after="0" w:line="261" w:lineRule="auto"/>
        <w:tabs>
          <w:tab w:leader="none" w:pos="16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lump sum payment of an amount equal to the sum of the Company’s share of health plan premium payments for a period of 12 months following termination. In addition, upon such a termination,</w:t>
      </w:r>
    </w:p>
    <w:p>
      <w:pPr>
        <w:spacing w:after="0" w:line="80" w:lineRule="exact"/>
        <w:rPr>
          <w:rFonts w:ascii="Arial" w:cs="Arial" w:eastAsia="Arial" w:hAnsi="Arial"/>
          <w:sz w:val="18"/>
          <w:szCs w:val="18"/>
          <w:color w:val="auto"/>
        </w:rPr>
      </w:pPr>
    </w:p>
    <w:p>
      <w:pPr>
        <w:ind w:left="2000" w:right="740" w:hanging="360"/>
        <w:spacing w:after="0" w:line="261" w:lineRule="auto"/>
        <w:rPr>
          <w:rFonts w:ascii="Arial" w:cs="Arial" w:eastAsia="Arial" w:hAnsi="Arial"/>
          <w:sz w:val="18"/>
          <w:szCs w:val="18"/>
          <w:color w:val="auto"/>
        </w:rPr>
      </w:pPr>
      <w:r>
        <w:rPr>
          <w:rFonts w:ascii="Arial" w:cs="Arial" w:eastAsia="Arial" w:hAnsi="Arial"/>
          <w:sz w:val="18"/>
          <w:szCs w:val="18"/>
          <w:color w:val="auto"/>
        </w:rPr>
        <w:t>(A) Mr. McClelland’s equity awards that are subject to vesting based solely upon Mr. McClelland’s continued service with the Company and would have vested during the 12-month period following the date of Mr. McClelland’s termination of employment shall vest, and</w:t>
      </w:r>
    </w:p>
    <w:p>
      <w:pPr>
        <w:spacing w:after="0" w:line="94" w:lineRule="exact"/>
        <w:rPr>
          <w:rFonts w:ascii="Arial" w:cs="Arial" w:eastAsia="Arial" w:hAnsi="Arial"/>
          <w:sz w:val="18"/>
          <w:szCs w:val="18"/>
          <w:color w:val="auto"/>
        </w:rPr>
      </w:pPr>
    </w:p>
    <w:p>
      <w:pPr>
        <w:ind w:left="2360" w:hanging="715"/>
        <w:spacing w:after="0" w:line="252" w:lineRule="auto"/>
        <w:rPr>
          <w:rFonts w:ascii="Arial" w:cs="Arial" w:eastAsia="Arial" w:hAnsi="Arial"/>
          <w:sz w:val="18"/>
          <w:szCs w:val="18"/>
          <w:color w:val="auto"/>
        </w:rPr>
      </w:pPr>
      <w:r>
        <w:rPr>
          <w:rFonts w:ascii="Arial" w:cs="Arial" w:eastAsia="Arial" w:hAnsi="Arial"/>
          <w:sz w:val="18"/>
          <w:szCs w:val="18"/>
          <w:color w:val="auto"/>
        </w:rPr>
        <w:t>(B) (i) all awards that are subject to vesting in whole or in part based on the achievement of performance objective(s) (collectively, “</w:t>
      </w:r>
      <w:r>
        <w:rPr>
          <w:rFonts w:ascii="Arial" w:cs="Arial" w:eastAsia="Arial" w:hAnsi="Arial"/>
          <w:sz w:val="18"/>
          <w:szCs w:val="18"/>
          <w:i w:val="1"/>
          <w:iCs w:val="1"/>
          <w:color w:val="auto"/>
        </w:rPr>
        <w:t>Performance-Based Equity Awards</w:t>
      </w:r>
      <w:r>
        <w:rPr>
          <w:rFonts w:ascii="Arial" w:cs="Arial" w:eastAsia="Arial" w:hAnsi="Arial"/>
          <w:sz w:val="18"/>
          <w:szCs w:val="18"/>
          <w:color w:val="auto"/>
        </w:rPr>
        <w:t>”) with respect to any performance periods ending on or prior to the date of termination shall remain eligible to vest based on actual performance through the end of the applicable performance period, and</w:t>
      </w:r>
    </w:p>
    <w:p>
      <w:pPr>
        <w:spacing w:after="0" w:line="102" w:lineRule="exact"/>
        <w:rPr>
          <w:rFonts w:ascii="Arial" w:cs="Arial" w:eastAsia="Arial" w:hAnsi="Arial"/>
          <w:sz w:val="18"/>
          <w:szCs w:val="18"/>
          <w:color w:val="auto"/>
        </w:rPr>
      </w:pPr>
    </w:p>
    <w:p>
      <w:pPr>
        <w:ind w:left="2360" w:right="700" w:hanging="356"/>
        <w:spacing w:after="0" w:line="247" w:lineRule="auto"/>
        <w:tabs>
          <w:tab w:leader="none" w:pos="2360" w:val="left"/>
        </w:tabs>
        <w:numPr>
          <w:ilvl w:val="2"/>
          <w:numId w:val="127"/>
        </w:numPr>
        <w:rPr>
          <w:rFonts w:ascii="Arial" w:cs="Arial" w:eastAsia="Arial" w:hAnsi="Arial"/>
          <w:sz w:val="18"/>
          <w:szCs w:val="18"/>
          <w:color w:val="auto"/>
        </w:rPr>
      </w:pPr>
      <w:r>
        <w:rPr>
          <w:rFonts w:ascii="Arial" w:cs="Arial" w:eastAsia="Arial" w:hAnsi="Arial"/>
          <w:sz w:val="18"/>
          <w:szCs w:val="18"/>
          <w:color w:val="auto"/>
        </w:rPr>
        <w:t>a pro-rated portion of Performance-Based Equity Awards with respect to any performance periods in which the date of termination occurs shall remain eligible to vest based on performance through the end of the fiscal year in which the date of termination occurs based on actual performance through the end of such fiscal year (such proration based on the number of days actually employed during such performance period).</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Notwithstanding the foregoing, to the extent a termination by the Company without Cause or by</w:t>
      </w:r>
    </w:p>
    <w:p>
      <w:pPr>
        <w:spacing w:after="0" w:line="14" w:lineRule="exact"/>
        <w:rPr>
          <w:sz w:val="20"/>
          <w:szCs w:val="20"/>
          <w:color w:val="auto"/>
        </w:rPr>
      </w:pPr>
    </w:p>
    <w:p>
      <w:pPr>
        <w:ind w:left="920" w:right="800"/>
        <w:spacing w:after="0" w:line="226" w:lineRule="auto"/>
        <w:rPr>
          <w:sz w:val="20"/>
          <w:szCs w:val="20"/>
          <w:color w:val="auto"/>
        </w:rPr>
      </w:pPr>
      <w:r>
        <w:rPr>
          <w:rFonts w:ascii="Arial" w:cs="Arial" w:eastAsia="Arial" w:hAnsi="Arial"/>
          <w:sz w:val="18"/>
          <w:szCs w:val="18"/>
          <w:color w:val="auto"/>
        </w:rPr>
        <w:t>Mr. McClelland for Good Reason occurs within 12 months following a Change in Control (as defined in the McClelland Severance Agreement), Mr. McClelland is entitled to receive a cash lump sum payment equal</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480"/>
          </w:cols>
          <w:pgMar w:left="580" w:top="97" w:right="839"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1640" w:hanging="356"/>
        <w:spacing w:after="0"/>
        <w:tabs>
          <w:tab w:leader="none" w:pos="1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200% of (X) his annual base salary, and (Y) his target annual bonus,</w:t>
      </w:r>
    </w:p>
    <w:p>
      <w:pPr>
        <w:spacing w:after="0" w:line="130" w:lineRule="exact"/>
        <w:rPr>
          <w:rFonts w:ascii="Arial" w:cs="Arial" w:eastAsia="Arial" w:hAnsi="Arial"/>
          <w:sz w:val="18"/>
          <w:szCs w:val="18"/>
          <w:color w:val="auto"/>
        </w:rPr>
      </w:pPr>
    </w:p>
    <w:p>
      <w:pPr>
        <w:ind w:left="1640" w:right="419" w:hanging="356"/>
        <w:spacing w:after="0" w:line="271" w:lineRule="auto"/>
        <w:tabs>
          <w:tab w:leader="none" w:pos="1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the event such termination occurs more than six months following the commencement of the fiscal year, the Pro Rata Bonus, and</w:t>
      </w:r>
    </w:p>
    <w:p>
      <w:pPr>
        <w:spacing w:after="0" w:line="72" w:lineRule="exact"/>
        <w:rPr>
          <w:rFonts w:ascii="Arial" w:cs="Arial" w:eastAsia="Arial" w:hAnsi="Arial"/>
          <w:sz w:val="18"/>
          <w:szCs w:val="18"/>
          <w:color w:val="auto"/>
        </w:rPr>
      </w:pPr>
    </w:p>
    <w:p>
      <w:pPr>
        <w:ind w:left="1640" w:right="739" w:hanging="356"/>
        <w:spacing w:after="0" w:line="287" w:lineRule="auto"/>
        <w:tabs>
          <w:tab w:leader="none" w:pos="1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lump sum payment of an amount equal to the sum of the Company’s share of health plan premium payments for a period of 24 months following termination.</w:t>
      </w:r>
    </w:p>
    <w:p>
      <w:pPr>
        <w:spacing w:after="0" w:line="58" w:lineRule="exact"/>
        <w:rPr>
          <w:sz w:val="20"/>
          <w:szCs w:val="20"/>
          <w:color w:val="auto"/>
        </w:rPr>
      </w:pPr>
    </w:p>
    <w:p>
      <w:pPr>
        <w:jc w:val="both"/>
        <w:ind w:left="920" w:right="299"/>
        <w:spacing w:after="0" w:line="237" w:lineRule="auto"/>
        <w:rPr>
          <w:sz w:val="20"/>
          <w:szCs w:val="20"/>
          <w:color w:val="auto"/>
        </w:rPr>
      </w:pPr>
      <w:r>
        <w:rPr>
          <w:rFonts w:ascii="Arial" w:cs="Arial" w:eastAsia="Arial" w:hAnsi="Arial"/>
          <w:sz w:val="18"/>
          <w:szCs w:val="18"/>
          <w:color w:val="auto"/>
        </w:rPr>
        <w:t>In addition, upon such a termination, the vesting of all of Mr. McClelland’s outstanding equity awards will accelerate, with Performance- Based Equity Awards vesting as if target performance had been achieved,</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pursuant to the McClelland Severance Agreement.</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John Townsend, Sam Bucci, Patrick Macken and Steve McCaffery</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entered into severance agreements with each of Messrs. Townsend, Bucci, Macken and</w:t>
      </w:r>
    </w:p>
    <w:p>
      <w:pPr>
        <w:spacing w:after="0" w:line="14" w:lineRule="exact"/>
        <w:rPr>
          <w:sz w:val="20"/>
          <w:szCs w:val="20"/>
          <w:color w:val="auto"/>
        </w:rPr>
      </w:pPr>
    </w:p>
    <w:p>
      <w:pPr>
        <w:ind w:left="920" w:right="279"/>
        <w:spacing w:after="0" w:line="226" w:lineRule="auto"/>
        <w:rPr>
          <w:sz w:val="20"/>
          <w:szCs w:val="20"/>
          <w:color w:val="auto"/>
        </w:rPr>
      </w:pPr>
      <w:r>
        <w:rPr>
          <w:rFonts w:ascii="Arial" w:cs="Arial" w:eastAsia="Arial" w:hAnsi="Arial"/>
          <w:sz w:val="18"/>
          <w:szCs w:val="18"/>
          <w:color w:val="auto"/>
        </w:rPr>
        <w:t>McCaffery (each an “</w:t>
      </w:r>
      <w:r>
        <w:rPr>
          <w:rFonts w:ascii="Arial" w:cs="Arial" w:eastAsia="Arial" w:hAnsi="Arial"/>
          <w:sz w:val="18"/>
          <w:szCs w:val="18"/>
          <w:i w:val="1"/>
          <w:iCs w:val="1"/>
          <w:color w:val="auto"/>
        </w:rPr>
        <w:t>Executive Severance Agreement</w:t>
      </w:r>
      <w:r>
        <w:rPr>
          <w:rFonts w:ascii="Arial" w:cs="Arial" w:eastAsia="Arial" w:hAnsi="Arial"/>
          <w:sz w:val="18"/>
          <w:szCs w:val="18"/>
          <w:color w:val="auto"/>
        </w:rPr>
        <w:t>”). Each of the Executive Severance Agreements is subject to a three-year term, with automatic one-year renewals thereafter unless six months’ prior written</w:t>
      </w:r>
    </w:p>
    <w:p>
      <w:pPr>
        <w:ind w:left="920"/>
        <w:spacing w:after="0" w:line="236" w:lineRule="auto"/>
        <w:rPr>
          <w:sz w:val="20"/>
          <w:szCs w:val="20"/>
          <w:color w:val="auto"/>
        </w:rPr>
      </w:pPr>
      <w:r>
        <w:rPr>
          <w:rFonts w:ascii="Arial" w:cs="Arial" w:eastAsia="Arial" w:hAnsi="Arial"/>
          <w:sz w:val="18"/>
          <w:szCs w:val="18"/>
          <w:color w:val="auto"/>
        </w:rPr>
        <w:t>notice of non-renewal is given before the term automatically renews. In no event will any of the Severance</w:t>
      </w:r>
    </w:p>
    <w:p>
      <w:pPr>
        <w:spacing w:after="0" w:line="1" w:lineRule="exact"/>
        <w:rPr>
          <w:sz w:val="20"/>
          <w:szCs w:val="20"/>
          <w:color w:val="auto"/>
        </w:rPr>
      </w:pPr>
    </w:p>
    <w:p>
      <w:pPr>
        <w:ind w:left="920" w:right="519"/>
        <w:spacing w:after="0" w:line="237" w:lineRule="auto"/>
        <w:rPr>
          <w:sz w:val="20"/>
          <w:szCs w:val="20"/>
          <w:color w:val="auto"/>
        </w:rPr>
      </w:pPr>
      <w:r>
        <w:rPr>
          <w:rFonts w:ascii="Arial" w:cs="Arial" w:eastAsia="Arial" w:hAnsi="Arial"/>
          <w:sz w:val="18"/>
          <w:szCs w:val="18"/>
          <w:color w:val="auto"/>
        </w:rPr>
        <w:t>Agreements end before the first anniversary of the date of the closing of a Change of Control (as such term is defined in the respective Severance Agreements) of the Company.</w:t>
      </w:r>
    </w:p>
    <w:p>
      <w:pPr>
        <w:spacing w:after="0" w:line="113" w:lineRule="exact"/>
        <w:rPr>
          <w:sz w:val="20"/>
          <w:szCs w:val="20"/>
          <w:color w:val="auto"/>
        </w:rPr>
      </w:pPr>
    </w:p>
    <w:p>
      <w:pPr>
        <w:ind w:left="920" w:right="639"/>
        <w:spacing w:after="0" w:line="237" w:lineRule="auto"/>
        <w:rPr>
          <w:sz w:val="20"/>
          <w:szCs w:val="20"/>
          <w:color w:val="auto"/>
        </w:rPr>
      </w:pPr>
      <w:r>
        <w:rPr>
          <w:rFonts w:ascii="Arial" w:cs="Arial" w:eastAsia="Arial" w:hAnsi="Arial"/>
          <w:sz w:val="18"/>
          <w:szCs w:val="18"/>
          <w:color w:val="auto"/>
        </w:rPr>
        <w:t>Under each of the Executive Severance Agreements, if the Company terminates the employment of Mr. Townsend, Mr. Bucci, Mr. Macken or Mr. McCaffery without Cause (as such term is defined in the</w:t>
      </w:r>
    </w:p>
    <w:p>
      <w:pPr>
        <w:spacing w:after="0" w:line="1"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respective Executive Severance Agreement) (other than due to death or Disability (as such term is defined in the respective Executive Severance Agreement)) or if Mr. Townsend, Mr. Bucci, Mr. Macken or</w:t>
      </w:r>
    </w:p>
    <w:p>
      <w:pPr>
        <w:spacing w:after="0" w:line="2" w:lineRule="exact"/>
        <w:rPr>
          <w:sz w:val="20"/>
          <w:szCs w:val="20"/>
          <w:color w:val="auto"/>
        </w:rPr>
      </w:pPr>
    </w:p>
    <w:p>
      <w:pPr>
        <w:ind w:left="920" w:right="319"/>
        <w:spacing w:after="0" w:line="234" w:lineRule="auto"/>
        <w:rPr>
          <w:sz w:val="20"/>
          <w:szCs w:val="20"/>
          <w:color w:val="auto"/>
        </w:rPr>
      </w:pPr>
      <w:r>
        <w:rPr>
          <w:rFonts w:ascii="Arial" w:cs="Arial" w:eastAsia="Arial" w:hAnsi="Arial"/>
          <w:sz w:val="18"/>
          <w:szCs w:val="18"/>
          <w:color w:val="auto"/>
        </w:rPr>
        <w:t>Mr. McCaffery terminates his employment with Good Reason (as such term is defined in the respective Executive Severance Agreement) outside of a Change of Control Protection Period (such term is defined</w:t>
      </w:r>
    </w:p>
    <w:p>
      <w:pPr>
        <w:spacing w:after="0" w:line="1" w:lineRule="exact"/>
        <w:rPr>
          <w:sz w:val="20"/>
          <w:szCs w:val="20"/>
          <w:color w:val="auto"/>
        </w:rPr>
      </w:pPr>
    </w:p>
    <w:p>
      <w:pPr>
        <w:ind w:left="920" w:right="239"/>
        <w:spacing w:after="0" w:line="226" w:lineRule="auto"/>
        <w:rPr>
          <w:sz w:val="20"/>
          <w:szCs w:val="20"/>
          <w:color w:val="auto"/>
        </w:rPr>
      </w:pPr>
      <w:r>
        <w:rPr>
          <w:rFonts w:ascii="Arial" w:cs="Arial" w:eastAsia="Arial" w:hAnsi="Arial"/>
          <w:sz w:val="18"/>
          <w:szCs w:val="18"/>
          <w:color w:val="auto"/>
        </w:rPr>
        <w:t>as the period beginning on the date of the closing of a Change in Control and ending on the first anniversary of such Change in Control), each of Messrs. Townsend, Bucci, Macken and McCaffery will be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entitled, less applicable withholdings, to receive:</w:t>
      </w:r>
    </w:p>
    <w:p>
      <w:pPr>
        <w:spacing w:after="0" w:line="113" w:lineRule="exact"/>
        <w:rPr>
          <w:sz w:val="20"/>
          <w:szCs w:val="20"/>
          <w:color w:val="auto"/>
        </w:rPr>
      </w:pPr>
    </w:p>
    <w:p>
      <w:pPr>
        <w:ind w:left="1640" w:right="219" w:hanging="356"/>
        <w:spacing w:after="0" w:line="251" w:lineRule="auto"/>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continued payment of his then-current base salary for a period of (a) 12 months following the termination date for Messrs. Bucci, Macken and McCaffery (b) 6 months following the termination date for Messrs. Townsend and McCaffery if the termination date occurs prior to the 18-month anniversary of his employment and 12 months following the termination date thereafter the “Severance Period”;</w:t>
      </w:r>
    </w:p>
    <w:p>
      <w:pPr>
        <w:spacing w:after="0" w:line="92" w:lineRule="exact"/>
        <w:rPr>
          <w:rFonts w:ascii="Arial" w:cs="Arial" w:eastAsia="Arial" w:hAnsi="Arial"/>
          <w:sz w:val="18"/>
          <w:szCs w:val="18"/>
          <w:color w:val="auto"/>
        </w:rPr>
      </w:pPr>
    </w:p>
    <w:p>
      <w:pPr>
        <w:ind w:left="1640" w:right="179" w:hanging="356"/>
        <w:spacing w:after="0" w:line="271" w:lineRule="auto"/>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one-time lump sum cash amount equal to his pro-rated annual bonus, payable at the same time annual bonuses are paid, if at all, to other executive officers of the Company;</w:t>
      </w:r>
    </w:p>
    <w:p>
      <w:pPr>
        <w:spacing w:after="0" w:line="72" w:lineRule="exact"/>
        <w:rPr>
          <w:rFonts w:ascii="Arial" w:cs="Arial" w:eastAsia="Arial" w:hAnsi="Arial"/>
          <w:sz w:val="18"/>
          <w:szCs w:val="18"/>
          <w:color w:val="auto"/>
        </w:rPr>
      </w:pPr>
    </w:p>
    <w:p>
      <w:pPr>
        <w:ind w:left="1640" w:right="279" w:hanging="356"/>
        <w:spacing w:after="0" w:line="261" w:lineRule="auto"/>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one-time lump sum cash amount equal to the aggregate sum of the Company’s share of medical, dental and vision insurance premiums for such executive officer and his dependents for the Severance Period;</w:t>
      </w:r>
    </w:p>
    <w:p>
      <w:pPr>
        <w:spacing w:after="0" w:line="80" w:lineRule="exact"/>
        <w:rPr>
          <w:rFonts w:ascii="Arial" w:cs="Arial" w:eastAsia="Arial" w:hAnsi="Arial"/>
          <w:sz w:val="18"/>
          <w:szCs w:val="18"/>
          <w:color w:val="auto"/>
        </w:rPr>
      </w:pPr>
    </w:p>
    <w:p>
      <w:pPr>
        <w:ind w:left="1640" w:right="879" w:hanging="356"/>
        <w:spacing w:after="0" w:line="271" w:lineRule="auto"/>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accelerated vesting of the executive officer’s unvested time-based equity awards that are scheduled to vest within the Severance Period; and</w:t>
      </w:r>
    </w:p>
    <w:p>
      <w:pPr>
        <w:spacing w:after="0" w:line="72" w:lineRule="exact"/>
        <w:rPr>
          <w:rFonts w:ascii="Arial" w:cs="Arial" w:eastAsia="Arial" w:hAnsi="Arial"/>
          <w:sz w:val="18"/>
          <w:szCs w:val="18"/>
          <w:color w:val="auto"/>
        </w:rPr>
      </w:pPr>
    </w:p>
    <w:p>
      <w:pPr>
        <w:ind w:left="1640" w:right="499" w:hanging="356"/>
        <w:spacing w:after="0" w:line="261" w:lineRule="auto"/>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continued eligibility to pro-rata vest unvested performance-based equity awards subject to the Company’s actual achievement of applicable performance conditions for the portion of the performance period through the executive officer’s termination date.</w:t>
      </w:r>
    </w:p>
    <w:p>
      <w:pPr>
        <w:spacing w:after="0" w:line="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the Company terminates the employment of any of Mr. Townsend, Mr. Bucci, Mr. Macken or</w:t>
      </w:r>
    </w:p>
    <w:p>
      <w:pPr>
        <w:jc w:val="both"/>
        <w:ind w:left="920" w:right="239"/>
        <w:spacing w:after="0" w:line="242" w:lineRule="auto"/>
        <w:rPr>
          <w:sz w:val="20"/>
          <w:szCs w:val="20"/>
          <w:color w:val="auto"/>
        </w:rPr>
      </w:pPr>
      <w:r>
        <w:rPr>
          <w:rFonts w:ascii="Arial" w:cs="Arial" w:eastAsia="Arial" w:hAnsi="Arial"/>
          <w:sz w:val="18"/>
          <w:szCs w:val="18"/>
          <w:color w:val="auto"/>
        </w:rPr>
        <w:t>Mr. McCaffery without Cause (other than as a result of his death or Disability) or if any of these executive officers terminates his employment with Good Reason during a Change in Control Protection Period, then such executive officer will be entitled to receive:</w:t>
      </w:r>
    </w:p>
    <w:p>
      <w:pPr>
        <w:spacing w:after="0" w:line="98" w:lineRule="exact"/>
        <w:rPr>
          <w:sz w:val="20"/>
          <w:szCs w:val="20"/>
          <w:color w:val="auto"/>
        </w:rPr>
      </w:pPr>
    </w:p>
    <w:p>
      <w:pPr>
        <w:ind w:left="1640" w:hanging="356"/>
        <w:spacing w:after="0"/>
        <w:tabs>
          <w:tab w:leader="none" w:pos="1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one-time lump sum cash amount equal to twelve months of his then-current base salary;</w:t>
      </w:r>
    </w:p>
    <w:p>
      <w:pPr>
        <w:spacing w:after="0" w:line="130" w:lineRule="exact"/>
        <w:rPr>
          <w:rFonts w:ascii="Arial" w:cs="Arial" w:eastAsia="Arial" w:hAnsi="Arial"/>
          <w:sz w:val="18"/>
          <w:szCs w:val="18"/>
          <w:color w:val="auto"/>
        </w:rPr>
      </w:pPr>
    </w:p>
    <w:p>
      <w:pPr>
        <w:ind w:left="1640" w:hanging="356"/>
        <w:spacing w:after="0"/>
        <w:tabs>
          <w:tab w:leader="none" w:pos="1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one-time lump sum cash amount equal to his then-target annual bonus;</w:t>
      </w:r>
    </w:p>
    <w:p>
      <w:pPr>
        <w:spacing w:after="0" w:line="130" w:lineRule="exact"/>
        <w:rPr>
          <w:rFonts w:ascii="Arial" w:cs="Arial" w:eastAsia="Arial" w:hAnsi="Arial"/>
          <w:sz w:val="18"/>
          <w:szCs w:val="18"/>
          <w:color w:val="auto"/>
        </w:rPr>
      </w:pPr>
    </w:p>
    <w:p>
      <w:pPr>
        <w:ind w:left="1640" w:right="179" w:hanging="356"/>
        <w:spacing w:after="0" w:line="271" w:lineRule="auto"/>
        <w:tabs>
          <w:tab w:leader="none" w:pos="1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one-time lump sum cash amount equal to his pro-rated annual bonus, payable at the same time annual bonuses are paid, if at all, to other executive officers of the Company;</w:t>
      </w:r>
    </w:p>
    <w:p>
      <w:pPr>
        <w:spacing w:after="0" w:line="140" w:lineRule="exact"/>
        <w:rPr>
          <w:sz w:val="20"/>
          <w:szCs w:val="20"/>
          <w:color w:val="auto"/>
        </w:rPr>
      </w:pPr>
    </w:p>
    <w:p>
      <w:pPr>
        <w:jc w:val="right"/>
        <w:ind w:right="159"/>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1640" w:right="279" w:hanging="356"/>
        <w:spacing w:after="0" w:line="261" w:lineRule="auto"/>
        <w:tabs>
          <w:tab w:leader="none" w:pos="1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 one-time lump sum cash amount equal to the aggregate sum of the Company’s share of medical, dental and vision insurance premiums for such executive officer and his dependents for the 12-month period following the termination date;</w:t>
      </w:r>
    </w:p>
    <w:p>
      <w:pPr>
        <w:spacing w:after="0" w:line="94" w:lineRule="exact"/>
        <w:rPr>
          <w:rFonts w:ascii="Arial" w:cs="Arial" w:eastAsia="Arial" w:hAnsi="Arial"/>
          <w:sz w:val="18"/>
          <w:szCs w:val="18"/>
          <w:color w:val="auto"/>
        </w:rPr>
      </w:pPr>
    </w:p>
    <w:p>
      <w:pPr>
        <w:ind w:left="1640" w:hanging="356"/>
        <w:spacing w:after="0"/>
        <w:tabs>
          <w:tab w:leader="none" w:pos="1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full accelerated vesting of the executive officer’s unvested time-based equity awards; and</w:t>
      </w:r>
    </w:p>
    <w:p>
      <w:pPr>
        <w:spacing w:after="0" w:line="144" w:lineRule="exact"/>
        <w:rPr>
          <w:rFonts w:ascii="Arial" w:cs="Arial" w:eastAsia="Arial" w:hAnsi="Arial"/>
          <w:sz w:val="18"/>
          <w:szCs w:val="18"/>
          <w:color w:val="auto"/>
        </w:rPr>
      </w:pPr>
    </w:p>
    <w:p>
      <w:pPr>
        <w:ind w:left="1640" w:right="219" w:hanging="356"/>
        <w:spacing w:after="0" w:line="271" w:lineRule="auto"/>
        <w:tabs>
          <w:tab w:leader="none" w:pos="1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full accelerated vesting of the executive officer’s unvested performance-based equity awards at a target level of achievement for each applicable performance condition.</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auto"/>
        </w:rPr>
        <w:t>Equity Award Acceleration</w:t>
      </w:r>
    </w:p>
    <w:p>
      <w:pPr>
        <w:spacing w:after="0" w:line="162" w:lineRule="exact"/>
        <w:rPr>
          <w:sz w:val="20"/>
          <w:szCs w:val="20"/>
          <w:color w:val="auto"/>
        </w:rPr>
      </w:pPr>
    </w:p>
    <w:p>
      <w:pPr>
        <w:ind w:left="920" w:right="219"/>
        <w:spacing w:after="0" w:line="244" w:lineRule="auto"/>
        <w:rPr>
          <w:sz w:val="20"/>
          <w:szCs w:val="20"/>
          <w:color w:val="auto"/>
        </w:rPr>
      </w:pPr>
      <w:r>
        <w:rPr>
          <w:rFonts w:ascii="Arial" w:cs="Arial" w:eastAsia="Arial" w:hAnsi="Arial"/>
          <w:sz w:val="18"/>
          <w:szCs w:val="18"/>
          <w:color w:val="auto"/>
        </w:rPr>
        <w:t>In addition to the severance benefits and payments described above, in the event of a Change in Control (as defined in the 2025 Incentive Award Plan and referred to herein as a “change in control”), our forms of equity agreements under the 2025 Incentive Award Plan provide for certain accelerated vesting of awards thereunder. Except as otherwise noted in the severance arrangements above, effective immediately prior to the occurrence of a change in control, an additional one-third of the number of shares covered by the restricted stock award will become vested and the remaining unvested shares subject to the restricted stock award will continue to vest pursuant to the vesting schedule set forth in the award, except that the vesting schedule will be shortened by 12 months.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0" w:lineRule="exact"/>
        <w:rPr>
          <w:sz w:val="20"/>
          <w:szCs w:val="20"/>
          <w:color w:val="auto"/>
        </w:rPr>
      </w:pPr>
    </w:p>
    <w:p>
      <w:pPr>
        <w:ind w:left="920"/>
        <w:spacing w:after="0"/>
        <w:rPr>
          <w:sz w:val="20"/>
          <w:szCs w:val="20"/>
          <w:color w:val="auto"/>
        </w:rPr>
      </w:pPr>
      <w:r>
        <w:rPr>
          <w:rFonts w:ascii="Arial" w:cs="Arial" w:eastAsia="Arial" w:hAnsi="Arial"/>
          <w:sz w:val="29"/>
          <w:szCs w:val="29"/>
          <w:color w:val="62259D"/>
        </w:rPr>
        <w:t>Potential Payments Upon Termination or Upon Change in Control</w:t>
      </w:r>
    </w:p>
    <w:p>
      <w:pPr>
        <w:spacing w:after="0" w:line="152" w:lineRule="exact"/>
        <w:rPr>
          <w:sz w:val="20"/>
          <w:szCs w:val="20"/>
          <w:color w:val="auto"/>
        </w:rPr>
      </w:pPr>
    </w:p>
    <w:p>
      <w:pPr>
        <w:ind w:left="920" w:right="159"/>
        <w:spacing w:after="0" w:line="244" w:lineRule="auto"/>
        <w:rPr>
          <w:sz w:val="20"/>
          <w:szCs w:val="20"/>
          <w:color w:val="auto"/>
        </w:rPr>
      </w:pPr>
      <w:r>
        <w:rPr>
          <w:rFonts w:ascii="Arial" w:cs="Arial" w:eastAsia="Arial" w:hAnsi="Arial"/>
          <w:sz w:val="18"/>
          <w:szCs w:val="18"/>
          <w:color w:val="auto"/>
        </w:rPr>
        <w:t>The table below shows potential payments to the NEOs with severance or change in control arrangements upon termination or upon a change in control of our Company. The amounts shown assume that termination and/or change in control was effective as of December 31, 2025, the last day of our fiscal year, and are estimates of the amounts that would have been paid to or realized by the NEOs upon such a termination or change in control on such date. The actual amounts to be paid or realized can only be determined at the time of a NEO’s termination or following a change in control. Given that Mr. Redington left the Company effective September 30, 2025, payments that would have been owned to him upon termination or upon a change of control are not included below.</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146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60" w:type="dxa"/>
            <w:vAlign w:val="bottom"/>
            <w:shd w:val="clear" w:color="auto" w:fill="62259D"/>
          </w:tcPr>
          <w:p>
            <w:pPr>
              <w:spacing w:after="0"/>
              <w:rPr>
                <w:sz w:val="16"/>
                <w:szCs w:val="16"/>
                <w:color w:val="auto"/>
              </w:rPr>
            </w:pPr>
          </w:p>
        </w:tc>
        <w:tc>
          <w:tcPr>
            <w:tcW w:w="1300" w:type="dxa"/>
            <w:vAlign w:val="bottom"/>
            <w:shd w:val="clear" w:color="auto" w:fill="62259D"/>
          </w:tcPr>
          <w:p>
            <w:pPr>
              <w:spacing w:after="0"/>
              <w:rPr>
                <w:sz w:val="16"/>
                <w:szCs w:val="16"/>
                <w:color w:val="auto"/>
              </w:rPr>
            </w:pPr>
          </w:p>
        </w:tc>
        <w:tc>
          <w:tcPr>
            <w:tcW w:w="260" w:type="dxa"/>
            <w:vAlign w:val="bottom"/>
            <w:shd w:val="clear" w:color="auto" w:fill="62259D"/>
          </w:tcPr>
          <w:p>
            <w:pPr>
              <w:spacing w:after="0"/>
              <w:rPr>
                <w:sz w:val="16"/>
                <w:szCs w:val="16"/>
                <w:color w:val="auto"/>
              </w:rPr>
            </w:pPr>
          </w:p>
        </w:tc>
        <w:tc>
          <w:tcPr>
            <w:tcW w:w="10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Termination</w:t>
            </w:r>
          </w:p>
        </w:tc>
        <w:tc>
          <w:tcPr>
            <w:tcW w:w="260" w:type="dxa"/>
            <w:vAlign w:val="bottom"/>
            <w:shd w:val="clear" w:color="auto" w:fill="62259D"/>
          </w:tcPr>
          <w:p>
            <w:pPr>
              <w:spacing w:after="0"/>
              <w:rPr>
                <w:sz w:val="16"/>
                <w:szCs w:val="16"/>
                <w:color w:val="auto"/>
              </w:rPr>
            </w:pPr>
          </w:p>
        </w:tc>
        <w:tc>
          <w:tcPr>
            <w:tcW w:w="980" w:type="dxa"/>
            <w:vAlign w:val="bottom"/>
            <w:vMerge w:val="restart"/>
            <w:shd w:val="clear" w:color="auto" w:fill="62259D"/>
          </w:tcPr>
          <w:p>
            <w:pPr>
              <w:jc w:val="center"/>
              <w:ind w:right="13"/>
              <w:spacing w:after="0"/>
              <w:rPr>
                <w:sz w:val="20"/>
                <w:szCs w:val="20"/>
                <w:color w:val="auto"/>
              </w:rPr>
            </w:pPr>
            <w:r>
              <w:rPr>
                <w:rFonts w:ascii="Arial" w:cs="Arial" w:eastAsia="Arial" w:hAnsi="Arial"/>
                <w:sz w:val="13"/>
                <w:szCs w:val="13"/>
                <w:b w:val="1"/>
                <w:bCs w:val="1"/>
                <w:color w:val="FEFEFE"/>
              </w:rPr>
              <w:t>Termination</w:t>
            </w:r>
          </w:p>
        </w:tc>
        <w:tc>
          <w:tcPr>
            <w:tcW w:w="180" w:type="dxa"/>
            <w:vAlign w:val="bottom"/>
            <w:shd w:val="clear" w:color="auto" w:fill="62259D"/>
          </w:tcPr>
          <w:p>
            <w:pPr>
              <w:spacing w:after="0"/>
              <w:rPr>
                <w:sz w:val="16"/>
                <w:szCs w:val="16"/>
                <w:color w:val="auto"/>
              </w:rPr>
            </w:pPr>
          </w:p>
        </w:tc>
        <w:tc>
          <w:tcPr>
            <w:tcW w:w="340" w:type="dxa"/>
            <w:vAlign w:val="bottom"/>
            <w:shd w:val="clear" w:color="auto" w:fill="62259D"/>
          </w:tcPr>
          <w:p>
            <w:pPr>
              <w:spacing w:after="0"/>
              <w:rPr>
                <w:sz w:val="16"/>
                <w:szCs w:val="16"/>
                <w:color w:val="auto"/>
              </w:rPr>
            </w:pPr>
          </w:p>
        </w:tc>
        <w:tc>
          <w:tcPr>
            <w:tcW w:w="60" w:type="dxa"/>
            <w:vAlign w:val="bottom"/>
            <w:shd w:val="clear" w:color="auto" w:fill="62259D"/>
          </w:tcPr>
          <w:p>
            <w:pPr>
              <w:spacing w:after="0"/>
              <w:rPr>
                <w:sz w:val="16"/>
                <w:szCs w:val="16"/>
                <w:color w:val="auto"/>
              </w:rPr>
            </w:pPr>
          </w:p>
        </w:tc>
        <w:tc>
          <w:tcPr>
            <w:tcW w:w="900" w:type="dxa"/>
            <w:vAlign w:val="bottom"/>
            <w:shd w:val="clear" w:color="auto" w:fill="62259D"/>
          </w:tcPr>
          <w:p>
            <w:pPr>
              <w:spacing w:after="0"/>
              <w:rPr>
                <w:sz w:val="16"/>
                <w:szCs w:val="16"/>
                <w:color w:val="auto"/>
              </w:rPr>
            </w:pPr>
          </w:p>
        </w:tc>
        <w:tc>
          <w:tcPr>
            <w:tcW w:w="220" w:type="dxa"/>
            <w:vAlign w:val="bottom"/>
            <w:shd w:val="clear" w:color="auto" w:fill="62259D"/>
          </w:tcPr>
          <w:p>
            <w:pPr>
              <w:spacing w:after="0"/>
              <w:rPr>
                <w:sz w:val="16"/>
                <w:szCs w:val="16"/>
                <w:color w:val="auto"/>
              </w:rPr>
            </w:pPr>
          </w:p>
        </w:tc>
        <w:tc>
          <w:tcPr>
            <w:tcW w:w="14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Termination Without</w:t>
            </w:r>
          </w:p>
        </w:tc>
        <w:tc>
          <w:tcPr>
            <w:tcW w:w="140" w:type="dxa"/>
            <w:vAlign w:val="bottom"/>
            <w:shd w:val="clear" w:color="auto" w:fill="62259D"/>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62259D"/>
          </w:tcPr>
          <w:p>
            <w:pPr>
              <w:spacing w:after="0"/>
              <w:rPr>
                <w:sz w:val="12"/>
                <w:szCs w:val="12"/>
                <w:color w:val="auto"/>
              </w:rPr>
            </w:pPr>
          </w:p>
        </w:tc>
        <w:tc>
          <w:tcPr>
            <w:tcW w:w="220" w:type="dxa"/>
            <w:vAlign w:val="bottom"/>
            <w:shd w:val="clear" w:color="auto" w:fill="62259D"/>
          </w:tcPr>
          <w:p>
            <w:pPr>
              <w:spacing w:after="0"/>
              <w:rPr>
                <w:sz w:val="12"/>
                <w:szCs w:val="12"/>
                <w:color w:val="auto"/>
              </w:rPr>
            </w:pPr>
          </w:p>
        </w:tc>
        <w:tc>
          <w:tcPr>
            <w:tcW w:w="60" w:type="dxa"/>
            <w:vAlign w:val="bottom"/>
            <w:shd w:val="clear" w:color="auto" w:fill="62259D"/>
          </w:tcPr>
          <w:p>
            <w:pPr>
              <w:spacing w:after="0"/>
              <w:rPr>
                <w:sz w:val="12"/>
                <w:szCs w:val="12"/>
                <w:color w:val="auto"/>
              </w:rPr>
            </w:pPr>
          </w:p>
        </w:tc>
        <w:tc>
          <w:tcPr>
            <w:tcW w:w="1300" w:type="dxa"/>
            <w:vAlign w:val="bottom"/>
            <w:shd w:val="clear" w:color="auto" w:fill="62259D"/>
          </w:tcPr>
          <w:p>
            <w:pPr>
              <w:spacing w:after="0"/>
              <w:rPr>
                <w:sz w:val="12"/>
                <w:szCs w:val="12"/>
                <w:color w:val="auto"/>
              </w:rPr>
            </w:pPr>
          </w:p>
        </w:tc>
        <w:tc>
          <w:tcPr>
            <w:tcW w:w="260" w:type="dxa"/>
            <w:vAlign w:val="bottom"/>
            <w:shd w:val="clear" w:color="auto" w:fill="62259D"/>
          </w:tcPr>
          <w:p>
            <w:pPr>
              <w:spacing w:after="0"/>
              <w:rPr>
                <w:sz w:val="12"/>
                <w:szCs w:val="12"/>
                <w:color w:val="auto"/>
              </w:rPr>
            </w:pPr>
          </w:p>
        </w:tc>
        <w:tc>
          <w:tcPr>
            <w:tcW w:w="10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Without Cause</w:t>
            </w:r>
          </w:p>
        </w:tc>
        <w:tc>
          <w:tcPr>
            <w:tcW w:w="260" w:type="dxa"/>
            <w:vAlign w:val="bottom"/>
            <w:shd w:val="clear" w:color="auto" w:fill="62259D"/>
          </w:tcPr>
          <w:p>
            <w:pPr>
              <w:spacing w:after="0"/>
              <w:rPr>
                <w:sz w:val="12"/>
                <w:szCs w:val="12"/>
                <w:color w:val="auto"/>
              </w:rPr>
            </w:pPr>
          </w:p>
        </w:tc>
        <w:tc>
          <w:tcPr>
            <w:tcW w:w="980" w:type="dxa"/>
            <w:vAlign w:val="bottom"/>
            <w:vMerge w:val="continue"/>
            <w:shd w:val="clear" w:color="auto" w:fill="62259D"/>
          </w:tcPr>
          <w:p>
            <w:pPr>
              <w:spacing w:after="0"/>
              <w:rPr>
                <w:sz w:val="12"/>
                <w:szCs w:val="12"/>
                <w:color w:val="auto"/>
              </w:rPr>
            </w:pPr>
          </w:p>
        </w:tc>
        <w:tc>
          <w:tcPr>
            <w:tcW w:w="180" w:type="dxa"/>
            <w:vAlign w:val="bottom"/>
            <w:shd w:val="clear" w:color="auto" w:fill="62259D"/>
          </w:tcPr>
          <w:p>
            <w:pPr>
              <w:spacing w:after="0"/>
              <w:rPr>
                <w:sz w:val="12"/>
                <w:szCs w:val="12"/>
                <w:color w:val="auto"/>
              </w:rPr>
            </w:pPr>
          </w:p>
        </w:tc>
        <w:tc>
          <w:tcPr>
            <w:tcW w:w="340" w:type="dxa"/>
            <w:vAlign w:val="bottom"/>
            <w:shd w:val="clear" w:color="auto" w:fill="62259D"/>
          </w:tcPr>
          <w:p>
            <w:pPr>
              <w:spacing w:after="0"/>
              <w:rPr>
                <w:sz w:val="12"/>
                <w:szCs w:val="12"/>
                <w:color w:val="auto"/>
              </w:rPr>
            </w:pPr>
          </w:p>
        </w:tc>
        <w:tc>
          <w:tcPr>
            <w:tcW w:w="60" w:type="dxa"/>
            <w:vAlign w:val="bottom"/>
            <w:shd w:val="clear" w:color="auto" w:fill="62259D"/>
          </w:tcPr>
          <w:p>
            <w:pPr>
              <w:spacing w:after="0"/>
              <w:rPr>
                <w:sz w:val="12"/>
                <w:szCs w:val="12"/>
                <w:color w:val="auto"/>
              </w:rPr>
            </w:pPr>
          </w:p>
        </w:tc>
        <w:tc>
          <w:tcPr>
            <w:tcW w:w="900" w:type="dxa"/>
            <w:vAlign w:val="bottom"/>
            <w:shd w:val="clear" w:color="auto" w:fill="62259D"/>
          </w:tcPr>
          <w:p>
            <w:pPr>
              <w:spacing w:after="0"/>
              <w:rPr>
                <w:sz w:val="12"/>
                <w:szCs w:val="12"/>
                <w:color w:val="auto"/>
              </w:rPr>
            </w:pPr>
          </w:p>
        </w:tc>
        <w:tc>
          <w:tcPr>
            <w:tcW w:w="220" w:type="dxa"/>
            <w:vAlign w:val="bottom"/>
            <w:shd w:val="clear" w:color="auto" w:fill="62259D"/>
          </w:tcPr>
          <w:p>
            <w:pPr>
              <w:spacing w:after="0"/>
              <w:rPr>
                <w:sz w:val="12"/>
                <w:szCs w:val="12"/>
                <w:color w:val="auto"/>
              </w:rPr>
            </w:pPr>
          </w:p>
        </w:tc>
        <w:tc>
          <w:tcPr>
            <w:tcW w:w="14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Cause or for Good</w:t>
            </w:r>
          </w:p>
        </w:tc>
        <w:tc>
          <w:tcPr>
            <w:tcW w:w="140" w:type="dxa"/>
            <w:vAlign w:val="bottom"/>
            <w:shd w:val="clear" w:color="auto" w:fill="62259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60" w:type="dxa"/>
            <w:vAlign w:val="bottom"/>
            <w:shd w:val="clear" w:color="auto" w:fill="62259D"/>
          </w:tcPr>
          <w:p>
            <w:pPr>
              <w:spacing w:after="0"/>
              <w:rPr>
                <w:sz w:val="12"/>
                <w:szCs w:val="12"/>
                <w:color w:val="auto"/>
              </w:rPr>
            </w:pPr>
          </w:p>
        </w:tc>
        <w:tc>
          <w:tcPr>
            <w:tcW w:w="220" w:type="dxa"/>
            <w:vAlign w:val="bottom"/>
            <w:shd w:val="clear" w:color="auto" w:fill="62259D"/>
          </w:tcPr>
          <w:p>
            <w:pPr>
              <w:spacing w:after="0"/>
              <w:rPr>
                <w:sz w:val="12"/>
                <w:szCs w:val="12"/>
                <w:color w:val="auto"/>
              </w:rPr>
            </w:pPr>
          </w:p>
        </w:tc>
        <w:tc>
          <w:tcPr>
            <w:tcW w:w="60" w:type="dxa"/>
            <w:vAlign w:val="bottom"/>
            <w:shd w:val="clear" w:color="auto" w:fill="62259D"/>
          </w:tcPr>
          <w:p>
            <w:pPr>
              <w:spacing w:after="0"/>
              <w:rPr>
                <w:sz w:val="12"/>
                <w:szCs w:val="12"/>
                <w:color w:val="auto"/>
              </w:rPr>
            </w:pPr>
          </w:p>
        </w:tc>
        <w:tc>
          <w:tcPr>
            <w:tcW w:w="1300" w:type="dxa"/>
            <w:vAlign w:val="bottom"/>
            <w:shd w:val="clear" w:color="auto" w:fill="62259D"/>
          </w:tcPr>
          <w:p>
            <w:pPr>
              <w:spacing w:after="0"/>
              <w:rPr>
                <w:sz w:val="12"/>
                <w:szCs w:val="12"/>
                <w:color w:val="auto"/>
              </w:rPr>
            </w:pPr>
          </w:p>
        </w:tc>
        <w:tc>
          <w:tcPr>
            <w:tcW w:w="260" w:type="dxa"/>
            <w:vAlign w:val="bottom"/>
            <w:shd w:val="clear" w:color="auto" w:fill="62259D"/>
          </w:tcPr>
          <w:p>
            <w:pPr>
              <w:spacing w:after="0"/>
              <w:rPr>
                <w:sz w:val="12"/>
                <w:szCs w:val="12"/>
                <w:color w:val="auto"/>
              </w:rPr>
            </w:pPr>
          </w:p>
        </w:tc>
        <w:tc>
          <w:tcPr>
            <w:tcW w:w="10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or for Good</w:t>
            </w:r>
          </w:p>
        </w:tc>
        <w:tc>
          <w:tcPr>
            <w:tcW w:w="1240" w:type="dxa"/>
            <w:vAlign w:val="bottom"/>
            <w:gridSpan w:val="2"/>
            <w:shd w:val="clear" w:color="auto" w:fill="62259D"/>
          </w:tcPr>
          <w:p>
            <w:pPr>
              <w:jc w:val="center"/>
              <w:ind w:left="104"/>
              <w:spacing w:after="0"/>
              <w:rPr>
                <w:sz w:val="20"/>
                <w:szCs w:val="20"/>
                <w:color w:val="auto"/>
              </w:rPr>
            </w:pPr>
            <w:r>
              <w:rPr>
                <w:rFonts w:ascii="Arial" w:cs="Arial" w:eastAsia="Arial" w:hAnsi="Arial"/>
                <w:sz w:val="13"/>
                <w:szCs w:val="13"/>
                <w:b w:val="1"/>
                <w:bCs w:val="1"/>
                <w:color w:val="FEFEFE"/>
              </w:rPr>
              <w:t>Upon Death or</w:t>
            </w:r>
          </w:p>
        </w:tc>
        <w:tc>
          <w:tcPr>
            <w:tcW w:w="180" w:type="dxa"/>
            <w:vAlign w:val="bottom"/>
            <w:shd w:val="clear" w:color="auto" w:fill="62259D"/>
          </w:tcPr>
          <w:p>
            <w:pPr>
              <w:spacing w:after="0"/>
              <w:rPr>
                <w:sz w:val="12"/>
                <w:szCs w:val="12"/>
                <w:color w:val="auto"/>
              </w:rPr>
            </w:pPr>
          </w:p>
        </w:tc>
        <w:tc>
          <w:tcPr>
            <w:tcW w:w="340" w:type="dxa"/>
            <w:vAlign w:val="bottom"/>
            <w:shd w:val="clear" w:color="auto" w:fill="62259D"/>
          </w:tcPr>
          <w:p>
            <w:pPr>
              <w:spacing w:after="0"/>
              <w:rPr>
                <w:sz w:val="12"/>
                <w:szCs w:val="12"/>
                <w:color w:val="auto"/>
              </w:rPr>
            </w:pPr>
          </w:p>
        </w:tc>
        <w:tc>
          <w:tcPr>
            <w:tcW w:w="60" w:type="dxa"/>
            <w:vAlign w:val="bottom"/>
            <w:shd w:val="clear" w:color="auto" w:fill="62259D"/>
          </w:tcPr>
          <w:p>
            <w:pPr>
              <w:spacing w:after="0"/>
              <w:rPr>
                <w:sz w:val="12"/>
                <w:szCs w:val="12"/>
                <w:color w:val="auto"/>
              </w:rPr>
            </w:pPr>
          </w:p>
        </w:tc>
        <w:tc>
          <w:tcPr>
            <w:tcW w:w="900" w:type="dxa"/>
            <w:vAlign w:val="bottom"/>
            <w:shd w:val="clear" w:color="auto" w:fill="62259D"/>
          </w:tcPr>
          <w:p>
            <w:pPr>
              <w:spacing w:after="0"/>
              <w:rPr>
                <w:sz w:val="12"/>
                <w:szCs w:val="12"/>
                <w:color w:val="auto"/>
              </w:rPr>
            </w:pPr>
          </w:p>
        </w:tc>
        <w:tc>
          <w:tcPr>
            <w:tcW w:w="220" w:type="dxa"/>
            <w:vAlign w:val="bottom"/>
            <w:shd w:val="clear" w:color="auto" w:fill="62259D"/>
          </w:tcPr>
          <w:p>
            <w:pPr>
              <w:spacing w:after="0"/>
              <w:rPr>
                <w:sz w:val="12"/>
                <w:szCs w:val="12"/>
                <w:color w:val="auto"/>
              </w:rPr>
            </w:pPr>
          </w:p>
        </w:tc>
        <w:tc>
          <w:tcPr>
            <w:tcW w:w="14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Reason following a</w:t>
            </w:r>
          </w:p>
        </w:tc>
        <w:tc>
          <w:tcPr>
            <w:tcW w:w="140" w:type="dxa"/>
            <w:vAlign w:val="bottom"/>
            <w:shd w:val="clear" w:color="auto" w:fill="62259D"/>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62259D"/>
          </w:tcPr>
          <w:p>
            <w:pPr>
              <w:spacing w:after="0"/>
              <w:rPr>
                <w:sz w:val="14"/>
                <w:szCs w:val="14"/>
                <w:color w:val="auto"/>
              </w:rPr>
            </w:pPr>
          </w:p>
        </w:tc>
        <w:tc>
          <w:tcPr>
            <w:tcW w:w="220" w:type="dxa"/>
            <w:vAlign w:val="bottom"/>
            <w:shd w:val="clear" w:color="auto" w:fill="62259D"/>
          </w:tcPr>
          <w:p>
            <w:pPr>
              <w:spacing w:after="0"/>
              <w:rPr>
                <w:sz w:val="14"/>
                <w:szCs w:val="14"/>
                <w:color w:val="auto"/>
              </w:rPr>
            </w:pPr>
          </w:p>
        </w:tc>
        <w:tc>
          <w:tcPr>
            <w:tcW w:w="60" w:type="dxa"/>
            <w:vAlign w:val="bottom"/>
            <w:shd w:val="clear" w:color="auto" w:fill="62259D"/>
          </w:tcPr>
          <w:p>
            <w:pPr>
              <w:spacing w:after="0"/>
              <w:rPr>
                <w:sz w:val="14"/>
                <w:szCs w:val="14"/>
                <w:color w:val="auto"/>
              </w:rPr>
            </w:pPr>
          </w:p>
        </w:tc>
        <w:tc>
          <w:tcPr>
            <w:tcW w:w="1300" w:type="dxa"/>
            <w:vAlign w:val="bottom"/>
            <w:shd w:val="clear" w:color="auto" w:fill="62259D"/>
          </w:tcPr>
          <w:p>
            <w:pPr>
              <w:spacing w:after="0"/>
              <w:rPr>
                <w:sz w:val="14"/>
                <w:szCs w:val="14"/>
                <w:color w:val="auto"/>
              </w:rPr>
            </w:pPr>
          </w:p>
        </w:tc>
        <w:tc>
          <w:tcPr>
            <w:tcW w:w="260" w:type="dxa"/>
            <w:vAlign w:val="bottom"/>
            <w:shd w:val="clear" w:color="auto" w:fill="62259D"/>
          </w:tcPr>
          <w:p>
            <w:pPr>
              <w:spacing w:after="0"/>
              <w:rPr>
                <w:sz w:val="14"/>
                <w:szCs w:val="14"/>
                <w:color w:val="auto"/>
              </w:rPr>
            </w:pPr>
          </w:p>
        </w:tc>
        <w:tc>
          <w:tcPr>
            <w:tcW w:w="180" w:type="dxa"/>
            <w:vAlign w:val="bottom"/>
            <w:shd w:val="clear" w:color="auto" w:fill="62259D"/>
          </w:tcPr>
          <w:p>
            <w:pPr>
              <w:spacing w:after="0"/>
              <w:rPr>
                <w:sz w:val="14"/>
                <w:szCs w:val="14"/>
                <w:color w:val="auto"/>
              </w:rPr>
            </w:pPr>
          </w:p>
        </w:tc>
        <w:tc>
          <w:tcPr>
            <w:tcW w:w="860" w:type="dxa"/>
            <w:vAlign w:val="bottom"/>
            <w:shd w:val="clear" w:color="auto" w:fill="62259D"/>
          </w:tcPr>
          <w:p>
            <w:pPr>
              <w:jc w:val="center"/>
              <w:ind w:right="104"/>
              <w:spacing w:after="0" w:line="162" w:lineRule="exact"/>
              <w:rPr>
                <w:sz w:val="20"/>
                <w:szCs w:val="20"/>
                <w:color w:val="auto"/>
              </w:rPr>
            </w:pPr>
            <w:r>
              <w:rPr>
                <w:rFonts w:ascii="Arial" w:cs="Arial" w:eastAsia="Arial" w:hAnsi="Arial"/>
                <w:sz w:val="13"/>
                <w:szCs w:val="13"/>
                <w:b w:val="1"/>
                <w:bCs w:val="1"/>
                <w:color w:val="FEFEFE"/>
              </w:rPr>
              <w:t>Reason</w:t>
            </w:r>
            <w:r>
              <w:rPr>
                <w:rFonts w:ascii="Arial" w:cs="Arial" w:eastAsia="Arial" w:hAnsi="Arial"/>
                <w:sz w:val="16"/>
                <w:szCs w:val="16"/>
                <w:b w:val="1"/>
                <w:bCs w:val="1"/>
                <w:color w:val="FEFEFE"/>
                <w:vertAlign w:val="superscript"/>
              </w:rPr>
              <w:t>(1)</w:t>
            </w:r>
          </w:p>
        </w:tc>
        <w:tc>
          <w:tcPr>
            <w:tcW w:w="260" w:type="dxa"/>
            <w:vAlign w:val="bottom"/>
            <w:shd w:val="clear" w:color="auto" w:fill="62259D"/>
          </w:tcPr>
          <w:p>
            <w:pPr>
              <w:spacing w:after="0"/>
              <w:rPr>
                <w:sz w:val="14"/>
                <w:szCs w:val="14"/>
                <w:color w:val="auto"/>
              </w:rPr>
            </w:pPr>
          </w:p>
        </w:tc>
        <w:tc>
          <w:tcPr>
            <w:tcW w:w="980" w:type="dxa"/>
            <w:vAlign w:val="bottom"/>
            <w:shd w:val="clear" w:color="auto" w:fill="62259D"/>
          </w:tcPr>
          <w:p>
            <w:pPr>
              <w:jc w:val="center"/>
              <w:ind w:right="13"/>
              <w:spacing w:after="0"/>
              <w:rPr>
                <w:sz w:val="20"/>
                <w:szCs w:val="20"/>
                <w:color w:val="auto"/>
              </w:rPr>
            </w:pPr>
            <w:r>
              <w:rPr>
                <w:rFonts w:ascii="Arial" w:cs="Arial" w:eastAsia="Arial" w:hAnsi="Arial"/>
                <w:sz w:val="13"/>
                <w:szCs w:val="13"/>
                <w:b w:val="1"/>
                <w:bCs w:val="1"/>
                <w:color w:val="FEFEFE"/>
              </w:rPr>
              <w:t>Disability</w:t>
            </w:r>
          </w:p>
        </w:tc>
        <w:tc>
          <w:tcPr>
            <w:tcW w:w="180" w:type="dxa"/>
            <w:vAlign w:val="bottom"/>
            <w:shd w:val="clear" w:color="auto" w:fill="62259D"/>
          </w:tcPr>
          <w:p>
            <w:pPr>
              <w:spacing w:after="0"/>
              <w:rPr>
                <w:sz w:val="14"/>
                <w:szCs w:val="14"/>
                <w:color w:val="auto"/>
              </w:rPr>
            </w:pPr>
          </w:p>
        </w:tc>
        <w:tc>
          <w:tcPr>
            <w:tcW w:w="1300" w:type="dxa"/>
            <w:vAlign w:val="bottom"/>
            <w:gridSpan w:val="3"/>
            <w:shd w:val="clear" w:color="auto" w:fill="62259D"/>
          </w:tcPr>
          <w:p>
            <w:pPr>
              <w:jc w:val="right"/>
              <w:spacing w:after="0"/>
              <w:rPr>
                <w:sz w:val="20"/>
                <w:szCs w:val="20"/>
                <w:color w:val="auto"/>
              </w:rPr>
            </w:pPr>
            <w:r>
              <w:rPr>
                <w:rFonts w:ascii="Arial" w:cs="Arial" w:eastAsia="Arial" w:hAnsi="Arial"/>
                <w:sz w:val="13"/>
                <w:szCs w:val="13"/>
                <w:b w:val="1"/>
                <w:bCs w:val="1"/>
                <w:color w:val="FEFEFE"/>
              </w:rPr>
              <w:t>Change in Control</w:t>
            </w:r>
          </w:p>
        </w:tc>
        <w:tc>
          <w:tcPr>
            <w:tcW w:w="220" w:type="dxa"/>
            <w:vAlign w:val="bottom"/>
            <w:shd w:val="clear" w:color="auto" w:fill="62259D"/>
          </w:tcPr>
          <w:p>
            <w:pPr>
              <w:spacing w:after="0"/>
              <w:rPr>
                <w:sz w:val="14"/>
                <w:szCs w:val="14"/>
                <w:color w:val="auto"/>
              </w:rPr>
            </w:pPr>
          </w:p>
        </w:tc>
        <w:tc>
          <w:tcPr>
            <w:tcW w:w="1440" w:type="dxa"/>
            <w:vAlign w:val="bottom"/>
            <w:gridSpan w:val="2"/>
            <w:shd w:val="clear" w:color="auto" w:fill="62259D"/>
          </w:tcPr>
          <w:p>
            <w:pPr>
              <w:jc w:val="center"/>
              <w:spacing w:after="0"/>
              <w:rPr>
                <w:sz w:val="20"/>
                <w:szCs w:val="20"/>
                <w:color w:val="auto"/>
              </w:rPr>
            </w:pPr>
            <w:r>
              <w:rPr>
                <w:rFonts w:ascii="Arial" w:cs="Arial" w:eastAsia="Arial" w:hAnsi="Arial"/>
                <w:sz w:val="13"/>
                <w:szCs w:val="13"/>
                <w:b w:val="1"/>
                <w:bCs w:val="1"/>
                <w:color w:val="FEFEFE"/>
              </w:rPr>
              <w:t>Change in Control</w:t>
            </w:r>
          </w:p>
        </w:tc>
        <w:tc>
          <w:tcPr>
            <w:tcW w:w="140" w:type="dxa"/>
            <w:vAlign w:val="bottom"/>
            <w:shd w:val="clear" w:color="auto" w:fill="62259D"/>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460" w:type="dxa"/>
            <w:vAlign w:val="bottom"/>
            <w:shd w:val="clear" w:color="auto" w:fill="62259D"/>
          </w:tcPr>
          <w:p>
            <w:pPr>
              <w:ind w:left="40"/>
              <w:spacing w:after="0"/>
              <w:rPr>
                <w:sz w:val="20"/>
                <w:szCs w:val="20"/>
                <w:color w:val="auto"/>
              </w:rPr>
            </w:pPr>
            <w:r>
              <w:rPr>
                <w:rFonts w:ascii="Arial" w:cs="Arial" w:eastAsia="Arial" w:hAnsi="Arial"/>
                <w:sz w:val="13"/>
                <w:szCs w:val="13"/>
                <w:b w:val="1"/>
                <w:bCs w:val="1"/>
                <w:color w:val="FEFEFE"/>
              </w:rPr>
              <w:t>​Name</w:t>
            </w:r>
          </w:p>
        </w:tc>
        <w:tc>
          <w:tcPr>
            <w:tcW w:w="1840" w:type="dxa"/>
            <w:vAlign w:val="bottom"/>
            <w:gridSpan w:val="4"/>
            <w:shd w:val="clear" w:color="auto" w:fill="62259D"/>
          </w:tcPr>
          <w:p>
            <w:pPr>
              <w:ind w:left="180"/>
              <w:spacing w:after="0"/>
              <w:rPr>
                <w:sz w:val="20"/>
                <w:szCs w:val="20"/>
                <w:color w:val="auto"/>
              </w:rPr>
            </w:pPr>
            <w:r>
              <w:rPr>
                <w:rFonts w:ascii="Arial" w:cs="Arial" w:eastAsia="Arial" w:hAnsi="Arial"/>
                <w:sz w:val="13"/>
                <w:szCs w:val="13"/>
                <w:b w:val="1"/>
                <w:bCs w:val="1"/>
                <w:color w:val="FEFEFE"/>
              </w:rPr>
              <w:t>​ ​Potential Payments ​ ​</w:t>
            </w:r>
          </w:p>
        </w:tc>
        <w:tc>
          <w:tcPr>
            <w:tcW w:w="180" w:type="dxa"/>
            <w:vAlign w:val="bottom"/>
            <w:shd w:val="clear" w:color="auto" w:fill="62259D"/>
          </w:tcPr>
          <w:p>
            <w:pPr>
              <w:spacing w:after="0"/>
              <w:rPr>
                <w:sz w:val="16"/>
                <w:szCs w:val="16"/>
                <w:color w:val="auto"/>
              </w:rPr>
            </w:pPr>
          </w:p>
        </w:tc>
        <w:tc>
          <w:tcPr>
            <w:tcW w:w="860" w:type="dxa"/>
            <w:vAlign w:val="bottom"/>
            <w:shd w:val="clear" w:color="auto" w:fill="62259D"/>
          </w:tcPr>
          <w:p>
            <w:pPr>
              <w:jc w:val="right"/>
              <w:ind w:right="344"/>
              <w:spacing w:after="0"/>
              <w:rPr>
                <w:sz w:val="20"/>
                <w:szCs w:val="20"/>
                <w:color w:val="auto"/>
              </w:rPr>
            </w:pPr>
            <w:r>
              <w:rPr>
                <w:rFonts w:ascii="Arial" w:cs="Arial" w:eastAsia="Arial" w:hAnsi="Arial"/>
                <w:sz w:val="13"/>
                <w:szCs w:val="13"/>
                <w:b w:val="1"/>
                <w:bCs w:val="1"/>
                <w:color w:val="FEFEFE"/>
              </w:rPr>
              <w:t>($)</w:t>
            </w:r>
          </w:p>
        </w:tc>
        <w:tc>
          <w:tcPr>
            <w:tcW w:w="260" w:type="dxa"/>
            <w:vAlign w:val="bottom"/>
            <w:shd w:val="clear" w:color="auto" w:fill="62259D"/>
          </w:tcPr>
          <w:p>
            <w:pPr>
              <w:jc w:val="center"/>
              <w:spacing w:after="0"/>
              <w:rPr>
                <w:sz w:val="20"/>
                <w:szCs w:val="20"/>
                <w:color w:val="auto"/>
              </w:rPr>
            </w:pPr>
            <w:r>
              <w:rPr>
                <w:rFonts w:ascii="Arial" w:cs="Arial" w:eastAsia="Arial" w:hAnsi="Arial"/>
                <w:sz w:val="13"/>
                <w:szCs w:val="13"/>
                <w:b w:val="1"/>
                <w:bCs w:val="1"/>
                <w:color w:val="FEFEFE"/>
              </w:rPr>
              <w:t>​ ​</w:t>
            </w:r>
          </w:p>
        </w:tc>
        <w:tc>
          <w:tcPr>
            <w:tcW w:w="980" w:type="dxa"/>
            <w:vAlign w:val="bottom"/>
            <w:shd w:val="clear" w:color="auto" w:fill="62259D"/>
          </w:tcPr>
          <w:p>
            <w:pPr>
              <w:jc w:val="right"/>
              <w:ind w:right="353"/>
              <w:spacing w:after="0"/>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62259D"/>
          </w:tcPr>
          <w:p>
            <w:pPr>
              <w:ind w:left="60"/>
              <w:spacing w:after="0"/>
              <w:rPr>
                <w:sz w:val="20"/>
                <w:szCs w:val="20"/>
                <w:color w:val="auto"/>
              </w:rPr>
            </w:pPr>
            <w:r>
              <w:rPr>
                <w:rFonts w:ascii="Arial" w:cs="Arial" w:eastAsia="Arial" w:hAnsi="Arial"/>
                <w:sz w:val="13"/>
                <w:szCs w:val="13"/>
                <w:b w:val="1"/>
                <w:bCs w:val="1"/>
                <w:color w:val="FEFEFE"/>
              </w:rPr>
              <w:t>​ ​</w:t>
            </w:r>
          </w:p>
        </w:tc>
        <w:tc>
          <w:tcPr>
            <w:tcW w:w="340" w:type="dxa"/>
            <w:vAlign w:val="bottom"/>
            <w:shd w:val="clear" w:color="auto" w:fill="62259D"/>
          </w:tcPr>
          <w:p>
            <w:pPr>
              <w:spacing w:after="0"/>
              <w:rPr>
                <w:sz w:val="16"/>
                <w:szCs w:val="16"/>
                <w:color w:val="auto"/>
              </w:rPr>
            </w:pPr>
          </w:p>
        </w:tc>
        <w:tc>
          <w:tcPr>
            <w:tcW w:w="60" w:type="dxa"/>
            <w:vAlign w:val="bottom"/>
            <w:shd w:val="clear" w:color="auto" w:fill="62259D"/>
          </w:tcPr>
          <w:p>
            <w:pPr>
              <w:spacing w:after="0"/>
              <w:rPr>
                <w:sz w:val="16"/>
                <w:szCs w:val="16"/>
                <w:color w:val="auto"/>
              </w:rPr>
            </w:pPr>
          </w:p>
        </w:tc>
        <w:tc>
          <w:tcPr>
            <w:tcW w:w="900" w:type="dxa"/>
            <w:vAlign w:val="bottom"/>
            <w:shd w:val="clear" w:color="auto" w:fill="62259D"/>
          </w:tcPr>
          <w:p>
            <w:pPr>
              <w:jc w:val="right"/>
              <w:ind w:right="464"/>
              <w:spacing w:after="0"/>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62259D"/>
          </w:tcPr>
          <w:p>
            <w:pPr>
              <w:ind w:left="80"/>
              <w:spacing w:after="0"/>
              <w:rPr>
                <w:sz w:val="20"/>
                <w:szCs w:val="20"/>
                <w:color w:val="auto"/>
              </w:rPr>
            </w:pPr>
            <w:r>
              <w:rPr>
                <w:rFonts w:ascii="Arial" w:cs="Arial" w:eastAsia="Arial" w:hAnsi="Arial"/>
                <w:sz w:val="13"/>
                <w:szCs w:val="13"/>
                <w:b w:val="1"/>
                <w:bCs w:val="1"/>
                <w:color w:val="FEFEFE"/>
              </w:rPr>
              <w:t>​ ​</w:t>
            </w:r>
          </w:p>
        </w:tc>
        <w:tc>
          <w:tcPr>
            <w:tcW w:w="400" w:type="dxa"/>
            <w:vAlign w:val="bottom"/>
            <w:shd w:val="clear" w:color="auto" w:fill="62259D"/>
          </w:tcPr>
          <w:p>
            <w:pPr>
              <w:spacing w:after="0"/>
              <w:rPr>
                <w:sz w:val="16"/>
                <w:szCs w:val="16"/>
                <w:color w:val="auto"/>
              </w:rPr>
            </w:pPr>
          </w:p>
        </w:tc>
        <w:tc>
          <w:tcPr>
            <w:tcW w:w="1040" w:type="dxa"/>
            <w:vAlign w:val="bottom"/>
            <w:shd w:val="clear" w:color="auto" w:fill="62259D"/>
          </w:tcPr>
          <w:p>
            <w:pPr>
              <w:jc w:val="right"/>
              <w:ind w:right="544"/>
              <w:spacing w:after="0"/>
              <w:rPr>
                <w:sz w:val="20"/>
                <w:szCs w:val="20"/>
                <w:color w:val="auto"/>
              </w:rPr>
            </w:pPr>
            <w:r>
              <w:rPr>
                <w:rFonts w:ascii="Arial" w:cs="Arial" w:eastAsia="Arial" w:hAnsi="Arial"/>
                <w:sz w:val="13"/>
                <w:szCs w:val="13"/>
                <w:b w:val="1"/>
                <w:bCs w:val="1"/>
                <w:color w:val="FEFEFE"/>
              </w:rPr>
              <w:t>($)</w:t>
            </w:r>
          </w:p>
        </w:tc>
        <w:tc>
          <w:tcPr>
            <w:tcW w:w="140" w:type="dxa"/>
            <w:vAlign w:val="bottom"/>
            <w:shd w:val="clear" w:color="auto" w:fill="62259D"/>
          </w:tcPr>
          <w:p>
            <w:pPr>
              <w:ind w:left="100"/>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Bruce McClelland</w:t>
            </w:r>
          </w:p>
        </w:tc>
        <w:tc>
          <w:tcPr>
            <w:tcW w:w="1580" w:type="dxa"/>
            <w:vAlign w:val="bottom"/>
            <w:gridSpan w:val="3"/>
          </w:tcPr>
          <w:p>
            <w:pPr>
              <w:ind w:left="14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Cash Severance</w:t>
            </w:r>
          </w:p>
        </w:tc>
        <w:tc>
          <w:tcPr>
            <w:tcW w:w="260" w:type="dxa"/>
            <w:vAlign w:val="bottom"/>
          </w:tcPr>
          <w:p>
            <w:pPr>
              <w:ind w:left="100"/>
              <w:spacing w:after="0"/>
              <w:rPr>
                <w:sz w:val="20"/>
                <w:szCs w:val="20"/>
                <w:color w:val="auto"/>
              </w:rPr>
            </w:pPr>
            <w:r>
              <w:rPr>
                <w:rFonts w:ascii="Arial" w:cs="Arial" w:eastAsia="Arial" w:hAnsi="Arial"/>
                <w:sz w:val="15"/>
                <w:szCs w:val="15"/>
                <w:color w:val="auto"/>
              </w:rPr>
              <w:t>​ ​</w:t>
            </w:r>
          </w:p>
        </w:tc>
        <w:tc>
          <w:tcPr>
            <w:tcW w:w="180" w:type="dxa"/>
            <w:vAlign w:val="bottom"/>
          </w:tcPr>
          <w:p>
            <w:pPr>
              <w:ind w:left="6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1,725,000</w:t>
            </w:r>
          </w:p>
        </w:tc>
        <w:tc>
          <w:tcPr>
            <w:tcW w:w="260" w:type="dxa"/>
            <w:vAlign w:val="bottom"/>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 ​</w:t>
            </w:r>
          </w:p>
        </w:tc>
        <w:tc>
          <w:tcPr>
            <w:tcW w:w="400" w:type="dxa"/>
            <w:vAlign w:val="bottom"/>
            <w:gridSpan w:val="2"/>
          </w:tcPr>
          <w:p>
            <w:pPr>
              <w:ind w:left="220"/>
              <w:spacing w:after="0"/>
              <w:rPr>
                <w:sz w:val="20"/>
                <w:szCs w:val="20"/>
                <w:color w:val="auto"/>
              </w:rPr>
            </w:pPr>
            <w:r>
              <w:rPr>
                <w:rFonts w:ascii="Arial" w:cs="Arial" w:eastAsia="Arial" w:hAnsi="Arial"/>
                <w:sz w:val="15"/>
                <w:szCs w:val="15"/>
                <w:color w:val="auto"/>
              </w:rPr>
              <w:t>​ ​</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Pr>
          <w:p>
            <w:pPr>
              <w:ind w:left="20"/>
              <w:spacing w:after="0"/>
              <w:rPr>
                <w:sz w:val="20"/>
                <w:szCs w:val="20"/>
                <w:color w:val="auto"/>
              </w:rPr>
            </w:pPr>
            <w:r>
              <w:rPr>
                <w:rFonts w:ascii="Arial" w:cs="Arial" w:eastAsia="Arial" w:hAnsi="Arial"/>
                <w:sz w:val="15"/>
                <w:szCs w:val="15"/>
                <w:color w:val="auto"/>
              </w:rPr>
              <w:t>​​ ​</w:t>
            </w:r>
          </w:p>
        </w:tc>
        <w:tc>
          <w:tcPr>
            <w:tcW w:w="400" w:type="dxa"/>
            <w:vAlign w:val="bottom"/>
          </w:tcPr>
          <w:p>
            <w:pPr>
              <w:ind w:left="240"/>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w:t>
            </w:r>
          </w:p>
        </w:tc>
        <w:tc>
          <w:tcPr>
            <w:tcW w:w="1040" w:type="dxa"/>
            <w:vAlign w:val="bottom"/>
          </w:tcPr>
          <w:p>
            <w:pPr>
              <w:jc w:val="right"/>
              <w:ind w:right="164"/>
              <w:spacing w:after="0"/>
              <w:rPr>
                <w:sz w:val="20"/>
                <w:szCs w:val="20"/>
                <w:color w:val="auto"/>
              </w:rPr>
            </w:pPr>
            <w:r>
              <w:rPr>
                <w:rFonts w:ascii="Arial" w:cs="Arial" w:eastAsia="Arial" w:hAnsi="Arial"/>
                <w:sz w:val="15"/>
                <w:szCs w:val="15"/>
                <w:color w:val="auto"/>
              </w:rPr>
              <w:t>3,225,000</w:t>
            </w: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4C4C4C"/>
              <w:bottom w:val="single" w:sz="8" w:color="4C4C4C"/>
            </w:tcBorders>
            <w:gridSpan w:val="2"/>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Stock Awards</w:t>
            </w:r>
            <w:r>
              <w:rPr>
                <w:rFonts w:ascii="Arial" w:cs="Arial" w:eastAsia="Arial" w:hAnsi="Arial"/>
                <w:sz w:val="16"/>
                <w:szCs w:val="16"/>
                <w:color w:val="auto"/>
                <w:vertAlign w:val="superscript"/>
              </w:rPr>
              <w:t>(2)</w:t>
            </w:r>
          </w:p>
        </w:tc>
        <w:tc>
          <w:tcPr>
            <w:tcW w:w="260" w:type="dxa"/>
            <w:vAlign w:val="bottom"/>
            <w:tcBorders>
              <w:top w:val="single" w:sz="8" w:color="4C4C4C"/>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top w:val="single" w:sz="8" w:color="4C4C4C"/>
              <w:bottom w:val="single" w:sz="8" w:color="4C4C4C"/>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60" w:type="dxa"/>
            <w:vAlign w:val="bottom"/>
            <w:tcBorders>
              <w:top w:val="single" w:sz="8" w:color="4C4C4C"/>
              <w:bottom w:val="single" w:sz="8" w:color="4C4C4C"/>
            </w:tcBorders>
          </w:tcPr>
          <w:p>
            <w:pPr>
              <w:jc w:val="right"/>
              <w:spacing w:after="0"/>
              <w:rPr>
                <w:sz w:val="20"/>
                <w:szCs w:val="20"/>
                <w:color w:val="auto"/>
              </w:rPr>
            </w:pPr>
            <w:r>
              <w:rPr>
                <w:rFonts w:ascii="Arial" w:cs="Arial" w:eastAsia="Arial" w:hAnsi="Arial"/>
                <w:sz w:val="15"/>
                <w:szCs w:val="15"/>
                <w:color w:val="auto"/>
              </w:rPr>
              <w:t>9,937,542</w:t>
            </w:r>
          </w:p>
        </w:tc>
        <w:tc>
          <w:tcPr>
            <w:tcW w:w="260" w:type="dxa"/>
            <w:vAlign w:val="bottom"/>
            <w:tcBorders>
              <w:top w:val="single" w:sz="8" w:color="4C4C4C"/>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top w:val="single" w:sz="8" w:color="4C4C4C"/>
              <w:bottom w:val="single" w:sz="8" w:color="4C4C4C"/>
            </w:tcBorders>
          </w:tcPr>
          <w:p>
            <w:pPr>
              <w:spacing w:after="0"/>
              <w:rPr>
                <w:sz w:val="19"/>
                <w:szCs w:val="19"/>
                <w:color w:val="auto"/>
              </w:rPr>
            </w:pPr>
          </w:p>
        </w:tc>
        <w:tc>
          <w:tcPr>
            <w:tcW w:w="18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top w:val="single" w:sz="8" w:color="4C4C4C"/>
              <w:bottom w:val="single" w:sz="8" w:color="4C4C4C"/>
            </w:tcBorders>
          </w:tcPr>
          <w:p>
            <w:pPr>
              <w:ind w:left="22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60" w:type="dxa"/>
            <w:vAlign w:val="bottom"/>
            <w:tcBorders>
              <w:top w:val="single" w:sz="8" w:color="4C4C4C"/>
              <w:bottom w:val="single" w:sz="8" w:color="4C4C4C"/>
            </w:tcBorders>
          </w:tcPr>
          <w:p>
            <w:pPr>
              <w:spacing w:after="0"/>
              <w:rPr>
                <w:sz w:val="19"/>
                <w:szCs w:val="19"/>
                <w:color w:val="auto"/>
              </w:rPr>
            </w:pPr>
          </w:p>
        </w:tc>
        <w:tc>
          <w:tcPr>
            <w:tcW w:w="900" w:type="dxa"/>
            <w:vAlign w:val="bottom"/>
            <w:tcBorders>
              <w:top w:val="single" w:sz="8" w:color="4C4C4C"/>
              <w:bottom w:val="single" w:sz="8" w:color="4C4C4C"/>
            </w:tcBorders>
          </w:tcPr>
          <w:p>
            <w:pPr>
              <w:jc w:val="right"/>
              <w:ind w:right="124"/>
              <w:spacing w:after="0"/>
              <w:rPr>
                <w:sz w:val="20"/>
                <w:szCs w:val="20"/>
                <w:color w:val="auto"/>
              </w:rPr>
            </w:pPr>
            <w:r>
              <w:rPr>
                <w:rFonts w:ascii="Arial" w:cs="Arial" w:eastAsia="Arial" w:hAnsi="Arial"/>
                <w:sz w:val="15"/>
                <w:szCs w:val="15"/>
                <w:color w:val="auto"/>
              </w:rPr>
              <w:t>3,914,826</w:t>
            </w:r>
          </w:p>
        </w:tc>
        <w:tc>
          <w:tcPr>
            <w:tcW w:w="22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1440" w:type="dxa"/>
            <w:vAlign w:val="bottom"/>
            <w:tcBorders>
              <w:top w:val="single" w:sz="8" w:color="4C4C4C"/>
              <w:bottom w:val="single" w:sz="8" w:color="4C4C4C"/>
            </w:tcBorders>
            <w:gridSpan w:val="2"/>
          </w:tcPr>
          <w:p>
            <w:pPr>
              <w:jc w:val="right"/>
              <w:ind w:right="164"/>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$ 14,488,535</w:t>
            </w:r>
          </w:p>
        </w:tc>
        <w:tc>
          <w:tcPr>
            <w:tcW w:w="140" w:type="dxa"/>
            <w:vAlign w:val="bottom"/>
            <w:tcBorders>
              <w:top w:val="single" w:sz="8" w:color="4C4C4C"/>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bottom w:val="single" w:sz="8" w:color="4C4C4C"/>
            </w:tcBorders>
            <w:gridSpan w:val="2"/>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Health Benefits</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4C4C4C"/>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6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auto"/>
              </w:rPr>
              <w:t>22,866</w:t>
            </w:r>
          </w:p>
        </w:tc>
        <w:tc>
          <w:tcPr>
            <w:tcW w:w="260" w:type="dxa"/>
            <w:vAlign w:val="bottom"/>
            <w:tcBorders>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4C4C4C"/>
            </w:tcBorders>
          </w:tcPr>
          <w:p>
            <w:pPr>
              <w:ind w:left="2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4C4C4C"/>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040" w:type="dxa"/>
            <w:vAlign w:val="bottom"/>
            <w:tcBorders>
              <w:bottom w:val="single" w:sz="8" w:color="4C4C4C"/>
            </w:tcBorders>
          </w:tcPr>
          <w:p>
            <w:pPr>
              <w:jc w:val="right"/>
              <w:ind w:right="164"/>
              <w:spacing w:after="0"/>
              <w:rPr>
                <w:sz w:val="20"/>
                <w:szCs w:val="20"/>
                <w:color w:val="auto"/>
              </w:rPr>
            </w:pPr>
            <w:r>
              <w:rPr>
                <w:rFonts w:ascii="Arial" w:cs="Arial" w:eastAsia="Arial" w:hAnsi="Arial"/>
                <w:sz w:val="15"/>
                <w:szCs w:val="15"/>
                <w:color w:val="auto"/>
              </w:rPr>
              <w:t>45,732</w:t>
            </w:r>
          </w:p>
        </w:tc>
        <w:tc>
          <w:tcPr>
            <w:tcW w:w="14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E7417A"/>
            </w:tcBorders>
          </w:tcPr>
          <w:p>
            <w:pPr>
              <w:spacing w:after="0"/>
              <w:rPr>
                <w:sz w:val="18"/>
                <w:szCs w:val="18"/>
                <w:color w:val="auto"/>
              </w:rPr>
            </w:pPr>
          </w:p>
        </w:tc>
        <w:tc>
          <w:tcPr>
            <w:tcW w:w="220" w:type="dxa"/>
            <w:vAlign w:val="bottom"/>
            <w:tcBorders>
              <w:bottom w:val="single" w:sz="8" w:color="E7417A"/>
            </w:tcBorders>
          </w:tcPr>
          <w:p>
            <w:pPr>
              <w:spacing w:after="0"/>
              <w:rPr>
                <w:sz w:val="18"/>
                <w:szCs w:val="18"/>
                <w:color w:val="auto"/>
              </w:rPr>
            </w:pPr>
          </w:p>
        </w:tc>
        <w:tc>
          <w:tcPr>
            <w:tcW w:w="6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E7417A"/>
            </w:tcBorders>
            <w:shd w:val="clear" w:color="auto" w:fill="F2F2F2"/>
          </w:tcPr>
          <w:p>
            <w:pPr>
              <w:ind w:left="1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E7417A"/>
            </w:tcBorders>
            <w:shd w:val="clear" w:color="auto" w:fill="F2F2F2"/>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E7417A"/>
            </w:tcBorders>
            <w:shd w:val="clear" w:color="auto" w:fill="F2F2F2"/>
          </w:tcPr>
          <w:p>
            <w:pPr>
              <w:ind w:left="60"/>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86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5"/>
                <w:szCs w:val="15"/>
                <w:color w:val="auto"/>
              </w:rPr>
              <w:t>11,685,408</w:t>
            </w:r>
          </w:p>
        </w:tc>
        <w:tc>
          <w:tcPr>
            <w:tcW w:w="2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E7417A"/>
            </w:tcBorders>
            <w:shd w:val="clear" w:color="auto" w:fill="F2F2F2"/>
          </w:tcPr>
          <w:p>
            <w:pPr>
              <w:spacing w:after="0"/>
              <w:rPr>
                <w:sz w:val="18"/>
                <w:szCs w:val="18"/>
                <w:color w:val="auto"/>
              </w:rPr>
            </w:pPr>
          </w:p>
        </w:tc>
        <w:tc>
          <w:tcPr>
            <w:tcW w:w="18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E7417A"/>
            </w:tcBorders>
            <w:shd w:val="clear" w:color="auto" w:fill="F2F2F2"/>
          </w:tcPr>
          <w:p>
            <w:pPr>
              <w:ind w:left="220"/>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60" w:type="dxa"/>
            <w:vAlign w:val="bottom"/>
            <w:tcBorders>
              <w:bottom w:val="single" w:sz="8" w:color="E7417A"/>
            </w:tcBorders>
            <w:shd w:val="clear" w:color="auto" w:fill="F2F2F2"/>
          </w:tcPr>
          <w:p>
            <w:pPr>
              <w:spacing w:after="0"/>
              <w:rPr>
                <w:sz w:val="18"/>
                <w:szCs w:val="18"/>
                <w:color w:val="auto"/>
              </w:rPr>
            </w:pPr>
          </w:p>
        </w:tc>
        <w:tc>
          <w:tcPr>
            <w:tcW w:w="900" w:type="dxa"/>
            <w:vAlign w:val="bottom"/>
            <w:tcBorders>
              <w:bottom w:val="single" w:sz="8" w:color="E7417A"/>
            </w:tcBorders>
            <w:shd w:val="clear" w:color="auto" w:fill="F2F2F2"/>
          </w:tcPr>
          <w:p>
            <w:pPr>
              <w:jc w:val="right"/>
              <w:ind w:right="124"/>
              <w:spacing w:after="0"/>
              <w:rPr>
                <w:sz w:val="20"/>
                <w:szCs w:val="20"/>
                <w:color w:val="auto"/>
              </w:rPr>
            </w:pPr>
            <w:r>
              <w:rPr>
                <w:rFonts w:ascii="Arial" w:cs="Arial" w:eastAsia="Arial" w:hAnsi="Arial"/>
                <w:sz w:val="15"/>
                <w:szCs w:val="15"/>
                <w:color w:val="auto"/>
              </w:rPr>
              <w:t>3,914,826</w:t>
            </w:r>
          </w:p>
        </w:tc>
        <w:tc>
          <w:tcPr>
            <w:tcW w:w="22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E7417A"/>
            </w:tcBorders>
            <w:shd w:val="clear" w:color="auto" w:fill="F2F2F2"/>
          </w:tcPr>
          <w:p>
            <w:pPr>
              <w:ind w:left="240"/>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1040" w:type="dxa"/>
            <w:vAlign w:val="bottom"/>
            <w:tcBorders>
              <w:bottom w:val="single" w:sz="8" w:color="E7417A"/>
            </w:tcBorders>
            <w:shd w:val="clear" w:color="auto" w:fill="F2F2F2"/>
          </w:tcPr>
          <w:p>
            <w:pPr>
              <w:jc w:val="right"/>
              <w:ind w:right="164"/>
              <w:spacing w:after="0"/>
              <w:rPr>
                <w:sz w:val="20"/>
                <w:szCs w:val="20"/>
                <w:color w:val="auto"/>
              </w:rPr>
            </w:pPr>
            <w:r>
              <w:rPr>
                <w:rFonts w:ascii="Arial" w:cs="Arial" w:eastAsia="Arial" w:hAnsi="Arial"/>
                <w:sz w:val="15"/>
                <w:szCs w:val="15"/>
                <w:color w:val="auto"/>
              </w:rPr>
              <w:t>17,759,267</w:t>
            </w:r>
          </w:p>
        </w:tc>
        <w:tc>
          <w:tcPr>
            <w:tcW w:w="14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John Townsend</w:t>
            </w:r>
          </w:p>
        </w:tc>
        <w:tc>
          <w:tcPr>
            <w:tcW w:w="220" w:type="dxa"/>
            <w:vAlign w:val="bottom"/>
          </w:tcPr>
          <w:p>
            <w:pPr>
              <w:ind w:left="14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Cash Severance</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4C4C4C"/>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6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auto"/>
              </w:rPr>
              <w:t>362,500</w:t>
            </w:r>
          </w:p>
        </w:tc>
        <w:tc>
          <w:tcPr>
            <w:tcW w:w="260" w:type="dxa"/>
            <w:vAlign w:val="bottom"/>
            <w:tcBorders>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gridSpan w:val="2"/>
          </w:tcPr>
          <w:p>
            <w:pPr>
              <w:ind w:left="220"/>
              <w:spacing w:after="0"/>
              <w:rPr>
                <w:sz w:val="20"/>
                <w:szCs w:val="20"/>
                <w:color w:val="auto"/>
              </w:rPr>
            </w:pPr>
            <w:r>
              <w:rPr>
                <w:rFonts w:ascii="Arial" w:cs="Arial" w:eastAsia="Arial" w:hAnsi="Arial"/>
                <w:sz w:val="15"/>
                <w:szCs w:val="15"/>
                <w:color w:val="auto"/>
              </w:rPr>
              <w:t>​ ​</w:t>
            </w:r>
          </w:p>
        </w:tc>
        <w:tc>
          <w:tcPr>
            <w:tcW w:w="900" w:type="dxa"/>
            <w:vAlign w:val="bottom"/>
            <w:tcBorders>
              <w:bottom w:val="single" w:sz="8" w:color="4C4C4C"/>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040" w:type="dxa"/>
            <w:vAlign w:val="bottom"/>
            <w:tcBorders>
              <w:bottom w:val="single" w:sz="8" w:color="4C4C4C"/>
            </w:tcBorders>
          </w:tcPr>
          <w:p>
            <w:pPr>
              <w:jc w:val="right"/>
              <w:ind w:right="164"/>
              <w:spacing w:after="0"/>
              <w:rPr>
                <w:sz w:val="20"/>
                <w:szCs w:val="20"/>
                <w:color w:val="auto"/>
              </w:rPr>
            </w:pPr>
            <w:r>
              <w:rPr>
                <w:rFonts w:ascii="Arial" w:cs="Arial" w:eastAsia="Arial" w:hAnsi="Arial"/>
                <w:sz w:val="15"/>
                <w:szCs w:val="15"/>
                <w:color w:val="auto"/>
              </w:rPr>
              <w:t>987,500</w:t>
            </w:r>
          </w:p>
        </w:tc>
        <w:tc>
          <w:tcPr>
            <w:tcW w:w="14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Stock Awards</w:t>
            </w:r>
            <w:r>
              <w:rPr>
                <w:rFonts w:ascii="Arial" w:cs="Arial" w:eastAsia="Arial" w:hAnsi="Arial"/>
                <w:sz w:val="19"/>
                <w:szCs w:val="19"/>
                <w:color w:val="auto"/>
                <w:vertAlign w:val="superscript"/>
              </w:rPr>
              <w:t>(2)</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4C4C4C"/>
            </w:tcBorders>
          </w:tcPr>
          <w:p>
            <w:pPr>
              <w:ind w:left="6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86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auto"/>
              </w:rPr>
              <w:t>210,314</w:t>
            </w:r>
          </w:p>
        </w:tc>
        <w:tc>
          <w:tcPr>
            <w:tcW w:w="260" w:type="dxa"/>
            <w:vAlign w:val="bottom"/>
            <w:tcBorders>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4C4C4C"/>
            </w:tcBorders>
          </w:tcPr>
          <w:p>
            <w:pPr>
              <w:ind w:left="22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60" w:type="dxa"/>
            <w:vAlign w:val="bottom"/>
            <w:tcBorders>
              <w:bottom w:val="single" w:sz="8" w:color="4C4C4C"/>
            </w:tcBorders>
          </w:tcPr>
          <w:p>
            <w:pPr>
              <w:spacing w:after="0"/>
              <w:rPr>
                <w:sz w:val="19"/>
                <w:szCs w:val="19"/>
                <w:color w:val="auto"/>
              </w:rPr>
            </w:pPr>
          </w:p>
        </w:tc>
        <w:tc>
          <w:tcPr>
            <w:tcW w:w="900" w:type="dxa"/>
            <w:vAlign w:val="bottom"/>
            <w:tcBorders>
              <w:bottom w:val="single" w:sz="8" w:color="4C4C4C"/>
            </w:tcBorders>
          </w:tcPr>
          <w:p>
            <w:pPr>
              <w:jc w:val="right"/>
              <w:ind w:right="124"/>
              <w:spacing w:after="0"/>
              <w:rPr>
                <w:sz w:val="20"/>
                <w:szCs w:val="20"/>
                <w:color w:val="auto"/>
              </w:rPr>
            </w:pPr>
            <w:r>
              <w:rPr>
                <w:rFonts w:ascii="Arial" w:cs="Arial" w:eastAsia="Arial" w:hAnsi="Arial"/>
                <w:sz w:val="15"/>
                <w:szCs w:val="15"/>
                <w:color w:val="auto"/>
              </w:rPr>
              <w:t>221,538</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tcPr>
          <w:p>
            <w:pPr>
              <w:ind w:left="24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40" w:type="dxa"/>
            <w:vAlign w:val="bottom"/>
            <w:tcBorders>
              <w:bottom w:val="single" w:sz="8" w:color="4C4C4C"/>
            </w:tcBorders>
          </w:tcPr>
          <w:p>
            <w:pPr>
              <w:jc w:val="right"/>
              <w:ind w:right="164"/>
              <w:spacing w:after="0"/>
              <w:rPr>
                <w:sz w:val="20"/>
                <w:szCs w:val="20"/>
                <w:color w:val="auto"/>
              </w:rPr>
            </w:pPr>
            <w:r>
              <w:rPr>
                <w:rFonts w:ascii="Arial" w:cs="Arial" w:eastAsia="Arial" w:hAnsi="Arial"/>
                <w:sz w:val="15"/>
                <w:szCs w:val="15"/>
                <w:color w:val="auto"/>
              </w:rPr>
              <w:t>874,928</w:t>
            </w:r>
          </w:p>
        </w:tc>
        <w:tc>
          <w:tcPr>
            <w:tcW w:w="14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Health Benefits</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4C4C4C"/>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6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auto"/>
              </w:rPr>
              <w:t>21,000</w:t>
            </w:r>
          </w:p>
        </w:tc>
        <w:tc>
          <w:tcPr>
            <w:tcW w:w="260" w:type="dxa"/>
            <w:vAlign w:val="bottom"/>
            <w:tcBorders>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4C4C4C"/>
            </w:tcBorders>
          </w:tcPr>
          <w:p>
            <w:pPr>
              <w:ind w:left="2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4C4C4C"/>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040" w:type="dxa"/>
            <w:vAlign w:val="bottom"/>
            <w:tcBorders>
              <w:bottom w:val="single" w:sz="8" w:color="4C4C4C"/>
            </w:tcBorders>
          </w:tcPr>
          <w:p>
            <w:pPr>
              <w:jc w:val="right"/>
              <w:ind w:right="164"/>
              <w:spacing w:after="0"/>
              <w:rPr>
                <w:sz w:val="20"/>
                <w:szCs w:val="20"/>
                <w:color w:val="auto"/>
              </w:rPr>
            </w:pPr>
            <w:r>
              <w:rPr>
                <w:rFonts w:ascii="Arial" w:cs="Arial" w:eastAsia="Arial" w:hAnsi="Arial"/>
                <w:sz w:val="15"/>
                <w:szCs w:val="15"/>
                <w:color w:val="auto"/>
              </w:rPr>
              <w:t>21,000</w:t>
            </w:r>
          </w:p>
        </w:tc>
        <w:tc>
          <w:tcPr>
            <w:tcW w:w="14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1460" w:type="dxa"/>
            <w:vAlign w:val="bottom"/>
            <w:tcBorders>
              <w:bottom w:val="single" w:sz="8" w:color="E7417A"/>
            </w:tcBorders>
          </w:tcPr>
          <w:p>
            <w:pPr>
              <w:spacing w:after="0"/>
              <w:rPr>
                <w:sz w:val="18"/>
                <w:szCs w:val="18"/>
                <w:color w:val="auto"/>
              </w:rPr>
            </w:pPr>
          </w:p>
        </w:tc>
        <w:tc>
          <w:tcPr>
            <w:tcW w:w="220" w:type="dxa"/>
            <w:vAlign w:val="bottom"/>
            <w:tcBorders>
              <w:bottom w:val="single" w:sz="8" w:color="E7417A"/>
            </w:tcBorders>
          </w:tcPr>
          <w:p>
            <w:pPr>
              <w:spacing w:after="0"/>
              <w:rPr>
                <w:sz w:val="18"/>
                <w:szCs w:val="18"/>
                <w:color w:val="auto"/>
              </w:rPr>
            </w:pPr>
          </w:p>
        </w:tc>
        <w:tc>
          <w:tcPr>
            <w:tcW w:w="6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E7417A"/>
            </w:tcBorders>
            <w:shd w:val="clear" w:color="auto" w:fill="F2F2F2"/>
          </w:tcPr>
          <w:p>
            <w:pPr>
              <w:ind w:left="1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E7417A"/>
            </w:tcBorders>
            <w:shd w:val="clear" w:color="auto" w:fill="F2F2F2"/>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E7417A"/>
            </w:tcBorders>
            <w:shd w:val="clear" w:color="auto" w:fill="F2F2F2"/>
          </w:tcPr>
          <w:p>
            <w:pPr>
              <w:ind w:left="6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86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5"/>
                <w:szCs w:val="15"/>
                <w:color w:val="auto"/>
              </w:rPr>
              <w:t>593,814</w:t>
            </w:r>
          </w:p>
        </w:tc>
        <w:tc>
          <w:tcPr>
            <w:tcW w:w="2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E7417A"/>
            </w:tcBorders>
            <w:shd w:val="clear" w:color="auto" w:fill="F2F2F2"/>
          </w:tcPr>
          <w:p>
            <w:pPr>
              <w:spacing w:after="0"/>
              <w:rPr>
                <w:sz w:val="18"/>
                <w:szCs w:val="18"/>
                <w:color w:val="auto"/>
              </w:rPr>
            </w:pPr>
          </w:p>
        </w:tc>
        <w:tc>
          <w:tcPr>
            <w:tcW w:w="18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E7417A"/>
            </w:tcBorders>
            <w:shd w:val="clear" w:color="auto" w:fill="F2F2F2"/>
          </w:tcPr>
          <w:p>
            <w:pPr>
              <w:ind w:left="22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60" w:type="dxa"/>
            <w:vAlign w:val="bottom"/>
            <w:tcBorders>
              <w:bottom w:val="single" w:sz="8" w:color="E7417A"/>
            </w:tcBorders>
            <w:shd w:val="clear" w:color="auto" w:fill="F2F2F2"/>
          </w:tcPr>
          <w:p>
            <w:pPr>
              <w:spacing w:after="0"/>
              <w:rPr>
                <w:sz w:val="18"/>
                <w:szCs w:val="18"/>
                <w:color w:val="auto"/>
              </w:rPr>
            </w:pPr>
          </w:p>
        </w:tc>
        <w:tc>
          <w:tcPr>
            <w:tcW w:w="900" w:type="dxa"/>
            <w:vAlign w:val="bottom"/>
            <w:tcBorders>
              <w:bottom w:val="single" w:sz="8" w:color="E7417A"/>
            </w:tcBorders>
            <w:shd w:val="clear" w:color="auto" w:fill="F2F2F2"/>
          </w:tcPr>
          <w:p>
            <w:pPr>
              <w:jc w:val="right"/>
              <w:ind w:right="124"/>
              <w:spacing w:after="0"/>
              <w:rPr>
                <w:sz w:val="20"/>
                <w:szCs w:val="20"/>
                <w:color w:val="auto"/>
              </w:rPr>
            </w:pPr>
            <w:r>
              <w:rPr>
                <w:rFonts w:ascii="Arial" w:cs="Arial" w:eastAsia="Arial" w:hAnsi="Arial"/>
                <w:sz w:val="15"/>
                <w:szCs w:val="15"/>
                <w:color w:val="auto"/>
              </w:rPr>
              <w:t>221,538</w:t>
            </w:r>
          </w:p>
        </w:tc>
        <w:tc>
          <w:tcPr>
            <w:tcW w:w="22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E7417A"/>
            </w:tcBorders>
            <w:shd w:val="clear" w:color="auto" w:fill="F2F2F2"/>
          </w:tcPr>
          <w:p>
            <w:pPr>
              <w:ind w:left="24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1040" w:type="dxa"/>
            <w:vAlign w:val="bottom"/>
            <w:tcBorders>
              <w:bottom w:val="single" w:sz="8" w:color="E7417A"/>
            </w:tcBorders>
            <w:shd w:val="clear" w:color="auto" w:fill="F2F2F2"/>
          </w:tcPr>
          <w:p>
            <w:pPr>
              <w:jc w:val="right"/>
              <w:ind w:right="164"/>
              <w:spacing w:after="0"/>
              <w:rPr>
                <w:sz w:val="20"/>
                <w:szCs w:val="20"/>
                <w:color w:val="auto"/>
              </w:rPr>
            </w:pPr>
            <w:r>
              <w:rPr>
                <w:rFonts w:ascii="Arial" w:cs="Arial" w:eastAsia="Arial" w:hAnsi="Arial"/>
                <w:sz w:val="15"/>
                <w:szCs w:val="15"/>
                <w:color w:val="auto"/>
              </w:rPr>
              <w:t>1,883,428</w:t>
            </w:r>
          </w:p>
        </w:tc>
        <w:tc>
          <w:tcPr>
            <w:tcW w:w="14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Sam Bucci</w:t>
            </w:r>
          </w:p>
        </w:tc>
        <w:tc>
          <w:tcPr>
            <w:tcW w:w="220" w:type="dxa"/>
            <w:vAlign w:val="bottom"/>
          </w:tcPr>
          <w:p>
            <w:pPr>
              <w:ind w:left="14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Cash Severance</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4C4C4C"/>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6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auto"/>
              </w:rPr>
              <w:t>604,068</w:t>
            </w:r>
          </w:p>
        </w:tc>
        <w:tc>
          <w:tcPr>
            <w:tcW w:w="260" w:type="dxa"/>
            <w:vAlign w:val="bottom"/>
            <w:tcBorders>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gridSpan w:val="2"/>
          </w:tcPr>
          <w:p>
            <w:pPr>
              <w:ind w:left="220"/>
              <w:spacing w:after="0"/>
              <w:rPr>
                <w:sz w:val="20"/>
                <w:szCs w:val="20"/>
                <w:color w:val="auto"/>
              </w:rPr>
            </w:pPr>
            <w:r>
              <w:rPr>
                <w:rFonts w:ascii="Arial" w:cs="Arial" w:eastAsia="Arial" w:hAnsi="Arial"/>
                <w:sz w:val="15"/>
                <w:szCs w:val="15"/>
                <w:color w:val="auto"/>
              </w:rPr>
              <w:t>​ ​</w:t>
            </w:r>
          </w:p>
        </w:tc>
        <w:tc>
          <w:tcPr>
            <w:tcW w:w="900" w:type="dxa"/>
            <w:vAlign w:val="bottom"/>
            <w:tcBorders>
              <w:bottom w:val="single" w:sz="8" w:color="4C4C4C"/>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040" w:type="dxa"/>
            <w:vAlign w:val="bottom"/>
            <w:tcBorders>
              <w:bottom w:val="single" w:sz="8" w:color="4C4C4C"/>
            </w:tcBorders>
          </w:tcPr>
          <w:p>
            <w:pPr>
              <w:jc w:val="right"/>
              <w:ind w:right="164"/>
              <w:spacing w:after="0"/>
              <w:rPr>
                <w:sz w:val="20"/>
                <w:szCs w:val="20"/>
                <w:color w:val="auto"/>
              </w:rPr>
            </w:pPr>
            <w:r>
              <w:rPr>
                <w:rFonts w:ascii="Arial" w:cs="Arial" w:eastAsia="Arial" w:hAnsi="Arial"/>
                <w:sz w:val="15"/>
                <w:szCs w:val="15"/>
                <w:color w:val="auto"/>
              </w:rPr>
              <w:t>1,010,890</w:t>
            </w:r>
          </w:p>
        </w:tc>
        <w:tc>
          <w:tcPr>
            <w:tcW w:w="14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Stock Awards</w:t>
            </w:r>
            <w:r>
              <w:rPr>
                <w:rFonts w:ascii="Arial" w:cs="Arial" w:eastAsia="Arial" w:hAnsi="Arial"/>
                <w:sz w:val="19"/>
                <w:szCs w:val="19"/>
                <w:color w:val="auto"/>
                <w:vertAlign w:val="superscript"/>
              </w:rPr>
              <w:t>(2)</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4C4C4C"/>
            </w:tcBorders>
          </w:tcPr>
          <w:p>
            <w:pPr>
              <w:ind w:left="6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86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auto"/>
              </w:rPr>
              <w:t>1,369,395</w:t>
            </w:r>
          </w:p>
        </w:tc>
        <w:tc>
          <w:tcPr>
            <w:tcW w:w="260" w:type="dxa"/>
            <w:vAlign w:val="bottom"/>
            <w:tcBorders>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4C4C4C"/>
            </w:tcBorders>
          </w:tcPr>
          <w:p>
            <w:pPr>
              <w:ind w:left="22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60" w:type="dxa"/>
            <w:vAlign w:val="bottom"/>
            <w:tcBorders>
              <w:bottom w:val="single" w:sz="8" w:color="4C4C4C"/>
            </w:tcBorders>
          </w:tcPr>
          <w:p>
            <w:pPr>
              <w:spacing w:after="0"/>
              <w:rPr>
                <w:sz w:val="19"/>
                <w:szCs w:val="19"/>
                <w:color w:val="auto"/>
              </w:rPr>
            </w:pPr>
          </w:p>
        </w:tc>
        <w:tc>
          <w:tcPr>
            <w:tcW w:w="900" w:type="dxa"/>
            <w:vAlign w:val="bottom"/>
            <w:tcBorders>
              <w:bottom w:val="single" w:sz="8" w:color="4C4C4C"/>
            </w:tcBorders>
          </w:tcPr>
          <w:p>
            <w:pPr>
              <w:jc w:val="right"/>
              <w:ind w:right="124"/>
              <w:spacing w:after="0"/>
              <w:rPr>
                <w:sz w:val="20"/>
                <w:szCs w:val="20"/>
                <w:color w:val="auto"/>
              </w:rPr>
            </w:pPr>
            <w:r>
              <w:rPr>
                <w:rFonts w:ascii="Arial" w:cs="Arial" w:eastAsia="Arial" w:hAnsi="Arial"/>
                <w:sz w:val="15"/>
                <w:szCs w:val="15"/>
                <w:color w:val="auto"/>
              </w:rPr>
              <w:t>415,613</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tcPr>
          <w:p>
            <w:pPr>
              <w:ind w:left="24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40" w:type="dxa"/>
            <w:vAlign w:val="bottom"/>
            <w:tcBorders>
              <w:bottom w:val="single" w:sz="8" w:color="4C4C4C"/>
            </w:tcBorders>
          </w:tcPr>
          <w:p>
            <w:pPr>
              <w:jc w:val="right"/>
              <w:ind w:right="164"/>
              <w:spacing w:after="0"/>
              <w:rPr>
                <w:sz w:val="20"/>
                <w:szCs w:val="20"/>
                <w:color w:val="auto"/>
              </w:rPr>
            </w:pPr>
            <w:r>
              <w:rPr>
                <w:rFonts w:ascii="Arial" w:cs="Arial" w:eastAsia="Arial" w:hAnsi="Arial"/>
                <w:sz w:val="15"/>
                <w:szCs w:val="15"/>
                <w:color w:val="auto"/>
              </w:rPr>
              <w:t>2,506,607</w:t>
            </w:r>
          </w:p>
        </w:tc>
        <w:tc>
          <w:tcPr>
            <w:tcW w:w="14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Health Benefits</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4C4C4C"/>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6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auto"/>
              </w:rPr>
              <w:t>6,747</w:t>
            </w:r>
          </w:p>
        </w:tc>
        <w:tc>
          <w:tcPr>
            <w:tcW w:w="260" w:type="dxa"/>
            <w:vAlign w:val="bottom"/>
            <w:tcBorders>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4C4C4C"/>
            </w:tcBorders>
          </w:tcPr>
          <w:p>
            <w:pPr>
              <w:ind w:left="2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4C4C4C"/>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040" w:type="dxa"/>
            <w:vAlign w:val="bottom"/>
            <w:tcBorders>
              <w:bottom w:val="single" w:sz="8" w:color="4C4C4C"/>
            </w:tcBorders>
          </w:tcPr>
          <w:p>
            <w:pPr>
              <w:jc w:val="right"/>
              <w:ind w:right="164"/>
              <w:spacing w:after="0"/>
              <w:rPr>
                <w:sz w:val="20"/>
                <w:szCs w:val="20"/>
                <w:color w:val="auto"/>
              </w:rPr>
            </w:pPr>
            <w:r>
              <w:rPr>
                <w:rFonts w:ascii="Arial" w:cs="Arial" w:eastAsia="Arial" w:hAnsi="Arial"/>
                <w:sz w:val="15"/>
                <w:szCs w:val="15"/>
                <w:color w:val="auto"/>
              </w:rPr>
              <w:t>6,747</w:t>
            </w:r>
          </w:p>
        </w:tc>
        <w:tc>
          <w:tcPr>
            <w:tcW w:w="14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1460" w:type="dxa"/>
            <w:vAlign w:val="bottom"/>
            <w:tcBorders>
              <w:bottom w:val="single" w:sz="8" w:color="E7417A"/>
            </w:tcBorders>
          </w:tcPr>
          <w:p>
            <w:pPr>
              <w:spacing w:after="0"/>
              <w:rPr>
                <w:sz w:val="18"/>
                <w:szCs w:val="18"/>
                <w:color w:val="auto"/>
              </w:rPr>
            </w:pPr>
          </w:p>
        </w:tc>
        <w:tc>
          <w:tcPr>
            <w:tcW w:w="220" w:type="dxa"/>
            <w:vAlign w:val="bottom"/>
            <w:tcBorders>
              <w:bottom w:val="single" w:sz="8" w:color="E7417A"/>
            </w:tcBorders>
          </w:tcPr>
          <w:p>
            <w:pPr>
              <w:spacing w:after="0"/>
              <w:rPr>
                <w:sz w:val="18"/>
                <w:szCs w:val="18"/>
                <w:color w:val="auto"/>
              </w:rPr>
            </w:pPr>
          </w:p>
        </w:tc>
        <w:tc>
          <w:tcPr>
            <w:tcW w:w="6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E7417A"/>
            </w:tcBorders>
            <w:shd w:val="clear" w:color="auto" w:fill="F2F2F2"/>
          </w:tcPr>
          <w:p>
            <w:pPr>
              <w:ind w:left="1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E7417A"/>
            </w:tcBorders>
            <w:shd w:val="clear" w:color="auto" w:fill="F2F2F2"/>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E7417A"/>
            </w:tcBorders>
            <w:shd w:val="clear" w:color="auto" w:fill="F2F2F2"/>
          </w:tcPr>
          <w:p>
            <w:pPr>
              <w:ind w:left="60"/>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86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5"/>
                <w:szCs w:val="15"/>
                <w:color w:val="auto"/>
              </w:rPr>
              <w:t>1,980,211</w:t>
            </w:r>
          </w:p>
        </w:tc>
        <w:tc>
          <w:tcPr>
            <w:tcW w:w="2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E7417A"/>
            </w:tcBorders>
            <w:shd w:val="clear" w:color="auto" w:fill="F2F2F2"/>
          </w:tcPr>
          <w:p>
            <w:pPr>
              <w:spacing w:after="0"/>
              <w:rPr>
                <w:sz w:val="18"/>
                <w:szCs w:val="18"/>
                <w:color w:val="auto"/>
              </w:rPr>
            </w:pPr>
          </w:p>
        </w:tc>
        <w:tc>
          <w:tcPr>
            <w:tcW w:w="18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E7417A"/>
            </w:tcBorders>
            <w:shd w:val="clear" w:color="auto" w:fill="F2F2F2"/>
          </w:tcPr>
          <w:p>
            <w:pPr>
              <w:ind w:left="220"/>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60" w:type="dxa"/>
            <w:vAlign w:val="bottom"/>
            <w:tcBorders>
              <w:bottom w:val="single" w:sz="8" w:color="E7417A"/>
            </w:tcBorders>
            <w:shd w:val="clear" w:color="auto" w:fill="F2F2F2"/>
          </w:tcPr>
          <w:p>
            <w:pPr>
              <w:spacing w:after="0"/>
              <w:rPr>
                <w:sz w:val="18"/>
                <w:szCs w:val="18"/>
                <w:color w:val="auto"/>
              </w:rPr>
            </w:pPr>
          </w:p>
        </w:tc>
        <w:tc>
          <w:tcPr>
            <w:tcW w:w="900" w:type="dxa"/>
            <w:vAlign w:val="bottom"/>
            <w:tcBorders>
              <w:bottom w:val="single" w:sz="8" w:color="E7417A"/>
            </w:tcBorders>
            <w:shd w:val="clear" w:color="auto" w:fill="F2F2F2"/>
          </w:tcPr>
          <w:p>
            <w:pPr>
              <w:jc w:val="right"/>
              <w:ind w:right="124"/>
              <w:spacing w:after="0"/>
              <w:rPr>
                <w:sz w:val="20"/>
                <w:szCs w:val="20"/>
                <w:color w:val="auto"/>
              </w:rPr>
            </w:pPr>
            <w:r>
              <w:rPr>
                <w:rFonts w:ascii="Arial" w:cs="Arial" w:eastAsia="Arial" w:hAnsi="Arial"/>
                <w:sz w:val="15"/>
                <w:szCs w:val="15"/>
                <w:color w:val="auto"/>
              </w:rPr>
              <w:t>415,613</w:t>
            </w:r>
          </w:p>
        </w:tc>
        <w:tc>
          <w:tcPr>
            <w:tcW w:w="22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E7417A"/>
            </w:tcBorders>
            <w:shd w:val="clear" w:color="auto" w:fill="F2F2F2"/>
          </w:tcPr>
          <w:p>
            <w:pPr>
              <w:ind w:left="240"/>
              <w:spacing w:after="0" w:line="21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w:t>
            </w:r>
          </w:p>
        </w:tc>
        <w:tc>
          <w:tcPr>
            <w:tcW w:w="1040" w:type="dxa"/>
            <w:vAlign w:val="bottom"/>
            <w:tcBorders>
              <w:bottom w:val="single" w:sz="8" w:color="E7417A"/>
            </w:tcBorders>
            <w:shd w:val="clear" w:color="auto" w:fill="F2F2F2"/>
          </w:tcPr>
          <w:p>
            <w:pPr>
              <w:jc w:val="right"/>
              <w:ind w:right="164"/>
              <w:spacing w:after="0"/>
              <w:rPr>
                <w:sz w:val="20"/>
                <w:szCs w:val="20"/>
                <w:color w:val="auto"/>
              </w:rPr>
            </w:pPr>
            <w:r>
              <w:rPr>
                <w:rFonts w:ascii="Arial" w:cs="Arial" w:eastAsia="Arial" w:hAnsi="Arial"/>
                <w:sz w:val="15"/>
                <w:szCs w:val="15"/>
                <w:color w:val="auto"/>
              </w:rPr>
              <w:t>3,524,244</w:t>
            </w:r>
          </w:p>
        </w:tc>
        <w:tc>
          <w:tcPr>
            <w:tcW w:w="14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Patrick Macken</w:t>
            </w:r>
          </w:p>
        </w:tc>
        <w:tc>
          <w:tcPr>
            <w:tcW w:w="220" w:type="dxa"/>
            <w:vAlign w:val="bottom"/>
          </w:tcPr>
          <w:p>
            <w:pPr>
              <w:ind w:left="14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Cash Severance</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4C4C4C"/>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6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auto"/>
              </w:rPr>
              <w:t>586,163</w:t>
            </w:r>
          </w:p>
        </w:tc>
        <w:tc>
          <w:tcPr>
            <w:tcW w:w="260" w:type="dxa"/>
            <w:vAlign w:val="bottom"/>
            <w:tcBorders>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gridSpan w:val="2"/>
          </w:tcPr>
          <w:p>
            <w:pPr>
              <w:ind w:left="220"/>
              <w:spacing w:after="0"/>
              <w:rPr>
                <w:sz w:val="20"/>
                <w:szCs w:val="20"/>
                <w:color w:val="auto"/>
              </w:rPr>
            </w:pPr>
            <w:r>
              <w:rPr>
                <w:rFonts w:ascii="Arial" w:cs="Arial" w:eastAsia="Arial" w:hAnsi="Arial"/>
                <w:sz w:val="15"/>
                <w:szCs w:val="15"/>
                <w:color w:val="auto"/>
              </w:rPr>
              <w:t>​ ​</w:t>
            </w:r>
          </w:p>
        </w:tc>
        <w:tc>
          <w:tcPr>
            <w:tcW w:w="900" w:type="dxa"/>
            <w:vAlign w:val="bottom"/>
            <w:tcBorders>
              <w:bottom w:val="single" w:sz="8" w:color="4C4C4C"/>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040" w:type="dxa"/>
            <w:vAlign w:val="bottom"/>
            <w:tcBorders>
              <w:bottom w:val="single" w:sz="8" w:color="4C4C4C"/>
            </w:tcBorders>
          </w:tcPr>
          <w:p>
            <w:pPr>
              <w:jc w:val="right"/>
              <w:ind w:right="164"/>
              <w:spacing w:after="0"/>
              <w:rPr>
                <w:sz w:val="20"/>
                <w:szCs w:val="20"/>
                <w:color w:val="auto"/>
              </w:rPr>
            </w:pPr>
            <w:r>
              <w:rPr>
                <w:rFonts w:ascii="Arial" w:cs="Arial" w:eastAsia="Arial" w:hAnsi="Arial"/>
                <w:sz w:val="15"/>
                <w:szCs w:val="15"/>
                <w:color w:val="auto"/>
              </w:rPr>
              <w:t>945,038</w:t>
            </w:r>
          </w:p>
        </w:tc>
        <w:tc>
          <w:tcPr>
            <w:tcW w:w="14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Stock Awards</w:t>
            </w:r>
            <w:r>
              <w:rPr>
                <w:rFonts w:ascii="Arial" w:cs="Arial" w:eastAsia="Arial" w:hAnsi="Arial"/>
                <w:sz w:val="19"/>
                <w:szCs w:val="19"/>
                <w:color w:val="auto"/>
                <w:vertAlign w:val="superscript"/>
              </w:rPr>
              <w:t>(2)</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4C4C4C"/>
            </w:tcBorders>
          </w:tcPr>
          <w:p>
            <w:pPr>
              <w:ind w:left="6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86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auto"/>
              </w:rPr>
              <w:t>993,423</w:t>
            </w:r>
          </w:p>
        </w:tc>
        <w:tc>
          <w:tcPr>
            <w:tcW w:w="260" w:type="dxa"/>
            <w:vAlign w:val="bottom"/>
            <w:tcBorders>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4C4C4C"/>
            </w:tcBorders>
          </w:tcPr>
          <w:p>
            <w:pPr>
              <w:ind w:left="22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60" w:type="dxa"/>
            <w:vAlign w:val="bottom"/>
            <w:tcBorders>
              <w:bottom w:val="single" w:sz="8" w:color="4C4C4C"/>
            </w:tcBorders>
          </w:tcPr>
          <w:p>
            <w:pPr>
              <w:spacing w:after="0"/>
              <w:rPr>
                <w:sz w:val="19"/>
                <w:szCs w:val="19"/>
                <w:color w:val="auto"/>
              </w:rPr>
            </w:pPr>
          </w:p>
        </w:tc>
        <w:tc>
          <w:tcPr>
            <w:tcW w:w="900" w:type="dxa"/>
            <w:vAlign w:val="bottom"/>
            <w:tcBorders>
              <w:bottom w:val="single" w:sz="8" w:color="4C4C4C"/>
            </w:tcBorders>
          </w:tcPr>
          <w:p>
            <w:pPr>
              <w:jc w:val="right"/>
              <w:ind w:right="124"/>
              <w:spacing w:after="0"/>
              <w:rPr>
                <w:sz w:val="20"/>
                <w:szCs w:val="20"/>
                <w:color w:val="auto"/>
              </w:rPr>
            </w:pPr>
            <w:r>
              <w:rPr>
                <w:rFonts w:ascii="Arial" w:cs="Arial" w:eastAsia="Arial" w:hAnsi="Arial"/>
                <w:sz w:val="15"/>
                <w:szCs w:val="15"/>
                <w:color w:val="auto"/>
              </w:rPr>
              <w:t>301,553</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tcPr>
          <w:p>
            <w:pPr>
              <w:ind w:left="24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40" w:type="dxa"/>
            <w:vAlign w:val="bottom"/>
            <w:tcBorders>
              <w:bottom w:val="single" w:sz="8" w:color="4C4C4C"/>
            </w:tcBorders>
          </w:tcPr>
          <w:p>
            <w:pPr>
              <w:jc w:val="right"/>
              <w:ind w:right="164"/>
              <w:spacing w:after="0"/>
              <w:rPr>
                <w:sz w:val="20"/>
                <w:szCs w:val="20"/>
                <w:color w:val="auto"/>
              </w:rPr>
            </w:pPr>
            <w:r>
              <w:rPr>
                <w:rFonts w:ascii="Arial" w:cs="Arial" w:eastAsia="Arial" w:hAnsi="Arial"/>
                <w:sz w:val="15"/>
                <w:szCs w:val="15"/>
                <w:color w:val="auto"/>
              </w:rPr>
              <w:t>1,792,051</w:t>
            </w:r>
          </w:p>
        </w:tc>
        <w:tc>
          <w:tcPr>
            <w:tcW w:w="14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Health Benefits</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4C4C4C"/>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6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auto"/>
              </w:rPr>
              <w:t>31,165</w:t>
            </w:r>
          </w:p>
        </w:tc>
        <w:tc>
          <w:tcPr>
            <w:tcW w:w="260" w:type="dxa"/>
            <w:vAlign w:val="bottom"/>
            <w:tcBorders>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4C4C4C"/>
            </w:tcBorders>
          </w:tcPr>
          <w:p>
            <w:pPr>
              <w:ind w:left="2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4C4C4C"/>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040" w:type="dxa"/>
            <w:vAlign w:val="bottom"/>
            <w:tcBorders>
              <w:bottom w:val="single" w:sz="8" w:color="4C4C4C"/>
            </w:tcBorders>
          </w:tcPr>
          <w:p>
            <w:pPr>
              <w:jc w:val="right"/>
              <w:ind w:right="164"/>
              <w:spacing w:after="0"/>
              <w:rPr>
                <w:sz w:val="20"/>
                <w:szCs w:val="20"/>
                <w:color w:val="auto"/>
              </w:rPr>
            </w:pPr>
            <w:r>
              <w:rPr>
                <w:rFonts w:ascii="Arial" w:cs="Arial" w:eastAsia="Arial" w:hAnsi="Arial"/>
                <w:sz w:val="15"/>
                <w:szCs w:val="15"/>
                <w:color w:val="auto"/>
              </w:rPr>
              <w:t>31,165</w:t>
            </w:r>
          </w:p>
        </w:tc>
        <w:tc>
          <w:tcPr>
            <w:tcW w:w="14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1460" w:type="dxa"/>
            <w:vAlign w:val="bottom"/>
            <w:tcBorders>
              <w:bottom w:val="single" w:sz="8" w:color="E7417A"/>
            </w:tcBorders>
          </w:tcPr>
          <w:p>
            <w:pPr>
              <w:spacing w:after="0"/>
              <w:rPr>
                <w:sz w:val="18"/>
                <w:szCs w:val="18"/>
                <w:color w:val="auto"/>
              </w:rPr>
            </w:pPr>
          </w:p>
        </w:tc>
        <w:tc>
          <w:tcPr>
            <w:tcW w:w="220" w:type="dxa"/>
            <w:vAlign w:val="bottom"/>
            <w:tcBorders>
              <w:bottom w:val="single" w:sz="8" w:color="E7417A"/>
            </w:tcBorders>
          </w:tcPr>
          <w:p>
            <w:pPr>
              <w:spacing w:after="0"/>
              <w:rPr>
                <w:sz w:val="18"/>
                <w:szCs w:val="18"/>
                <w:color w:val="auto"/>
              </w:rPr>
            </w:pPr>
          </w:p>
        </w:tc>
        <w:tc>
          <w:tcPr>
            <w:tcW w:w="60" w:type="dxa"/>
            <w:vAlign w:val="bottom"/>
            <w:tcBorders>
              <w:bottom w:val="single" w:sz="8" w:color="E7417A"/>
            </w:tcBorders>
            <w:shd w:val="clear" w:color="auto" w:fill="F2F2F2"/>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E7417A"/>
            </w:tcBorders>
            <w:shd w:val="clear" w:color="auto" w:fill="F2F2F2"/>
          </w:tcPr>
          <w:p>
            <w:pPr>
              <w:ind w:left="1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E7417A"/>
            </w:tcBorders>
            <w:shd w:val="clear" w:color="auto" w:fill="F2F2F2"/>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E7417A"/>
            </w:tcBorders>
            <w:shd w:val="clear" w:color="auto" w:fill="F2F2F2"/>
          </w:tcPr>
          <w:p>
            <w:pPr>
              <w:ind w:left="6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860" w:type="dxa"/>
            <w:vAlign w:val="bottom"/>
            <w:tcBorders>
              <w:bottom w:val="single" w:sz="8" w:color="E7417A"/>
            </w:tcBorders>
            <w:shd w:val="clear" w:color="auto" w:fill="F2F2F2"/>
          </w:tcPr>
          <w:p>
            <w:pPr>
              <w:jc w:val="right"/>
              <w:spacing w:after="0"/>
              <w:rPr>
                <w:sz w:val="20"/>
                <w:szCs w:val="20"/>
                <w:color w:val="auto"/>
              </w:rPr>
            </w:pPr>
            <w:r>
              <w:rPr>
                <w:rFonts w:ascii="Arial" w:cs="Arial" w:eastAsia="Arial" w:hAnsi="Arial"/>
                <w:sz w:val="15"/>
                <w:szCs w:val="15"/>
                <w:color w:val="auto"/>
              </w:rPr>
              <w:t>1,610,751</w:t>
            </w:r>
          </w:p>
        </w:tc>
        <w:tc>
          <w:tcPr>
            <w:tcW w:w="26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E7417A"/>
            </w:tcBorders>
            <w:shd w:val="clear" w:color="auto" w:fill="F2F2F2"/>
          </w:tcPr>
          <w:p>
            <w:pPr>
              <w:spacing w:after="0"/>
              <w:rPr>
                <w:sz w:val="18"/>
                <w:szCs w:val="18"/>
                <w:color w:val="auto"/>
              </w:rPr>
            </w:pPr>
          </w:p>
        </w:tc>
        <w:tc>
          <w:tcPr>
            <w:tcW w:w="18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E7417A"/>
            </w:tcBorders>
            <w:shd w:val="clear" w:color="auto" w:fill="F2F2F2"/>
          </w:tcPr>
          <w:p>
            <w:pPr>
              <w:ind w:left="22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60" w:type="dxa"/>
            <w:vAlign w:val="bottom"/>
            <w:tcBorders>
              <w:bottom w:val="single" w:sz="8" w:color="E7417A"/>
            </w:tcBorders>
            <w:shd w:val="clear" w:color="auto" w:fill="F2F2F2"/>
          </w:tcPr>
          <w:p>
            <w:pPr>
              <w:spacing w:after="0"/>
              <w:rPr>
                <w:sz w:val="18"/>
                <w:szCs w:val="18"/>
                <w:color w:val="auto"/>
              </w:rPr>
            </w:pPr>
          </w:p>
        </w:tc>
        <w:tc>
          <w:tcPr>
            <w:tcW w:w="900" w:type="dxa"/>
            <w:vAlign w:val="bottom"/>
            <w:tcBorders>
              <w:bottom w:val="single" w:sz="8" w:color="E7417A"/>
            </w:tcBorders>
            <w:shd w:val="clear" w:color="auto" w:fill="F2F2F2"/>
          </w:tcPr>
          <w:p>
            <w:pPr>
              <w:jc w:val="right"/>
              <w:ind w:right="124"/>
              <w:spacing w:after="0"/>
              <w:rPr>
                <w:sz w:val="20"/>
                <w:szCs w:val="20"/>
                <w:color w:val="auto"/>
              </w:rPr>
            </w:pPr>
            <w:r>
              <w:rPr>
                <w:rFonts w:ascii="Arial" w:cs="Arial" w:eastAsia="Arial" w:hAnsi="Arial"/>
                <w:sz w:val="15"/>
                <w:szCs w:val="15"/>
                <w:color w:val="auto"/>
              </w:rPr>
              <w:t>301,553</w:t>
            </w:r>
          </w:p>
        </w:tc>
        <w:tc>
          <w:tcPr>
            <w:tcW w:w="22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E7417A"/>
            </w:tcBorders>
            <w:shd w:val="clear" w:color="auto" w:fill="F2F2F2"/>
          </w:tcPr>
          <w:p>
            <w:pPr>
              <w:ind w:left="240"/>
              <w:spacing w:after="0" w:line="210"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1040" w:type="dxa"/>
            <w:vAlign w:val="bottom"/>
            <w:tcBorders>
              <w:bottom w:val="single" w:sz="8" w:color="E7417A"/>
            </w:tcBorders>
            <w:shd w:val="clear" w:color="auto" w:fill="F2F2F2"/>
          </w:tcPr>
          <w:p>
            <w:pPr>
              <w:jc w:val="right"/>
              <w:ind w:right="164"/>
              <w:spacing w:after="0"/>
              <w:rPr>
                <w:sz w:val="20"/>
                <w:szCs w:val="20"/>
                <w:color w:val="auto"/>
              </w:rPr>
            </w:pPr>
            <w:r>
              <w:rPr>
                <w:rFonts w:ascii="Arial" w:cs="Arial" w:eastAsia="Arial" w:hAnsi="Arial"/>
                <w:sz w:val="15"/>
                <w:szCs w:val="15"/>
                <w:color w:val="auto"/>
              </w:rPr>
              <w:t>2,768,254</w:t>
            </w:r>
          </w:p>
        </w:tc>
        <w:tc>
          <w:tcPr>
            <w:tcW w:w="14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Steve McCaffery</w:t>
            </w:r>
          </w:p>
        </w:tc>
        <w:tc>
          <w:tcPr>
            <w:tcW w:w="220" w:type="dxa"/>
            <w:vAlign w:val="bottom"/>
          </w:tcPr>
          <w:p>
            <w:pPr>
              <w:ind w:left="14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Cash Severance</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4C4C4C"/>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6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auto"/>
              </w:rPr>
              <w:t>335,495</w:t>
            </w:r>
          </w:p>
        </w:tc>
        <w:tc>
          <w:tcPr>
            <w:tcW w:w="260" w:type="dxa"/>
            <w:vAlign w:val="bottom"/>
            <w:tcBorders>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gridSpan w:val="2"/>
          </w:tcPr>
          <w:p>
            <w:pPr>
              <w:ind w:left="220"/>
              <w:spacing w:after="0"/>
              <w:rPr>
                <w:sz w:val="20"/>
                <w:szCs w:val="20"/>
                <w:color w:val="auto"/>
              </w:rPr>
            </w:pPr>
            <w:r>
              <w:rPr>
                <w:rFonts w:ascii="Arial" w:cs="Arial" w:eastAsia="Arial" w:hAnsi="Arial"/>
                <w:sz w:val="15"/>
                <w:szCs w:val="15"/>
                <w:color w:val="auto"/>
              </w:rPr>
              <w:t>​ ​</w:t>
            </w:r>
          </w:p>
        </w:tc>
        <w:tc>
          <w:tcPr>
            <w:tcW w:w="900" w:type="dxa"/>
            <w:vAlign w:val="bottom"/>
            <w:tcBorders>
              <w:bottom w:val="single" w:sz="8" w:color="4C4C4C"/>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040" w:type="dxa"/>
            <w:vAlign w:val="bottom"/>
            <w:tcBorders>
              <w:bottom w:val="single" w:sz="8" w:color="4C4C4C"/>
            </w:tcBorders>
          </w:tcPr>
          <w:p>
            <w:pPr>
              <w:jc w:val="right"/>
              <w:ind w:right="164"/>
              <w:spacing w:after="0"/>
              <w:rPr>
                <w:sz w:val="20"/>
                <w:szCs w:val="20"/>
                <w:color w:val="auto"/>
              </w:rPr>
            </w:pPr>
            <w:r>
              <w:rPr>
                <w:rFonts w:ascii="Arial" w:cs="Arial" w:eastAsia="Arial" w:hAnsi="Arial"/>
                <w:sz w:val="15"/>
                <w:szCs w:val="15"/>
                <w:color w:val="auto"/>
              </w:rPr>
              <w:t>980,677</w:t>
            </w:r>
          </w:p>
        </w:tc>
        <w:tc>
          <w:tcPr>
            <w:tcW w:w="14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Stock Awards</w:t>
            </w:r>
            <w:r>
              <w:rPr>
                <w:rFonts w:ascii="Arial" w:cs="Arial" w:eastAsia="Arial" w:hAnsi="Arial"/>
                <w:sz w:val="19"/>
                <w:szCs w:val="19"/>
                <w:color w:val="auto"/>
                <w:vertAlign w:val="superscript"/>
              </w:rPr>
              <w:t>(2)</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4C4C4C"/>
            </w:tcBorders>
          </w:tcPr>
          <w:p>
            <w:pPr>
              <w:ind w:left="6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86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auto"/>
              </w:rPr>
              <w:t>45,206</w:t>
            </w:r>
          </w:p>
        </w:tc>
        <w:tc>
          <w:tcPr>
            <w:tcW w:w="260" w:type="dxa"/>
            <w:vAlign w:val="bottom"/>
            <w:tcBorders>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4C4C4C"/>
            </w:tcBorders>
          </w:tcPr>
          <w:p>
            <w:pPr>
              <w:ind w:left="22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60" w:type="dxa"/>
            <w:vAlign w:val="bottom"/>
            <w:tcBorders>
              <w:bottom w:val="single" w:sz="8" w:color="4C4C4C"/>
            </w:tcBorders>
          </w:tcPr>
          <w:p>
            <w:pPr>
              <w:spacing w:after="0"/>
              <w:rPr>
                <w:sz w:val="19"/>
                <w:szCs w:val="19"/>
                <w:color w:val="auto"/>
              </w:rPr>
            </w:pPr>
          </w:p>
        </w:tc>
        <w:tc>
          <w:tcPr>
            <w:tcW w:w="900" w:type="dxa"/>
            <w:vAlign w:val="bottom"/>
            <w:tcBorders>
              <w:bottom w:val="single" w:sz="8" w:color="4C4C4C"/>
            </w:tcBorders>
          </w:tcPr>
          <w:p>
            <w:pPr>
              <w:jc w:val="right"/>
              <w:ind w:right="124"/>
              <w:spacing w:after="0"/>
              <w:rPr>
                <w:sz w:val="20"/>
                <w:szCs w:val="20"/>
                <w:color w:val="auto"/>
              </w:rPr>
            </w:pPr>
            <w:r>
              <w:rPr>
                <w:rFonts w:ascii="Arial" w:cs="Arial" w:eastAsia="Arial" w:hAnsi="Arial"/>
                <w:sz w:val="15"/>
                <w:szCs w:val="15"/>
                <w:color w:val="auto"/>
              </w:rPr>
              <w:t>518,432</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tcPr>
          <w:p>
            <w:pPr>
              <w:ind w:left="240"/>
              <w:spacing w:after="0" w:line="223"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w:t>
            </w:r>
          </w:p>
        </w:tc>
        <w:tc>
          <w:tcPr>
            <w:tcW w:w="1040" w:type="dxa"/>
            <w:vAlign w:val="bottom"/>
            <w:tcBorders>
              <w:bottom w:val="single" w:sz="8" w:color="4C4C4C"/>
            </w:tcBorders>
          </w:tcPr>
          <w:p>
            <w:pPr>
              <w:jc w:val="right"/>
              <w:ind w:right="164"/>
              <w:spacing w:after="0"/>
              <w:rPr>
                <w:sz w:val="20"/>
                <w:szCs w:val="20"/>
                <w:color w:val="auto"/>
              </w:rPr>
            </w:pPr>
            <w:r>
              <w:rPr>
                <w:rFonts w:ascii="Arial" w:cs="Arial" w:eastAsia="Arial" w:hAnsi="Arial"/>
                <w:sz w:val="15"/>
                <w:szCs w:val="15"/>
                <w:color w:val="auto"/>
              </w:rPr>
              <w:t>1,866,352</w:t>
            </w:r>
          </w:p>
        </w:tc>
        <w:tc>
          <w:tcPr>
            <w:tcW w:w="14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Health Benefits</w:t>
            </w:r>
          </w:p>
        </w:tc>
        <w:tc>
          <w:tcPr>
            <w:tcW w:w="260" w:type="dxa"/>
            <w:vAlign w:val="bottom"/>
            <w:tcBorders>
              <w:bottom w:val="single" w:sz="8" w:color="4C4C4C"/>
            </w:tcBorders>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4C4C4C"/>
            </w:tcBorders>
          </w:tcPr>
          <w:p>
            <w:pPr>
              <w:ind w:left="6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860" w:type="dxa"/>
            <w:vAlign w:val="bottom"/>
            <w:tcBorders>
              <w:bottom w:val="single" w:sz="8" w:color="4C4C4C"/>
            </w:tcBorders>
          </w:tcPr>
          <w:p>
            <w:pPr>
              <w:jc w:val="right"/>
              <w:spacing w:after="0"/>
              <w:rPr>
                <w:sz w:val="20"/>
                <w:szCs w:val="20"/>
                <w:color w:val="auto"/>
              </w:rPr>
            </w:pPr>
            <w:r>
              <w:rPr>
                <w:rFonts w:ascii="Arial" w:cs="Arial" w:eastAsia="Arial" w:hAnsi="Arial"/>
                <w:sz w:val="15"/>
                <w:szCs w:val="15"/>
                <w:color w:val="auto"/>
              </w:rPr>
              <w:t>1,409</w:t>
            </w:r>
          </w:p>
        </w:tc>
        <w:tc>
          <w:tcPr>
            <w:tcW w:w="260" w:type="dxa"/>
            <w:vAlign w:val="bottom"/>
            <w:tcBorders>
              <w:bottom w:val="single" w:sz="8" w:color="4C4C4C"/>
            </w:tcBorders>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4C4C4C"/>
            </w:tcBorders>
          </w:tcPr>
          <w:p>
            <w:pPr>
              <w:spacing w:after="0"/>
              <w:rPr>
                <w:sz w:val="19"/>
                <w:szCs w:val="19"/>
                <w:color w:val="auto"/>
              </w:rPr>
            </w:pPr>
          </w:p>
        </w:tc>
        <w:tc>
          <w:tcPr>
            <w:tcW w:w="18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4C4C4C"/>
            </w:tcBorders>
          </w:tcPr>
          <w:p>
            <w:pPr>
              <w:ind w:left="220"/>
              <w:spacing w:after="0"/>
              <w:rPr>
                <w:sz w:val="20"/>
                <w:szCs w:val="20"/>
                <w:color w:val="auto"/>
              </w:rPr>
            </w:pPr>
            <w:r>
              <w:rPr>
                <w:rFonts w:ascii="Arial" w:cs="Arial" w:eastAsia="Arial" w:hAnsi="Arial"/>
                <w:sz w:val="15"/>
                <w:szCs w:val="15"/>
                <w:color w:val="auto"/>
              </w:rPr>
              <w:t>​</w:t>
            </w:r>
          </w:p>
        </w:tc>
        <w:tc>
          <w:tcPr>
            <w:tcW w:w="60" w:type="dxa"/>
            <w:vAlign w:val="bottom"/>
            <w:tcBorders>
              <w:bottom w:val="single" w:sz="8" w:color="4C4C4C"/>
            </w:tcBorders>
          </w:tcPr>
          <w:p>
            <w:pPr>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4C4C4C"/>
            </w:tcBorders>
          </w:tcPr>
          <w:p>
            <w:pPr>
              <w:jc w:val="right"/>
              <w:ind w:right="84"/>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4C4C4C"/>
            </w:tcBorders>
          </w:tcPr>
          <w:p>
            <w:pPr>
              <w:ind w:left="240"/>
              <w:spacing w:after="0" w:line="223" w:lineRule="exact"/>
              <w:rPr>
                <w:sz w:val="20"/>
                <w:szCs w:val="20"/>
                <w:color w:val="auto"/>
              </w:rPr>
            </w:pPr>
            <w:r>
              <w:rPr>
                <w:rFonts w:ascii="Arial" w:cs="Arial" w:eastAsia="Arial" w:hAnsi="Arial"/>
                <w:sz w:val="13"/>
                <w:szCs w:val="13"/>
                <w:color w:val="auto"/>
              </w:rPr>
              <w:t>​</w:t>
            </w:r>
            <w:r>
              <w:rPr>
                <w:rFonts w:ascii="Arial" w:cs="Arial" w:eastAsia="Arial" w:hAnsi="Arial"/>
                <w:sz w:val="25"/>
                <w:szCs w:val="25"/>
                <w:color w:val="auto"/>
                <w:vertAlign w:val="subscript"/>
              </w:rPr>
              <w:t>$</w:t>
            </w:r>
          </w:p>
        </w:tc>
        <w:tc>
          <w:tcPr>
            <w:tcW w:w="1040" w:type="dxa"/>
            <w:vAlign w:val="bottom"/>
            <w:tcBorders>
              <w:bottom w:val="single" w:sz="8" w:color="4C4C4C"/>
            </w:tcBorders>
          </w:tcPr>
          <w:p>
            <w:pPr>
              <w:jc w:val="right"/>
              <w:ind w:right="164"/>
              <w:spacing w:after="0"/>
              <w:rPr>
                <w:sz w:val="20"/>
                <w:szCs w:val="20"/>
                <w:color w:val="auto"/>
              </w:rPr>
            </w:pPr>
            <w:r>
              <w:rPr>
                <w:rFonts w:ascii="Arial" w:cs="Arial" w:eastAsia="Arial" w:hAnsi="Arial"/>
                <w:sz w:val="15"/>
                <w:szCs w:val="15"/>
                <w:color w:val="auto"/>
              </w:rPr>
              <w:t>2,818</w:t>
            </w:r>
          </w:p>
        </w:tc>
        <w:tc>
          <w:tcPr>
            <w:tcW w:w="140" w:type="dxa"/>
            <w:vAlign w:val="bottom"/>
            <w:tcBorders>
              <w:bottom w:val="single" w:sz="8" w:color="4C4C4C"/>
            </w:tcBorders>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0"/>
        </w:trPr>
        <w:tc>
          <w:tcPr>
            <w:tcW w:w="1460" w:type="dxa"/>
            <w:vAlign w:val="bottom"/>
            <w:tcBorders>
              <w:bottom w:val="single" w:sz="8" w:color="62259D"/>
            </w:tcBorders>
          </w:tcPr>
          <w:p>
            <w:pPr>
              <w:spacing w:after="0"/>
              <w:rPr>
                <w:sz w:val="21"/>
                <w:szCs w:val="21"/>
                <w:color w:val="auto"/>
              </w:rPr>
            </w:pPr>
          </w:p>
        </w:tc>
        <w:tc>
          <w:tcPr>
            <w:tcW w:w="220" w:type="dxa"/>
            <w:vAlign w:val="bottom"/>
            <w:tcBorders>
              <w:bottom w:val="single" w:sz="8" w:color="62259D"/>
            </w:tcBorders>
          </w:tcPr>
          <w:p>
            <w:pPr>
              <w:spacing w:after="0"/>
              <w:rPr>
                <w:sz w:val="21"/>
                <w:szCs w:val="21"/>
                <w:color w:val="auto"/>
              </w:rPr>
            </w:pPr>
          </w:p>
        </w:tc>
        <w:tc>
          <w:tcPr>
            <w:tcW w:w="60" w:type="dxa"/>
            <w:vAlign w:val="bottom"/>
            <w:tcBorders>
              <w:bottom w:val="single" w:sz="8" w:color="62259D"/>
            </w:tcBorders>
            <w:shd w:val="clear" w:color="auto" w:fill="F2F2F2"/>
          </w:tcPr>
          <w:p>
            <w:pPr>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62259D"/>
            </w:tcBorders>
            <w:shd w:val="clear" w:color="auto" w:fill="F2F2F2"/>
          </w:tcPr>
          <w:p>
            <w:pPr>
              <w:ind w:left="1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62259D"/>
            </w:tcBorders>
            <w:shd w:val="clear" w:color="auto" w:fill="F2F2F2"/>
          </w:tcPr>
          <w:p>
            <w:pPr>
              <w:ind w:left="100"/>
              <w:spacing w:after="0"/>
              <w:rPr>
                <w:sz w:val="20"/>
                <w:szCs w:val="20"/>
                <w:color w:val="auto"/>
              </w:rPr>
            </w:pPr>
            <w:r>
              <w:rPr>
                <w:rFonts w:ascii="Arial" w:cs="Arial" w:eastAsia="Arial" w:hAnsi="Arial"/>
                <w:sz w:val="15"/>
                <w:szCs w:val="15"/>
                <w:color w:val="auto"/>
              </w:rPr>
              <w:t>​ ​</w:t>
            </w:r>
          </w:p>
        </w:tc>
        <w:tc>
          <w:tcPr>
            <w:tcW w:w="180" w:type="dxa"/>
            <w:vAlign w:val="bottom"/>
            <w:tcBorders>
              <w:bottom w:val="single" w:sz="8" w:color="62259D"/>
            </w:tcBorders>
            <w:shd w:val="clear" w:color="auto" w:fill="F2F2F2"/>
          </w:tcPr>
          <w:p>
            <w:pPr>
              <w:ind w:left="60"/>
              <w:spacing w:after="0" w:line="250" w:lineRule="exact"/>
              <w:rPr>
                <w:sz w:val="20"/>
                <w:szCs w:val="20"/>
                <w:color w:val="auto"/>
              </w:rPr>
            </w:pPr>
            <w:r>
              <w:rPr>
                <w:rFonts w:ascii="Arial" w:cs="Arial" w:eastAsia="Arial" w:hAnsi="Arial"/>
                <w:sz w:val="15"/>
                <w:szCs w:val="15"/>
                <w:color w:val="auto"/>
                <w:w w:val="95"/>
              </w:rPr>
              <w:t>​</w:t>
            </w:r>
            <w:r>
              <w:rPr>
                <w:rFonts w:ascii="Arial" w:cs="Arial" w:eastAsia="Arial" w:hAnsi="Arial"/>
                <w:sz w:val="28"/>
                <w:szCs w:val="28"/>
                <w:color w:val="auto"/>
                <w:w w:val="95"/>
                <w:vertAlign w:val="subscript"/>
              </w:rPr>
              <w:t>$</w:t>
            </w:r>
          </w:p>
        </w:tc>
        <w:tc>
          <w:tcPr>
            <w:tcW w:w="860" w:type="dxa"/>
            <w:vAlign w:val="bottom"/>
            <w:tcBorders>
              <w:bottom w:val="single" w:sz="8" w:color="62259D"/>
            </w:tcBorders>
            <w:shd w:val="clear" w:color="auto" w:fill="F2F2F2"/>
          </w:tcPr>
          <w:p>
            <w:pPr>
              <w:jc w:val="right"/>
              <w:spacing w:after="0"/>
              <w:rPr>
                <w:sz w:val="20"/>
                <w:szCs w:val="20"/>
                <w:color w:val="auto"/>
              </w:rPr>
            </w:pPr>
            <w:r>
              <w:rPr>
                <w:rFonts w:ascii="Arial" w:cs="Arial" w:eastAsia="Arial" w:hAnsi="Arial"/>
                <w:sz w:val="15"/>
                <w:szCs w:val="15"/>
                <w:color w:val="auto"/>
              </w:rPr>
              <w:t>382,110</w:t>
            </w:r>
          </w:p>
        </w:tc>
        <w:tc>
          <w:tcPr>
            <w:tcW w:w="260" w:type="dxa"/>
            <w:vAlign w:val="bottom"/>
            <w:tcBorders>
              <w:bottom w:val="single" w:sz="8" w:color="62259D"/>
            </w:tcBorders>
            <w:shd w:val="clear" w:color="auto" w:fill="F2F2F2"/>
          </w:tcPr>
          <w:p>
            <w:pPr>
              <w:jc w:val="center"/>
              <w:spacing w:after="0"/>
              <w:rPr>
                <w:sz w:val="20"/>
                <w:szCs w:val="20"/>
                <w:color w:val="auto"/>
              </w:rPr>
            </w:pPr>
            <w:r>
              <w:rPr>
                <w:rFonts w:ascii="Arial" w:cs="Arial" w:eastAsia="Arial" w:hAnsi="Arial"/>
                <w:sz w:val="15"/>
                <w:szCs w:val="15"/>
                <w:color w:val="auto"/>
              </w:rPr>
              <w:t>​​ ​ ​</w:t>
            </w:r>
          </w:p>
        </w:tc>
        <w:tc>
          <w:tcPr>
            <w:tcW w:w="980" w:type="dxa"/>
            <w:vAlign w:val="bottom"/>
            <w:tcBorders>
              <w:bottom w:val="single" w:sz="8" w:color="62259D"/>
            </w:tcBorders>
            <w:shd w:val="clear" w:color="auto" w:fill="F2F2F2"/>
          </w:tcPr>
          <w:p>
            <w:pPr>
              <w:spacing w:after="0"/>
              <w:rPr>
                <w:sz w:val="21"/>
                <w:szCs w:val="21"/>
                <w:color w:val="auto"/>
              </w:rPr>
            </w:pPr>
          </w:p>
        </w:tc>
        <w:tc>
          <w:tcPr>
            <w:tcW w:w="180" w:type="dxa"/>
            <w:vAlign w:val="bottom"/>
            <w:tcBorders>
              <w:bottom w:val="single" w:sz="8" w:color="62259D"/>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340" w:type="dxa"/>
            <w:vAlign w:val="bottom"/>
            <w:tcBorders>
              <w:bottom w:val="single" w:sz="8" w:color="62259D"/>
            </w:tcBorders>
            <w:shd w:val="clear" w:color="auto" w:fill="F2F2F2"/>
          </w:tcPr>
          <w:p>
            <w:pPr>
              <w:ind w:left="220"/>
              <w:spacing w:after="0" w:line="250" w:lineRule="exact"/>
              <w:rPr>
                <w:sz w:val="20"/>
                <w:szCs w:val="20"/>
                <w:color w:val="auto"/>
              </w:rPr>
            </w:pPr>
            <w:r>
              <w:rPr>
                <w:rFonts w:ascii="Arial" w:cs="Arial" w:eastAsia="Arial" w:hAnsi="Arial"/>
                <w:sz w:val="15"/>
                <w:szCs w:val="15"/>
                <w:color w:val="auto"/>
                <w:w w:val="95"/>
              </w:rPr>
              <w:t>​</w:t>
            </w:r>
            <w:r>
              <w:rPr>
                <w:rFonts w:ascii="Arial" w:cs="Arial" w:eastAsia="Arial" w:hAnsi="Arial"/>
                <w:sz w:val="28"/>
                <w:szCs w:val="28"/>
                <w:color w:val="auto"/>
                <w:w w:val="95"/>
                <w:vertAlign w:val="subscript"/>
              </w:rPr>
              <w:t>$</w:t>
            </w:r>
          </w:p>
        </w:tc>
        <w:tc>
          <w:tcPr>
            <w:tcW w:w="60" w:type="dxa"/>
            <w:vAlign w:val="bottom"/>
            <w:tcBorders>
              <w:bottom w:val="single" w:sz="8" w:color="62259D"/>
            </w:tcBorders>
            <w:shd w:val="clear" w:color="auto" w:fill="F2F2F2"/>
          </w:tcPr>
          <w:p>
            <w:pPr>
              <w:spacing w:after="0"/>
              <w:rPr>
                <w:sz w:val="21"/>
                <w:szCs w:val="21"/>
                <w:color w:val="auto"/>
              </w:rPr>
            </w:pPr>
          </w:p>
        </w:tc>
        <w:tc>
          <w:tcPr>
            <w:tcW w:w="900" w:type="dxa"/>
            <w:vAlign w:val="bottom"/>
            <w:tcBorders>
              <w:bottom w:val="single" w:sz="8" w:color="62259D"/>
            </w:tcBorders>
            <w:shd w:val="clear" w:color="auto" w:fill="F2F2F2"/>
          </w:tcPr>
          <w:p>
            <w:pPr>
              <w:jc w:val="right"/>
              <w:ind w:right="124"/>
              <w:spacing w:after="0"/>
              <w:rPr>
                <w:sz w:val="20"/>
                <w:szCs w:val="20"/>
                <w:color w:val="auto"/>
              </w:rPr>
            </w:pPr>
            <w:r>
              <w:rPr>
                <w:rFonts w:ascii="Arial" w:cs="Arial" w:eastAsia="Arial" w:hAnsi="Arial"/>
                <w:sz w:val="15"/>
                <w:szCs w:val="15"/>
                <w:color w:val="auto"/>
              </w:rPr>
              <w:t>518,432</w:t>
            </w:r>
          </w:p>
        </w:tc>
        <w:tc>
          <w:tcPr>
            <w:tcW w:w="220" w:type="dxa"/>
            <w:vAlign w:val="bottom"/>
            <w:tcBorders>
              <w:bottom w:val="single" w:sz="8" w:color="62259D"/>
            </w:tcBorders>
            <w:shd w:val="clear" w:color="auto" w:fill="F2F2F2"/>
          </w:tcPr>
          <w:p>
            <w:pPr>
              <w:ind w:left="20"/>
              <w:spacing w:after="0"/>
              <w:rPr>
                <w:sz w:val="20"/>
                <w:szCs w:val="20"/>
                <w:color w:val="auto"/>
              </w:rPr>
            </w:pPr>
            <w:r>
              <w:rPr>
                <w:rFonts w:ascii="Arial" w:cs="Arial" w:eastAsia="Arial" w:hAnsi="Arial"/>
                <w:sz w:val="15"/>
                <w:szCs w:val="15"/>
                <w:color w:val="auto"/>
              </w:rPr>
              <w:t>​​ ​</w:t>
            </w:r>
          </w:p>
        </w:tc>
        <w:tc>
          <w:tcPr>
            <w:tcW w:w="400" w:type="dxa"/>
            <w:vAlign w:val="bottom"/>
            <w:tcBorders>
              <w:bottom w:val="single" w:sz="8" w:color="62259D"/>
            </w:tcBorders>
            <w:shd w:val="clear" w:color="auto" w:fill="F2F2F2"/>
          </w:tcPr>
          <w:p>
            <w:pPr>
              <w:ind w:left="2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bscript"/>
              </w:rPr>
              <w:t>$</w:t>
            </w:r>
          </w:p>
        </w:tc>
        <w:tc>
          <w:tcPr>
            <w:tcW w:w="1040" w:type="dxa"/>
            <w:vAlign w:val="bottom"/>
            <w:tcBorders>
              <w:bottom w:val="single" w:sz="8" w:color="62259D"/>
            </w:tcBorders>
            <w:shd w:val="clear" w:color="auto" w:fill="F2F2F2"/>
          </w:tcPr>
          <w:p>
            <w:pPr>
              <w:jc w:val="right"/>
              <w:ind w:right="164"/>
              <w:spacing w:after="0"/>
              <w:rPr>
                <w:sz w:val="20"/>
                <w:szCs w:val="20"/>
                <w:color w:val="auto"/>
              </w:rPr>
            </w:pPr>
            <w:r>
              <w:rPr>
                <w:rFonts w:ascii="Arial" w:cs="Arial" w:eastAsia="Arial" w:hAnsi="Arial"/>
                <w:sz w:val="15"/>
                <w:szCs w:val="15"/>
                <w:color w:val="auto"/>
              </w:rPr>
              <w:t>2,849,847</w:t>
            </w:r>
          </w:p>
        </w:tc>
        <w:tc>
          <w:tcPr>
            <w:tcW w:w="140" w:type="dxa"/>
            <w:vAlign w:val="bottom"/>
            <w:tcBorders>
              <w:bottom w:val="single" w:sz="8" w:color="62259D"/>
            </w:tcBorders>
            <w:shd w:val="clear" w:color="auto" w:fill="F2F2F2"/>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400" w:hanging="368"/>
        <w:spacing w:after="0"/>
        <w:tabs>
          <w:tab w:leader="none" w:pos="14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Represents the severance benefits that the NEO would be eligible to receive absent a change in control.</w:t>
      </w:r>
    </w:p>
    <w:p>
      <w:pPr>
        <w:spacing w:after="0" w:line="82" w:lineRule="exact"/>
        <w:rPr>
          <w:rFonts w:ascii="Arial" w:cs="Arial" w:eastAsia="Arial" w:hAnsi="Arial"/>
          <w:sz w:val="14"/>
          <w:szCs w:val="14"/>
          <w:color w:val="auto"/>
        </w:rPr>
      </w:pPr>
    </w:p>
    <w:p>
      <w:pPr>
        <w:ind w:left="1400" w:right="459" w:hanging="368"/>
        <w:spacing w:after="0" w:line="269" w:lineRule="auto"/>
        <w:tabs>
          <w:tab w:leader="none" w:pos="14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These amounts represent the gains that would be realized on the acceleration of unvested restricted share units and performance-based stock units in accordance with the NEOs’ respective employment and/or grant agreements. The gains were calculated by multiplying our closing stock price of $2.88 on December 31, 2025 by the number of shares (or shares underlying PSUs) that would accelerate.</w:t>
      </w:r>
    </w:p>
    <w:p>
      <w:pPr>
        <w:spacing w:after="0" w:line="7" w:lineRule="exact"/>
        <w:rPr>
          <w:rFonts w:ascii="Arial" w:cs="Arial" w:eastAsia="Arial" w:hAnsi="Arial"/>
          <w:sz w:val="14"/>
          <w:szCs w:val="14"/>
          <w:color w:val="auto"/>
        </w:rPr>
      </w:pPr>
    </w:p>
    <w:p>
      <w:pPr>
        <w:ind w:left="1400" w:right="119"/>
        <w:spacing w:after="0" w:line="285" w:lineRule="auto"/>
        <w:rPr>
          <w:rFonts w:ascii="Arial" w:cs="Arial" w:eastAsia="Arial" w:hAnsi="Arial"/>
          <w:sz w:val="14"/>
          <w:szCs w:val="14"/>
          <w:color w:val="auto"/>
        </w:rPr>
      </w:pPr>
      <w:r>
        <w:rPr>
          <w:rFonts w:ascii="Arial" w:cs="Arial" w:eastAsia="Arial" w:hAnsi="Arial"/>
          <w:sz w:val="14"/>
          <w:szCs w:val="14"/>
          <w:color w:val="auto"/>
        </w:rPr>
        <w:t>For Mr. Townsend, the closing stock price of $2.88 on December 31, 2025 was also used to determine any vesting of his PSUs granted in 2024 in connection with his appointment as CFO.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CEO Pay Ratio</w:t>
      </w:r>
    </w:p>
    <w:p>
      <w:pPr>
        <w:spacing w:after="0" w:line="158" w:lineRule="exact"/>
        <w:rPr>
          <w:sz w:val="20"/>
          <w:szCs w:val="20"/>
          <w:color w:val="auto"/>
        </w:rPr>
      </w:pPr>
    </w:p>
    <w:p>
      <w:pPr>
        <w:ind w:left="920" w:right="239"/>
        <w:spacing w:after="0" w:line="252" w:lineRule="auto"/>
        <w:rPr>
          <w:sz w:val="20"/>
          <w:szCs w:val="20"/>
          <w:color w:val="auto"/>
        </w:rPr>
      </w:pPr>
      <w:r>
        <w:rPr>
          <w:rFonts w:ascii="Arial" w:cs="Arial" w:eastAsia="Arial" w:hAnsi="Arial"/>
          <w:sz w:val="18"/>
          <w:szCs w:val="18"/>
          <w:color w:val="auto"/>
        </w:rPr>
        <w:t>We identified the median employee from our global employee population as of November 30, 2024, which included all full- time and part-time employees worldwide and excluded only temporary interns. This population was not updated for 2025, as we determined there had been no material change in our overall employee population. No employees were excluded due to data privacy considerations.</w:t>
      </w:r>
    </w:p>
    <w:p>
      <w:pPr>
        <w:spacing w:after="0" w:line="103" w:lineRule="exact"/>
        <w:rPr>
          <w:sz w:val="20"/>
          <w:szCs w:val="20"/>
          <w:color w:val="auto"/>
        </w:rPr>
      </w:pPr>
    </w:p>
    <w:p>
      <w:pPr>
        <w:ind w:left="920" w:right="179"/>
        <w:spacing w:after="0" w:line="244" w:lineRule="auto"/>
        <w:rPr>
          <w:sz w:val="20"/>
          <w:szCs w:val="20"/>
          <w:color w:val="auto"/>
        </w:rPr>
      </w:pPr>
      <w:r>
        <w:rPr>
          <w:rFonts w:ascii="Arial" w:cs="Arial" w:eastAsia="Arial" w:hAnsi="Arial"/>
          <w:sz w:val="18"/>
          <w:szCs w:val="18"/>
          <w:color w:val="auto"/>
        </w:rPr>
        <w:t>To identify the median employee, we utilized regular earnings, which represents cash compensation excluding bonus, commissions and other incentive compensation. We did not utilize any cost of living or other material adjustments, and foreign currency compensation amounts were converted to U.S. dollars using the exchange rates applied for internal financial accounting purposes. Because the prior-year median employee is no longer employed by the Company, we identified a new median employee using the same employee population, compensation data, and methodology, selecting the employee immediately adjacent to the prior median employee in the ordered compensation list. The new median employee is in an administrative function and located in the U.S.</w:t>
      </w:r>
    </w:p>
    <w:p>
      <w:pPr>
        <w:spacing w:after="0" w:line="112" w:lineRule="exact"/>
        <w:rPr>
          <w:sz w:val="20"/>
          <w:szCs w:val="20"/>
          <w:color w:val="auto"/>
        </w:rPr>
      </w:pPr>
    </w:p>
    <w:p>
      <w:pPr>
        <w:ind w:left="920" w:right="139"/>
        <w:spacing w:after="0" w:line="246" w:lineRule="auto"/>
        <w:rPr>
          <w:sz w:val="20"/>
          <w:szCs w:val="20"/>
          <w:color w:val="auto"/>
        </w:rPr>
      </w:pPr>
      <w:r>
        <w:rPr>
          <w:rFonts w:ascii="Arial" w:cs="Arial" w:eastAsia="Arial" w:hAnsi="Arial"/>
          <w:sz w:val="18"/>
          <w:szCs w:val="18"/>
          <w:color w:val="auto"/>
        </w:rPr>
        <w:t>For 2025, the annual total compensation for the median employee was $78,251 and the annual total compensation for our CEO was $17,457,675, which reflects the total compensation paid to Mr. McClelland, the Chief Executive Officer. Based on the calculation of the annual total compensation for both the CEO and the median employee (as described above), the ratio of CEO pay to the median employee pay is approximately 223:1 The pay ratio provided is a reasonable estimate. Because the SEC rules for identifying the median employee and calculating the pay ratio allow companies to use different methodologies, exemptions, estimates and assumptions, our pay ratio may not be comparable to the pay ratio reported by other companies or our pay ratio in any future year.</w:t>
      </w:r>
    </w:p>
    <w:p>
      <w:pPr>
        <w:spacing w:after="0" w:line="158" w:lineRule="exact"/>
        <w:rPr>
          <w:sz w:val="20"/>
          <w:szCs w:val="20"/>
          <w:color w:val="auto"/>
        </w:rPr>
      </w:pPr>
    </w:p>
    <w:tbl>
      <w:tblPr>
        <w:tblLayout w:type="fixed"/>
        <w:tblInd w:w="1640" w:type="dxa"/>
        <w:tblCellMar>
          <w:top w:w="0" w:type="dxa"/>
          <w:left w:w="0" w:type="dxa"/>
          <w:bottom w:w="0" w:type="dxa"/>
          <w:right w:w="0" w:type="dxa"/>
        </w:tblCellMar>
      </w:tblPr>
      <w:tr>
        <w:trPr>
          <w:trHeight w:val="193"/>
        </w:trPr>
        <w:tc>
          <w:tcPr>
            <w:tcW w:w="3720" w:type="dxa"/>
            <w:vAlign w:val="bottom"/>
            <w:shd w:val="clear" w:color="auto" w:fill="62259D"/>
          </w:tcPr>
          <w:p>
            <w:pPr>
              <w:spacing w:after="0"/>
              <w:rPr>
                <w:sz w:val="16"/>
                <w:szCs w:val="16"/>
                <w:color w:val="auto"/>
              </w:rPr>
            </w:pPr>
          </w:p>
        </w:tc>
        <w:tc>
          <w:tcPr>
            <w:tcW w:w="340" w:type="dxa"/>
            <w:vAlign w:val="bottom"/>
            <w:shd w:val="clear" w:color="auto" w:fill="62259D"/>
          </w:tcPr>
          <w:p>
            <w:pPr>
              <w:spacing w:after="0"/>
              <w:rPr>
                <w:sz w:val="16"/>
                <w:szCs w:val="16"/>
                <w:color w:val="auto"/>
              </w:rPr>
            </w:pPr>
          </w:p>
        </w:tc>
        <w:tc>
          <w:tcPr>
            <w:tcW w:w="1360" w:type="dxa"/>
            <w:vAlign w:val="bottom"/>
            <w:gridSpan w:val="2"/>
            <w:shd w:val="clear" w:color="auto" w:fill="62259D"/>
          </w:tcPr>
          <w:p>
            <w:pPr>
              <w:jc w:val="right"/>
              <w:spacing w:after="0"/>
              <w:rPr>
                <w:sz w:val="20"/>
                <w:szCs w:val="20"/>
                <w:color w:val="auto"/>
              </w:rPr>
            </w:pPr>
            <w:r>
              <w:rPr>
                <w:rFonts w:ascii="Arial" w:cs="Arial" w:eastAsia="Arial" w:hAnsi="Arial"/>
                <w:sz w:val="14"/>
                <w:szCs w:val="14"/>
                <w:b w:val="1"/>
                <w:bCs w:val="1"/>
                <w:color w:val="FEFEFE"/>
              </w:rPr>
              <w:t>2025 Annual Total</w:t>
            </w:r>
          </w:p>
        </w:tc>
        <w:tc>
          <w:tcPr>
            <w:tcW w:w="420" w:type="dxa"/>
            <w:vAlign w:val="bottom"/>
            <w:shd w:val="clear" w:color="auto" w:fill="62259D"/>
          </w:tcPr>
          <w:p>
            <w:pPr>
              <w:spacing w:after="0"/>
              <w:rPr>
                <w:sz w:val="16"/>
                <w:szCs w:val="16"/>
                <w:color w:val="auto"/>
              </w:rPr>
            </w:pPr>
          </w:p>
        </w:tc>
        <w:tc>
          <w:tcPr>
            <w:tcW w:w="320" w:type="dxa"/>
            <w:vAlign w:val="bottom"/>
            <w:shd w:val="clear" w:color="auto" w:fill="62259D"/>
          </w:tcPr>
          <w:p>
            <w:pPr>
              <w:spacing w:after="0"/>
              <w:rPr>
                <w:sz w:val="16"/>
                <w:szCs w:val="16"/>
                <w:color w:val="auto"/>
              </w:rPr>
            </w:pPr>
          </w:p>
        </w:tc>
        <w:tc>
          <w:tcPr>
            <w:tcW w:w="820" w:type="dxa"/>
            <w:vAlign w:val="bottom"/>
            <w:shd w:val="clear" w:color="auto" w:fill="62259D"/>
          </w:tcPr>
          <w:p>
            <w:pPr>
              <w:spacing w:after="0"/>
              <w:rPr>
                <w:sz w:val="16"/>
                <w:szCs w:val="16"/>
                <w:color w:val="auto"/>
              </w:rPr>
            </w:pPr>
          </w:p>
        </w:tc>
        <w:tc>
          <w:tcPr>
            <w:tcW w:w="420" w:type="dxa"/>
            <w:vAlign w:val="bottom"/>
            <w:shd w:val="clear" w:color="auto" w:fill="62259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62259D"/>
          </w:tcPr>
          <w:p>
            <w:pPr>
              <w:spacing w:after="0"/>
              <w:rPr>
                <w:sz w:val="14"/>
                <w:szCs w:val="14"/>
                <w:color w:val="auto"/>
              </w:rPr>
            </w:pPr>
          </w:p>
        </w:tc>
        <w:tc>
          <w:tcPr>
            <w:tcW w:w="340" w:type="dxa"/>
            <w:vAlign w:val="bottom"/>
            <w:shd w:val="clear" w:color="auto" w:fill="62259D"/>
          </w:tcPr>
          <w:p>
            <w:pPr>
              <w:spacing w:after="0"/>
              <w:rPr>
                <w:sz w:val="14"/>
                <w:szCs w:val="14"/>
                <w:color w:val="auto"/>
              </w:rPr>
            </w:pPr>
          </w:p>
        </w:tc>
        <w:tc>
          <w:tcPr>
            <w:tcW w:w="1360" w:type="dxa"/>
            <w:vAlign w:val="bottom"/>
            <w:gridSpan w:val="2"/>
            <w:shd w:val="clear" w:color="auto" w:fill="62259D"/>
          </w:tcPr>
          <w:p>
            <w:pPr>
              <w:jc w:val="right"/>
              <w:ind w:right="62"/>
              <w:spacing w:after="0"/>
              <w:rPr>
                <w:sz w:val="20"/>
                <w:szCs w:val="20"/>
                <w:color w:val="auto"/>
              </w:rPr>
            </w:pPr>
            <w:r>
              <w:rPr>
                <w:rFonts w:ascii="Arial" w:cs="Arial" w:eastAsia="Arial" w:hAnsi="Arial"/>
                <w:sz w:val="14"/>
                <w:szCs w:val="14"/>
                <w:b w:val="1"/>
                <w:bCs w:val="1"/>
                <w:color w:val="FEFEFE"/>
              </w:rPr>
              <w:t>Compensation</w:t>
            </w:r>
          </w:p>
        </w:tc>
        <w:tc>
          <w:tcPr>
            <w:tcW w:w="420" w:type="dxa"/>
            <w:vAlign w:val="bottom"/>
            <w:shd w:val="clear" w:color="auto" w:fill="62259D"/>
          </w:tcPr>
          <w:p>
            <w:pPr>
              <w:spacing w:after="0"/>
              <w:rPr>
                <w:sz w:val="14"/>
                <w:szCs w:val="14"/>
                <w:color w:val="auto"/>
              </w:rPr>
            </w:pPr>
          </w:p>
        </w:tc>
        <w:tc>
          <w:tcPr>
            <w:tcW w:w="320" w:type="dxa"/>
            <w:vAlign w:val="bottom"/>
            <w:shd w:val="clear" w:color="auto" w:fill="62259D"/>
          </w:tcPr>
          <w:p>
            <w:pPr>
              <w:spacing w:after="0"/>
              <w:rPr>
                <w:sz w:val="14"/>
                <w:szCs w:val="14"/>
                <w:color w:val="auto"/>
              </w:rPr>
            </w:pPr>
          </w:p>
        </w:tc>
        <w:tc>
          <w:tcPr>
            <w:tcW w:w="820" w:type="dxa"/>
            <w:vAlign w:val="bottom"/>
            <w:shd w:val="clear" w:color="auto" w:fill="62259D"/>
          </w:tcPr>
          <w:p>
            <w:pPr>
              <w:jc w:val="center"/>
              <w:spacing w:after="0"/>
              <w:rPr>
                <w:sz w:val="20"/>
                <w:szCs w:val="20"/>
                <w:color w:val="auto"/>
              </w:rPr>
            </w:pPr>
            <w:r>
              <w:rPr>
                <w:rFonts w:ascii="Arial" w:cs="Arial" w:eastAsia="Arial" w:hAnsi="Arial"/>
                <w:sz w:val="14"/>
                <w:szCs w:val="14"/>
                <w:b w:val="1"/>
                <w:bCs w:val="1"/>
                <w:color w:val="FEFEFE"/>
              </w:rPr>
              <w:t>Pay Ratio</w:t>
            </w:r>
          </w:p>
        </w:tc>
        <w:tc>
          <w:tcPr>
            <w:tcW w:w="420" w:type="dxa"/>
            <w:vAlign w:val="bottom"/>
            <w:shd w:val="clear" w:color="auto" w:fill="62259D"/>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720" w:type="dxa"/>
            <w:vAlign w:val="bottom"/>
            <w:shd w:val="clear" w:color="auto" w:fill="62259D"/>
          </w:tcPr>
          <w:p>
            <w:pPr>
              <w:ind w:left="40"/>
              <w:spacing w:after="0" w:line="225" w:lineRule="exact"/>
              <w:rPr>
                <w:sz w:val="20"/>
                <w:szCs w:val="20"/>
                <w:color w:val="auto"/>
              </w:rPr>
            </w:pPr>
            <w:r>
              <w:rPr>
                <w:rFonts w:ascii="Arial" w:cs="Arial" w:eastAsia="Arial" w:hAnsi="Arial"/>
                <w:sz w:val="26"/>
                <w:szCs w:val="26"/>
                <w:b w:val="1"/>
                <w:bCs w:val="1"/>
                <w:color w:val="FEFEFE"/>
                <w:vertAlign w:val="subscript"/>
              </w:rPr>
              <w:t>​</w:t>
            </w:r>
            <w:r>
              <w:rPr>
                <w:rFonts w:ascii="Arial" w:cs="Arial" w:eastAsia="Arial" w:hAnsi="Arial"/>
                <w:sz w:val="14"/>
                <w:szCs w:val="14"/>
                <w:b w:val="1"/>
                <w:bCs w:val="1"/>
                <w:color w:val="FEFEFE"/>
              </w:rPr>
              <w:t>Employee</w:t>
            </w:r>
          </w:p>
        </w:tc>
        <w:tc>
          <w:tcPr>
            <w:tcW w:w="340" w:type="dxa"/>
            <w:vAlign w:val="bottom"/>
            <w:shd w:val="clear" w:color="auto" w:fill="62259D"/>
          </w:tcPr>
          <w:p>
            <w:pPr>
              <w:ind w:left="200"/>
              <w:spacing w:after="0"/>
              <w:rPr>
                <w:sz w:val="20"/>
                <w:szCs w:val="20"/>
                <w:color w:val="auto"/>
              </w:rPr>
            </w:pPr>
            <w:r>
              <w:rPr>
                <w:rFonts w:ascii="Arial" w:cs="Arial" w:eastAsia="Arial" w:hAnsi="Arial"/>
                <w:sz w:val="14"/>
                <w:szCs w:val="14"/>
                <w:b w:val="1"/>
                <w:bCs w:val="1"/>
                <w:color w:val="FEFEFE"/>
              </w:rPr>
              <w:t>​ ​</w:t>
            </w:r>
          </w:p>
        </w:tc>
        <w:tc>
          <w:tcPr>
            <w:tcW w:w="340" w:type="dxa"/>
            <w:vAlign w:val="bottom"/>
            <w:shd w:val="clear" w:color="auto" w:fill="62259D"/>
          </w:tcPr>
          <w:p>
            <w:pPr>
              <w:spacing w:after="0"/>
              <w:rPr>
                <w:sz w:val="19"/>
                <w:szCs w:val="19"/>
                <w:color w:val="auto"/>
              </w:rPr>
            </w:pPr>
          </w:p>
        </w:tc>
        <w:tc>
          <w:tcPr>
            <w:tcW w:w="1020" w:type="dxa"/>
            <w:vAlign w:val="bottom"/>
            <w:shd w:val="clear" w:color="auto" w:fill="62259D"/>
          </w:tcPr>
          <w:p>
            <w:pPr>
              <w:jc w:val="right"/>
              <w:ind w:right="482"/>
              <w:spacing w:after="0"/>
              <w:rPr>
                <w:sz w:val="20"/>
                <w:szCs w:val="20"/>
                <w:color w:val="auto"/>
              </w:rPr>
            </w:pPr>
            <w:r>
              <w:rPr>
                <w:rFonts w:ascii="Arial" w:cs="Arial" w:eastAsia="Arial" w:hAnsi="Arial"/>
                <w:sz w:val="14"/>
                <w:szCs w:val="14"/>
                <w:b w:val="1"/>
                <w:bCs w:val="1"/>
                <w:color w:val="FEFEFE"/>
              </w:rPr>
              <w:t>($)</w:t>
            </w:r>
          </w:p>
        </w:tc>
        <w:tc>
          <w:tcPr>
            <w:tcW w:w="420" w:type="dxa"/>
            <w:vAlign w:val="bottom"/>
            <w:shd w:val="clear" w:color="auto" w:fill="62259D"/>
          </w:tcPr>
          <w:p>
            <w:pPr>
              <w:ind w:left="240"/>
              <w:spacing w:after="0"/>
              <w:rPr>
                <w:sz w:val="20"/>
                <w:szCs w:val="20"/>
                <w:color w:val="auto"/>
              </w:rPr>
            </w:pPr>
            <w:r>
              <w:rPr>
                <w:rFonts w:ascii="Arial" w:cs="Arial" w:eastAsia="Arial" w:hAnsi="Arial"/>
                <w:sz w:val="14"/>
                <w:szCs w:val="14"/>
                <w:b w:val="1"/>
                <w:bCs w:val="1"/>
                <w:color w:val="FEFEFE"/>
              </w:rPr>
              <w:t>​</w:t>
            </w:r>
          </w:p>
        </w:tc>
        <w:tc>
          <w:tcPr>
            <w:tcW w:w="320" w:type="dxa"/>
            <w:vAlign w:val="bottom"/>
            <w:shd w:val="clear" w:color="auto" w:fill="62259D"/>
          </w:tcPr>
          <w:p>
            <w:pPr>
              <w:ind w:left="200"/>
              <w:spacing w:after="0"/>
              <w:rPr>
                <w:sz w:val="20"/>
                <w:szCs w:val="20"/>
                <w:color w:val="auto"/>
              </w:rPr>
            </w:pPr>
            <w:r>
              <w:rPr>
                <w:rFonts w:ascii="Arial" w:cs="Arial" w:eastAsia="Arial" w:hAnsi="Arial"/>
                <w:sz w:val="14"/>
                <w:szCs w:val="14"/>
                <w:b w:val="1"/>
                <w:bCs w:val="1"/>
                <w:color w:val="FEFEFE"/>
              </w:rPr>
              <w:t>​</w:t>
            </w:r>
          </w:p>
        </w:tc>
        <w:tc>
          <w:tcPr>
            <w:tcW w:w="820" w:type="dxa"/>
            <w:vAlign w:val="bottom"/>
            <w:shd w:val="clear" w:color="auto" w:fill="62259D"/>
          </w:tcPr>
          <w:p>
            <w:pPr>
              <w:ind w:left="140"/>
              <w:spacing w:after="0"/>
              <w:rPr>
                <w:sz w:val="20"/>
                <w:szCs w:val="20"/>
                <w:color w:val="auto"/>
              </w:rPr>
            </w:pPr>
            <w:r>
              <w:rPr>
                <w:rFonts w:ascii="Arial" w:cs="Arial" w:eastAsia="Arial" w:hAnsi="Arial"/>
                <w:sz w:val="14"/>
                <w:szCs w:val="14"/>
                <w:b w:val="1"/>
                <w:bCs w:val="1"/>
                <w:color w:val="FEFEFE"/>
              </w:rPr>
              <w:t>Estimate</w:t>
            </w:r>
          </w:p>
        </w:tc>
        <w:tc>
          <w:tcPr>
            <w:tcW w:w="420" w:type="dxa"/>
            <w:vAlign w:val="bottom"/>
            <w:shd w:val="clear" w:color="auto" w:fill="62259D"/>
          </w:tcPr>
          <w:p>
            <w:pPr>
              <w:ind w:left="240"/>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310"/>
        </w:trPr>
        <w:tc>
          <w:tcPr>
            <w:tcW w:w="3720" w:type="dxa"/>
            <w:vAlign w:val="bottom"/>
            <w:tcBorders>
              <w:bottom w:val="single" w:sz="8" w:color="E7417A"/>
            </w:tcBorders>
          </w:tcPr>
          <w:p>
            <w:pPr>
              <w:spacing w:after="0" w:line="310"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6"/>
                <w:szCs w:val="16"/>
                <w:color w:val="auto"/>
              </w:rPr>
              <w:t xml:space="preserve"> Mr. McClelland, our Chief Executive Officer</w:t>
            </w:r>
          </w:p>
        </w:tc>
        <w:tc>
          <w:tcPr>
            <w:tcW w:w="340" w:type="dxa"/>
            <w:vAlign w:val="bottom"/>
            <w:tcBorders>
              <w:bottom w:val="single" w:sz="8" w:color="E7417A"/>
            </w:tcBorders>
          </w:tcPr>
          <w:p>
            <w:pPr>
              <w:ind w:left="140"/>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E7417A"/>
            </w:tcBorders>
          </w:tcPr>
          <w:p>
            <w:pPr>
              <w:ind w:left="180"/>
              <w:spacing w:after="0" w:line="310" w:lineRule="exact"/>
              <w:rPr>
                <w:sz w:val="20"/>
                <w:szCs w:val="20"/>
                <w:color w:val="auto"/>
              </w:rPr>
            </w:pPr>
            <w:r>
              <w:rPr>
                <w:rFonts w:ascii="Arial" w:cs="Arial" w:eastAsia="Arial" w:hAnsi="Arial"/>
                <w:sz w:val="16"/>
                <w:szCs w:val="16"/>
                <w:color w:val="auto"/>
              </w:rPr>
              <w:t>​</w:t>
            </w:r>
            <w:r>
              <w:rPr>
                <w:rFonts w:ascii="Arial" w:cs="Arial" w:eastAsia="Arial" w:hAnsi="Arial"/>
                <w:sz w:val="32"/>
                <w:szCs w:val="32"/>
                <w:color w:val="auto"/>
                <w:vertAlign w:val="superscript"/>
              </w:rPr>
              <w:t>$</w:t>
            </w:r>
          </w:p>
        </w:tc>
        <w:tc>
          <w:tcPr>
            <w:tcW w:w="1020" w:type="dxa"/>
            <w:vAlign w:val="bottom"/>
            <w:tcBorders>
              <w:bottom w:val="single" w:sz="8" w:color="E7417A"/>
            </w:tcBorders>
          </w:tcPr>
          <w:p>
            <w:pPr>
              <w:jc w:val="right"/>
              <w:ind w:right="82"/>
              <w:spacing w:after="0"/>
              <w:rPr>
                <w:sz w:val="20"/>
                <w:szCs w:val="20"/>
                <w:color w:val="auto"/>
              </w:rPr>
            </w:pPr>
            <w:r>
              <w:rPr>
                <w:rFonts w:ascii="Arial" w:cs="Arial" w:eastAsia="Arial" w:hAnsi="Arial"/>
                <w:sz w:val="16"/>
                <w:szCs w:val="16"/>
                <w:color w:val="auto"/>
              </w:rPr>
              <w:t>17,457,675</w:t>
            </w:r>
          </w:p>
        </w:tc>
        <w:tc>
          <w:tcPr>
            <w:tcW w:w="42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F2F2F2"/>
            </w:tcBorders>
            <w:shd w:val="clear" w:color="auto" w:fill="F2F2F2"/>
          </w:tcPr>
          <w:p>
            <w:pPr>
              <w:spacing w:after="0"/>
              <w:rPr>
                <w:sz w:val="24"/>
                <w:szCs w:val="24"/>
                <w:color w:val="auto"/>
              </w:rPr>
            </w:pPr>
          </w:p>
        </w:tc>
        <w:tc>
          <w:tcPr>
            <w:tcW w:w="820" w:type="dxa"/>
            <w:vAlign w:val="bottom"/>
            <w:tcBorders>
              <w:bottom w:val="single" w:sz="8" w:color="F2F2F2"/>
            </w:tcBorders>
            <w:vMerge w:val="restart"/>
            <w:shd w:val="clear" w:color="auto" w:fill="F2F2F2"/>
          </w:tcPr>
          <w:p>
            <w:pPr>
              <w:jc w:val="center"/>
              <w:ind w:left="19"/>
              <w:spacing w:after="0"/>
              <w:rPr>
                <w:sz w:val="20"/>
                <w:szCs w:val="20"/>
                <w:color w:val="auto"/>
              </w:rPr>
            </w:pPr>
            <w:r>
              <w:rPr>
                <w:rFonts w:ascii="Arial" w:cs="Arial" w:eastAsia="Arial" w:hAnsi="Arial"/>
                <w:sz w:val="20"/>
                <w:szCs w:val="20"/>
                <w:b w:val="1"/>
                <w:bCs w:val="1"/>
                <w:color w:val="auto"/>
              </w:rPr>
              <w:t>​223:1</w:t>
            </w:r>
          </w:p>
        </w:tc>
        <w:tc>
          <w:tcPr>
            <w:tcW w:w="420" w:type="dxa"/>
            <w:vAlign w:val="bottom"/>
            <w:tcBorders>
              <w:bottom w:val="single" w:sz="8" w:color="F2F2F2"/>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20" w:type="dxa"/>
            <w:vAlign w:val="bottom"/>
          </w:tcPr>
          <w:p>
            <w:pPr>
              <w:ind w:left="80"/>
              <w:spacing w:after="0"/>
              <w:rPr>
                <w:sz w:val="20"/>
                <w:szCs w:val="20"/>
                <w:color w:val="auto"/>
              </w:rPr>
            </w:pPr>
            <w:r>
              <w:rPr>
                <w:rFonts w:ascii="Arial" w:cs="Arial" w:eastAsia="Arial" w:hAnsi="Arial"/>
                <w:sz w:val="16"/>
                <w:szCs w:val="16"/>
                <w:color w:val="auto"/>
              </w:rPr>
              <w:t>Our median employee (excluding our CEO and</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shd w:val="clear" w:color="auto" w:fill="F2F2F2"/>
          </w:tcPr>
          <w:p>
            <w:pPr>
              <w:spacing w:after="0"/>
              <w:rPr>
                <w:sz w:val="16"/>
                <w:szCs w:val="16"/>
                <w:color w:val="auto"/>
              </w:rPr>
            </w:pPr>
          </w:p>
        </w:tc>
        <w:tc>
          <w:tcPr>
            <w:tcW w:w="820" w:type="dxa"/>
            <w:vAlign w:val="bottom"/>
            <w:vMerge w:val="continue"/>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 certain non-U.S. employees)</w:t>
            </w:r>
          </w:p>
        </w:tc>
        <w:tc>
          <w:tcPr>
            <w:tcW w:w="340" w:type="dxa"/>
            <w:vAlign w:val="bottom"/>
            <w:tcBorders>
              <w:bottom w:val="single" w:sz="8" w:color="62259D"/>
            </w:tcBorders>
          </w:tcPr>
          <w:p>
            <w:pPr>
              <w:ind w:left="140"/>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62259D"/>
            </w:tcBorders>
          </w:tcPr>
          <w:p>
            <w:pPr>
              <w:ind w:left="1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62259D"/>
            </w:tcBorders>
          </w:tcPr>
          <w:p>
            <w:pPr>
              <w:jc w:val="right"/>
              <w:ind w:right="82"/>
              <w:spacing w:after="0"/>
              <w:rPr>
                <w:sz w:val="20"/>
                <w:szCs w:val="20"/>
                <w:color w:val="auto"/>
              </w:rPr>
            </w:pPr>
            <w:r>
              <w:rPr>
                <w:rFonts w:ascii="Arial" w:cs="Arial" w:eastAsia="Arial" w:hAnsi="Arial"/>
                <w:sz w:val="16"/>
                <w:szCs w:val="16"/>
                <w:color w:val="auto"/>
              </w:rPr>
              <w:t>78,251</w:t>
            </w:r>
          </w:p>
        </w:tc>
        <w:tc>
          <w:tcPr>
            <w:tcW w:w="420" w:type="dxa"/>
            <w:vAlign w:val="bottom"/>
            <w:tcBorders>
              <w:bottom w:val="single" w:sz="8" w:color="62259D"/>
            </w:tcBorders>
          </w:tcPr>
          <w:p>
            <w:pPr>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62259D"/>
            </w:tcBorders>
            <w:shd w:val="clear" w:color="auto" w:fill="F2F2F2"/>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62259D"/>
            </w:tcBorders>
            <w:shd w:val="clear" w:color="auto" w:fill="F2F2F2"/>
          </w:tcPr>
          <w:p>
            <w:pPr>
              <w:ind w:left="16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62259D"/>
            </w:tcBorders>
            <w:shd w:val="clear" w:color="auto" w:fill="F2F2F2"/>
          </w:tcPr>
          <w:p>
            <w:pPr>
              <w:ind w:lef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Pay Versus Performance Disclosures</w:t>
      </w:r>
    </w:p>
    <w:p>
      <w:pPr>
        <w:spacing w:after="0" w:line="158" w:lineRule="exact"/>
        <w:rPr>
          <w:sz w:val="20"/>
          <w:szCs w:val="20"/>
          <w:color w:val="auto"/>
        </w:rPr>
      </w:pPr>
    </w:p>
    <w:p>
      <w:pPr>
        <w:ind w:left="920" w:right="680"/>
        <w:spacing w:after="0" w:line="248" w:lineRule="auto"/>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variable pay -for-performance philosophy and how the Company’s aligns executive compensation with the Company’s performance, refer to “Executive Compensation —  Compensation Discussion and Analysis.”</w:t>
      </w:r>
    </w:p>
    <w:p>
      <w:pPr>
        <w:spacing w:after="0" w:line="194" w:lineRule="exact"/>
        <w:rPr>
          <w:sz w:val="20"/>
          <w:szCs w:val="20"/>
          <w:color w:val="auto"/>
        </w:rPr>
      </w:pPr>
    </w:p>
    <w:tbl>
      <w:tblPr>
        <w:tblLayout w:type="fixed"/>
        <w:tblInd w:w="480" w:type="dxa"/>
        <w:tblCellMar>
          <w:top w:w="0" w:type="dxa"/>
          <w:left w:w="0" w:type="dxa"/>
          <w:bottom w:w="0" w:type="dxa"/>
          <w:right w:w="0" w:type="dxa"/>
        </w:tblCellMar>
      </w:tblPr>
      <w:tr>
        <w:trPr>
          <w:trHeight w:val="195"/>
        </w:trPr>
        <w:tc>
          <w:tcPr>
            <w:tcW w:w="520" w:type="dxa"/>
            <w:vAlign w:val="bottom"/>
            <w:shd w:val="clear" w:color="auto" w:fill="62259D"/>
          </w:tcPr>
          <w:p>
            <w:pPr>
              <w:spacing w:after="0"/>
              <w:rPr>
                <w:sz w:val="16"/>
                <w:szCs w:val="16"/>
                <w:color w:val="auto"/>
              </w:rPr>
            </w:pPr>
          </w:p>
        </w:tc>
        <w:tc>
          <w:tcPr>
            <w:tcW w:w="100" w:type="dxa"/>
            <w:vAlign w:val="bottom"/>
            <w:shd w:val="clear" w:color="auto" w:fill="62259D"/>
          </w:tcPr>
          <w:p>
            <w:pPr>
              <w:spacing w:after="0"/>
              <w:rPr>
                <w:sz w:val="16"/>
                <w:szCs w:val="16"/>
                <w:color w:val="auto"/>
              </w:rPr>
            </w:pPr>
          </w:p>
        </w:tc>
        <w:tc>
          <w:tcPr>
            <w:tcW w:w="140" w:type="dxa"/>
            <w:vAlign w:val="bottom"/>
            <w:shd w:val="clear" w:color="auto" w:fill="62259D"/>
          </w:tcPr>
          <w:p>
            <w:pPr>
              <w:spacing w:after="0"/>
              <w:rPr>
                <w:sz w:val="16"/>
                <w:szCs w:val="16"/>
                <w:color w:val="auto"/>
              </w:rPr>
            </w:pPr>
          </w:p>
        </w:tc>
        <w:tc>
          <w:tcPr>
            <w:tcW w:w="940" w:type="dxa"/>
            <w:vAlign w:val="bottom"/>
            <w:shd w:val="clear" w:color="auto" w:fill="62259D"/>
          </w:tcPr>
          <w:p>
            <w:pPr>
              <w:spacing w:after="0"/>
              <w:rPr>
                <w:sz w:val="16"/>
                <w:szCs w:val="16"/>
                <w:color w:val="auto"/>
              </w:rPr>
            </w:pPr>
          </w:p>
        </w:tc>
        <w:tc>
          <w:tcPr>
            <w:tcW w:w="180" w:type="dxa"/>
            <w:vAlign w:val="bottom"/>
            <w:shd w:val="clear" w:color="auto" w:fill="62259D"/>
          </w:tcPr>
          <w:p>
            <w:pPr>
              <w:spacing w:after="0"/>
              <w:rPr>
                <w:sz w:val="16"/>
                <w:szCs w:val="16"/>
                <w:color w:val="auto"/>
              </w:rPr>
            </w:pPr>
          </w:p>
        </w:tc>
        <w:tc>
          <w:tcPr>
            <w:tcW w:w="160" w:type="dxa"/>
            <w:vAlign w:val="bottom"/>
            <w:shd w:val="clear" w:color="auto" w:fill="62259D"/>
          </w:tcPr>
          <w:p>
            <w:pPr>
              <w:spacing w:after="0"/>
              <w:rPr>
                <w:sz w:val="16"/>
                <w:szCs w:val="16"/>
                <w:color w:val="auto"/>
              </w:rPr>
            </w:pPr>
          </w:p>
        </w:tc>
        <w:tc>
          <w:tcPr>
            <w:tcW w:w="920" w:type="dxa"/>
            <w:vAlign w:val="bottom"/>
            <w:shd w:val="clear" w:color="auto" w:fill="62259D"/>
          </w:tcPr>
          <w:p>
            <w:pPr>
              <w:spacing w:after="0"/>
              <w:rPr>
                <w:sz w:val="16"/>
                <w:szCs w:val="16"/>
                <w:color w:val="auto"/>
              </w:rPr>
            </w:pPr>
          </w:p>
        </w:tc>
        <w:tc>
          <w:tcPr>
            <w:tcW w:w="200" w:type="dxa"/>
            <w:vAlign w:val="bottom"/>
            <w:shd w:val="clear" w:color="auto" w:fill="62259D"/>
          </w:tcPr>
          <w:p>
            <w:pPr>
              <w:spacing w:after="0"/>
              <w:rPr>
                <w:sz w:val="16"/>
                <w:szCs w:val="16"/>
                <w:color w:val="auto"/>
              </w:rPr>
            </w:pPr>
          </w:p>
        </w:tc>
        <w:tc>
          <w:tcPr>
            <w:tcW w:w="1080" w:type="dxa"/>
            <w:vAlign w:val="bottom"/>
            <w:gridSpan w:val="2"/>
            <w:vMerge w:val="restart"/>
            <w:shd w:val="clear" w:color="auto" w:fill="62259D"/>
          </w:tcPr>
          <w:p>
            <w:pPr>
              <w:jc w:val="center"/>
              <w:ind w:right="23"/>
              <w:spacing w:after="0"/>
              <w:rPr>
                <w:sz w:val="20"/>
                <w:szCs w:val="20"/>
                <w:color w:val="auto"/>
              </w:rPr>
            </w:pPr>
            <w:r>
              <w:rPr>
                <w:rFonts w:ascii="Arial" w:cs="Arial" w:eastAsia="Arial" w:hAnsi="Arial"/>
                <w:sz w:val="15"/>
                <w:szCs w:val="15"/>
                <w:b w:val="1"/>
                <w:bCs w:val="1"/>
                <w:color w:val="FEFEFE"/>
              </w:rPr>
              <w:t>Average</w:t>
            </w:r>
          </w:p>
        </w:tc>
        <w:tc>
          <w:tcPr>
            <w:tcW w:w="180" w:type="dxa"/>
            <w:vAlign w:val="bottom"/>
            <w:shd w:val="clear" w:color="auto" w:fill="62259D"/>
          </w:tcPr>
          <w:p>
            <w:pPr>
              <w:spacing w:after="0"/>
              <w:rPr>
                <w:sz w:val="16"/>
                <w:szCs w:val="16"/>
                <w:color w:val="auto"/>
              </w:rPr>
            </w:pPr>
          </w:p>
        </w:tc>
        <w:tc>
          <w:tcPr>
            <w:tcW w:w="1020" w:type="dxa"/>
            <w:vAlign w:val="bottom"/>
            <w:gridSpan w:val="2"/>
            <w:vMerge w:val="restart"/>
            <w:shd w:val="clear" w:color="auto" w:fill="62259D"/>
          </w:tcPr>
          <w:p>
            <w:pPr>
              <w:jc w:val="center"/>
              <w:spacing w:after="0"/>
              <w:rPr>
                <w:sz w:val="20"/>
                <w:szCs w:val="20"/>
                <w:color w:val="auto"/>
              </w:rPr>
            </w:pPr>
            <w:r>
              <w:rPr>
                <w:rFonts w:ascii="Arial" w:cs="Arial" w:eastAsia="Arial" w:hAnsi="Arial"/>
                <w:sz w:val="15"/>
                <w:szCs w:val="15"/>
                <w:b w:val="1"/>
                <w:bCs w:val="1"/>
                <w:color w:val="FEFEFE"/>
              </w:rPr>
              <w:t>Average</w:t>
            </w:r>
          </w:p>
        </w:tc>
        <w:tc>
          <w:tcPr>
            <w:tcW w:w="130" w:type="dxa"/>
            <w:vAlign w:val="bottom"/>
            <w:shd w:val="clear" w:color="auto" w:fill="62259D"/>
          </w:tcPr>
          <w:p>
            <w:pPr>
              <w:spacing w:after="0"/>
              <w:rPr>
                <w:sz w:val="16"/>
                <w:szCs w:val="16"/>
                <w:color w:val="auto"/>
              </w:rPr>
            </w:pPr>
          </w:p>
        </w:tc>
        <w:tc>
          <w:tcPr>
            <w:tcW w:w="2130" w:type="dxa"/>
            <w:vAlign w:val="bottom"/>
            <w:gridSpan w:val="6"/>
            <w:shd w:val="clear" w:color="auto" w:fill="62259D"/>
          </w:tcPr>
          <w:p>
            <w:pPr>
              <w:jc w:val="center"/>
              <w:spacing w:after="0"/>
              <w:rPr>
                <w:sz w:val="20"/>
                <w:szCs w:val="20"/>
                <w:color w:val="auto"/>
              </w:rPr>
            </w:pPr>
            <w:r>
              <w:rPr>
                <w:rFonts w:ascii="Arial" w:cs="Arial" w:eastAsia="Arial" w:hAnsi="Arial"/>
                <w:sz w:val="15"/>
                <w:szCs w:val="15"/>
                <w:b w:val="1"/>
                <w:bCs w:val="1"/>
                <w:color w:val="FEFEFE"/>
              </w:rPr>
              <w:t>Value of Initial Fixed $100</w:t>
            </w:r>
          </w:p>
        </w:tc>
        <w:tc>
          <w:tcPr>
            <w:tcW w:w="80" w:type="dxa"/>
            <w:vAlign w:val="bottom"/>
            <w:shd w:val="clear" w:color="auto" w:fill="62259D"/>
          </w:tcPr>
          <w:p>
            <w:pPr>
              <w:spacing w:after="0"/>
              <w:rPr>
                <w:sz w:val="16"/>
                <w:szCs w:val="16"/>
                <w:color w:val="auto"/>
              </w:rPr>
            </w:pPr>
          </w:p>
        </w:tc>
        <w:tc>
          <w:tcPr>
            <w:tcW w:w="260" w:type="dxa"/>
            <w:vAlign w:val="bottom"/>
            <w:shd w:val="clear" w:color="auto" w:fill="62259D"/>
          </w:tcPr>
          <w:p>
            <w:pPr>
              <w:spacing w:after="0"/>
              <w:rPr>
                <w:sz w:val="16"/>
                <w:szCs w:val="16"/>
                <w:color w:val="auto"/>
              </w:rPr>
            </w:pPr>
          </w:p>
        </w:tc>
        <w:tc>
          <w:tcPr>
            <w:tcW w:w="780" w:type="dxa"/>
            <w:vAlign w:val="bottom"/>
            <w:shd w:val="clear" w:color="auto" w:fill="62259D"/>
          </w:tcPr>
          <w:p>
            <w:pPr>
              <w:spacing w:after="0"/>
              <w:rPr>
                <w:sz w:val="16"/>
                <w:szCs w:val="16"/>
                <w:color w:val="auto"/>
              </w:rPr>
            </w:pPr>
          </w:p>
        </w:tc>
        <w:tc>
          <w:tcPr>
            <w:tcW w:w="780" w:type="dxa"/>
            <w:vAlign w:val="bottom"/>
            <w:shd w:val="clear" w:color="auto" w:fill="62259D"/>
          </w:tcPr>
          <w:p>
            <w:pPr>
              <w:spacing w:after="0"/>
              <w:rPr>
                <w:sz w:val="16"/>
                <w:szCs w:val="16"/>
                <w:color w:val="auto"/>
              </w:rPr>
            </w:pPr>
          </w:p>
        </w:tc>
        <w:tc>
          <w:tcPr>
            <w:tcW w:w="140" w:type="dxa"/>
            <w:vAlign w:val="bottom"/>
            <w:shd w:val="clear" w:color="auto" w:fill="62259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520" w:type="dxa"/>
            <w:vAlign w:val="bottom"/>
            <w:shd w:val="clear" w:color="auto" w:fill="62259D"/>
          </w:tcPr>
          <w:p>
            <w:pPr>
              <w:spacing w:after="0"/>
              <w:rPr>
                <w:sz w:val="5"/>
                <w:szCs w:val="5"/>
                <w:color w:val="auto"/>
              </w:rPr>
            </w:pPr>
          </w:p>
        </w:tc>
        <w:tc>
          <w:tcPr>
            <w:tcW w:w="100" w:type="dxa"/>
            <w:vAlign w:val="bottom"/>
            <w:shd w:val="clear" w:color="auto" w:fill="62259D"/>
          </w:tcPr>
          <w:p>
            <w:pPr>
              <w:spacing w:after="0"/>
              <w:rPr>
                <w:sz w:val="5"/>
                <w:szCs w:val="5"/>
                <w:color w:val="auto"/>
              </w:rPr>
            </w:pPr>
          </w:p>
        </w:tc>
        <w:tc>
          <w:tcPr>
            <w:tcW w:w="140" w:type="dxa"/>
            <w:vAlign w:val="bottom"/>
            <w:shd w:val="clear" w:color="auto" w:fill="62259D"/>
          </w:tcPr>
          <w:p>
            <w:pPr>
              <w:spacing w:after="0"/>
              <w:rPr>
                <w:sz w:val="5"/>
                <w:szCs w:val="5"/>
                <w:color w:val="auto"/>
              </w:rPr>
            </w:pPr>
          </w:p>
        </w:tc>
        <w:tc>
          <w:tcPr>
            <w:tcW w:w="940" w:type="dxa"/>
            <w:vAlign w:val="bottom"/>
            <w:shd w:val="clear" w:color="auto" w:fill="62259D"/>
          </w:tcPr>
          <w:p>
            <w:pPr>
              <w:spacing w:after="0"/>
              <w:rPr>
                <w:sz w:val="5"/>
                <w:szCs w:val="5"/>
                <w:color w:val="auto"/>
              </w:rPr>
            </w:pPr>
          </w:p>
        </w:tc>
        <w:tc>
          <w:tcPr>
            <w:tcW w:w="180" w:type="dxa"/>
            <w:vAlign w:val="bottom"/>
            <w:shd w:val="clear" w:color="auto" w:fill="62259D"/>
          </w:tcPr>
          <w:p>
            <w:pPr>
              <w:spacing w:after="0"/>
              <w:rPr>
                <w:sz w:val="5"/>
                <w:szCs w:val="5"/>
                <w:color w:val="auto"/>
              </w:rPr>
            </w:pPr>
          </w:p>
        </w:tc>
        <w:tc>
          <w:tcPr>
            <w:tcW w:w="160" w:type="dxa"/>
            <w:vAlign w:val="bottom"/>
            <w:shd w:val="clear" w:color="auto" w:fill="62259D"/>
          </w:tcPr>
          <w:p>
            <w:pPr>
              <w:spacing w:after="0"/>
              <w:rPr>
                <w:sz w:val="5"/>
                <w:szCs w:val="5"/>
                <w:color w:val="auto"/>
              </w:rPr>
            </w:pPr>
          </w:p>
        </w:tc>
        <w:tc>
          <w:tcPr>
            <w:tcW w:w="920" w:type="dxa"/>
            <w:vAlign w:val="bottom"/>
            <w:shd w:val="clear" w:color="auto" w:fill="62259D"/>
          </w:tcPr>
          <w:p>
            <w:pPr>
              <w:spacing w:after="0"/>
              <w:rPr>
                <w:sz w:val="5"/>
                <w:szCs w:val="5"/>
                <w:color w:val="auto"/>
              </w:rPr>
            </w:pPr>
          </w:p>
        </w:tc>
        <w:tc>
          <w:tcPr>
            <w:tcW w:w="200" w:type="dxa"/>
            <w:vAlign w:val="bottom"/>
            <w:shd w:val="clear" w:color="auto" w:fill="62259D"/>
          </w:tcPr>
          <w:p>
            <w:pPr>
              <w:spacing w:after="0"/>
              <w:rPr>
                <w:sz w:val="5"/>
                <w:szCs w:val="5"/>
                <w:color w:val="auto"/>
              </w:rPr>
            </w:pPr>
          </w:p>
        </w:tc>
        <w:tc>
          <w:tcPr>
            <w:tcW w:w="1080" w:type="dxa"/>
            <w:vAlign w:val="bottom"/>
            <w:gridSpan w:val="2"/>
            <w:vMerge w:val="continue"/>
            <w:shd w:val="clear" w:color="auto" w:fill="62259D"/>
          </w:tcPr>
          <w:p>
            <w:pPr>
              <w:spacing w:after="0"/>
              <w:rPr>
                <w:sz w:val="5"/>
                <w:szCs w:val="5"/>
                <w:color w:val="auto"/>
              </w:rPr>
            </w:pPr>
          </w:p>
        </w:tc>
        <w:tc>
          <w:tcPr>
            <w:tcW w:w="180" w:type="dxa"/>
            <w:vAlign w:val="bottom"/>
            <w:shd w:val="clear" w:color="auto" w:fill="62259D"/>
          </w:tcPr>
          <w:p>
            <w:pPr>
              <w:spacing w:after="0"/>
              <w:rPr>
                <w:sz w:val="5"/>
                <w:szCs w:val="5"/>
                <w:color w:val="auto"/>
              </w:rPr>
            </w:pPr>
          </w:p>
        </w:tc>
        <w:tc>
          <w:tcPr>
            <w:tcW w:w="1020" w:type="dxa"/>
            <w:vAlign w:val="bottom"/>
            <w:gridSpan w:val="2"/>
            <w:vMerge w:val="continue"/>
            <w:shd w:val="clear" w:color="auto" w:fill="62259D"/>
          </w:tcPr>
          <w:p>
            <w:pPr>
              <w:spacing w:after="0"/>
              <w:rPr>
                <w:sz w:val="5"/>
                <w:szCs w:val="5"/>
                <w:color w:val="auto"/>
              </w:rPr>
            </w:pPr>
          </w:p>
        </w:tc>
        <w:tc>
          <w:tcPr>
            <w:tcW w:w="130" w:type="dxa"/>
            <w:vAlign w:val="bottom"/>
            <w:shd w:val="clear" w:color="auto" w:fill="62259D"/>
          </w:tcPr>
          <w:p>
            <w:pPr>
              <w:spacing w:after="0"/>
              <w:rPr>
                <w:sz w:val="5"/>
                <w:szCs w:val="5"/>
                <w:color w:val="auto"/>
              </w:rPr>
            </w:pPr>
          </w:p>
        </w:tc>
        <w:tc>
          <w:tcPr>
            <w:tcW w:w="110" w:type="dxa"/>
            <w:vAlign w:val="bottom"/>
            <w:vMerge w:val="restart"/>
            <w:shd w:val="clear" w:color="auto" w:fill="62259D"/>
          </w:tcPr>
          <w:p>
            <w:pPr>
              <w:jc w:val="right"/>
              <w:spacing w:after="0"/>
              <w:rPr>
                <w:sz w:val="20"/>
                <w:szCs w:val="20"/>
                <w:color w:val="auto"/>
              </w:rPr>
            </w:pPr>
            <w:r>
              <w:rPr>
                <w:rFonts w:ascii="Arial" w:cs="Arial" w:eastAsia="Arial" w:hAnsi="Arial"/>
                <w:sz w:val="15"/>
                <w:szCs w:val="15"/>
                <w:b w:val="1"/>
                <w:bCs w:val="1"/>
                <w:color w:val="FEFEFE"/>
              </w:rPr>
              <w:t>​</w:t>
            </w:r>
          </w:p>
        </w:tc>
        <w:tc>
          <w:tcPr>
            <w:tcW w:w="2020" w:type="dxa"/>
            <w:vAlign w:val="bottom"/>
            <w:gridSpan w:val="5"/>
            <w:vMerge w:val="restart"/>
            <w:shd w:val="clear" w:color="auto" w:fill="62259D"/>
          </w:tcPr>
          <w:p>
            <w:pPr>
              <w:ind w:left="100"/>
              <w:spacing w:after="0"/>
              <w:rPr>
                <w:sz w:val="20"/>
                <w:szCs w:val="20"/>
                <w:color w:val="auto"/>
              </w:rPr>
            </w:pPr>
            <w:r>
              <w:rPr>
                <w:rFonts w:ascii="Arial" w:cs="Arial" w:eastAsia="Arial" w:hAnsi="Arial"/>
                <w:sz w:val="15"/>
                <w:szCs w:val="15"/>
                <w:b w:val="1"/>
                <w:bCs w:val="1"/>
                <w:color w:val="FEFEFE"/>
              </w:rPr>
              <w:t>Investment Based On:</w:t>
            </w:r>
          </w:p>
        </w:tc>
        <w:tc>
          <w:tcPr>
            <w:tcW w:w="80" w:type="dxa"/>
            <w:vAlign w:val="bottom"/>
            <w:shd w:val="clear" w:color="auto" w:fill="62259D"/>
          </w:tcPr>
          <w:p>
            <w:pPr>
              <w:spacing w:after="0"/>
              <w:rPr>
                <w:sz w:val="5"/>
                <w:szCs w:val="5"/>
                <w:color w:val="auto"/>
              </w:rPr>
            </w:pPr>
          </w:p>
        </w:tc>
        <w:tc>
          <w:tcPr>
            <w:tcW w:w="260" w:type="dxa"/>
            <w:vAlign w:val="bottom"/>
            <w:vMerge w:val="restart"/>
            <w:shd w:val="clear" w:color="auto" w:fill="62259D"/>
          </w:tcPr>
          <w:p>
            <w:pPr>
              <w:spacing w:after="0"/>
              <w:rPr>
                <w:sz w:val="20"/>
                <w:szCs w:val="20"/>
                <w:color w:val="auto"/>
              </w:rPr>
            </w:pPr>
            <w:r>
              <w:rPr>
                <w:rFonts w:ascii="Arial" w:cs="Arial" w:eastAsia="Arial" w:hAnsi="Arial"/>
                <w:sz w:val="15"/>
                <w:szCs w:val="15"/>
                <w:b w:val="1"/>
                <w:bCs w:val="1"/>
                <w:color w:val="FEFEFE"/>
              </w:rPr>
              <w:t>​</w:t>
            </w:r>
          </w:p>
        </w:tc>
        <w:tc>
          <w:tcPr>
            <w:tcW w:w="780" w:type="dxa"/>
            <w:vAlign w:val="bottom"/>
            <w:shd w:val="clear" w:color="auto" w:fill="62259D"/>
          </w:tcPr>
          <w:p>
            <w:pPr>
              <w:spacing w:after="0"/>
              <w:rPr>
                <w:sz w:val="5"/>
                <w:szCs w:val="5"/>
                <w:color w:val="auto"/>
              </w:rPr>
            </w:pPr>
          </w:p>
        </w:tc>
        <w:tc>
          <w:tcPr>
            <w:tcW w:w="780" w:type="dxa"/>
            <w:vAlign w:val="bottom"/>
            <w:shd w:val="clear" w:color="auto" w:fill="62259D"/>
          </w:tcPr>
          <w:p>
            <w:pPr>
              <w:spacing w:after="0"/>
              <w:rPr>
                <w:sz w:val="5"/>
                <w:szCs w:val="5"/>
                <w:color w:val="auto"/>
              </w:rPr>
            </w:pPr>
          </w:p>
        </w:tc>
        <w:tc>
          <w:tcPr>
            <w:tcW w:w="140" w:type="dxa"/>
            <w:vAlign w:val="bottom"/>
            <w:shd w:val="clear" w:color="auto" w:fill="62259D"/>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520" w:type="dxa"/>
            <w:vAlign w:val="bottom"/>
            <w:shd w:val="clear" w:color="auto" w:fill="62259D"/>
          </w:tcPr>
          <w:p>
            <w:pPr>
              <w:spacing w:after="0"/>
              <w:rPr>
                <w:sz w:val="14"/>
                <w:szCs w:val="14"/>
                <w:color w:val="auto"/>
              </w:rPr>
            </w:pPr>
          </w:p>
        </w:tc>
        <w:tc>
          <w:tcPr>
            <w:tcW w:w="100" w:type="dxa"/>
            <w:vAlign w:val="bottom"/>
            <w:shd w:val="clear" w:color="auto" w:fill="62259D"/>
          </w:tcPr>
          <w:p>
            <w:pPr>
              <w:spacing w:after="0"/>
              <w:rPr>
                <w:sz w:val="14"/>
                <w:szCs w:val="14"/>
                <w:color w:val="auto"/>
              </w:rPr>
            </w:pPr>
          </w:p>
        </w:tc>
        <w:tc>
          <w:tcPr>
            <w:tcW w:w="140" w:type="dxa"/>
            <w:vAlign w:val="bottom"/>
            <w:shd w:val="clear" w:color="auto" w:fill="62259D"/>
          </w:tcPr>
          <w:p>
            <w:pPr>
              <w:spacing w:after="0"/>
              <w:rPr>
                <w:sz w:val="14"/>
                <w:szCs w:val="14"/>
                <w:color w:val="auto"/>
              </w:rPr>
            </w:pPr>
          </w:p>
        </w:tc>
        <w:tc>
          <w:tcPr>
            <w:tcW w:w="940" w:type="dxa"/>
            <w:vAlign w:val="bottom"/>
            <w:shd w:val="clear" w:color="auto" w:fill="62259D"/>
          </w:tcPr>
          <w:p>
            <w:pPr>
              <w:jc w:val="center"/>
              <w:ind w:right="103"/>
              <w:spacing w:after="0" w:line="150" w:lineRule="exact"/>
              <w:rPr>
                <w:sz w:val="20"/>
                <w:szCs w:val="20"/>
                <w:color w:val="auto"/>
              </w:rPr>
            </w:pPr>
            <w:r>
              <w:rPr>
                <w:rFonts w:ascii="Arial" w:cs="Arial" w:eastAsia="Arial" w:hAnsi="Arial"/>
                <w:sz w:val="15"/>
                <w:szCs w:val="15"/>
                <w:b w:val="1"/>
                <w:bCs w:val="1"/>
                <w:color w:val="FEFEFE"/>
              </w:rPr>
              <w:t>Summary</w:t>
            </w:r>
          </w:p>
        </w:tc>
        <w:tc>
          <w:tcPr>
            <w:tcW w:w="180" w:type="dxa"/>
            <w:vAlign w:val="bottom"/>
            <w:shd w:val="clear" w:color="auto" w:fill="62259D"/>
          </w:tcPr>
          <w:p>
            <w:pPr>
              <w:spacing w:after="0"/>
              <w:rPr>
                <w:sz w:val="14"/>
                <w:szCs w:val="14"/>
                <w:color w:val="auto"/>
              </w:rPr>
            </w:pPr>
          </w:p>
        </w:tc>
        <w:tc>
          <w:tcPr>
            <w:tcW w:w="160" w:type="dxa"/>
            <w:vAlign w:val="bottom"/>
            <w:shd w:val="clear" w:color="auto" w:fill="62259D"/>
          </w:tcPr>
          <w:p>
            <w:pPr>
              <w:spacing w:after="0"/>
              <w:rPr>
                <w:sz w:val="14"/>
                <w:szCs w:val="14"/>
                <w:color w:val="auto"/>
              </w:rPr>
            </w:pPr>
          </w:p>
        </w:tc>
        <w:tc>
          <w:tcPr>
            <w:tcW w:w="920" w:type="dxa"/>
            <w:vAlign w:val="bottom"/>
            <w:shd w:val="clear" w:color="auto" w:fill="62259D"/>
          </w:tcPr>
          <w:p>
            <w:pPr>
              <w:spacing w:after="0"/>
              <w:rPr>
                <w:sz w:val="14"/>
                <w:szCs w:val="14"/>
                <w:color w:val="auto"/>
              </w:rPr>
            </w:pPr>
          </w:p>
        </w:tc>
        <w:tc>
          <w:tcPr>
            <w:tcW w:w="200" w:type="dxa"/>
            <w:vAlign w:val="bottom"/>
            <w:shd w:val="clear" w:color="auto" w:fill="62259D"/>
          </w:tcPr>
          <w:p>
            <w:pPr>
              <w:spacing w:after="0"/>
              <w:rPr>
                <w:sz w:val="14"/>
                <w:szCs w:val="14"/>
                <w:color w:val="auto"/>
              </w:rPr>
            </w:pPr>
          </w:p>
        </w:tc>
        <w:tc>
          <w:tcPr>
            <w:tcW w:w="1080" w:type="dxa"/>
            <w:vAlign w:val="bottom"/>
            <w:gridSpan w:val="2"/>
            <w:shd w:val="clear" w:color="auto" w:fill="62259D"/>
          </w:tcPr>
          <w:p>
            <w:pPr>
              <w:jc w:val="center"/>
              <w:ind w:right="23"/>
              <w:spacing w:after="0" w:line="150" w:lineRule="exact"/>
              <w:rPr>
                <w:sz w:val="20"/>
                <w:szCs w:val="20"/>
                <w:color w:val="auto"/>
              </w:rPr>
            </w:pPr>
            <w:r>
              <w:rPr>
                <w:rFonts w:ascii="Arial" w:cs="Arial" w:eastAsia="Arial" w:hAnsi="Arial"/>
                <w:sz w:val="15"/>
                <w:szCs w:val="15"/>
                <w:b w:val="1"/>
                <w:bCs w:val="1"/>
                <w:color w:val="FEFEFE"/>
              </w:rPr>
              <w:t>Summary</w:t>
            </w:r>
          </w:p>
        </w:tc>
        <w:tc>
          <w:tcPr>
            <w:tcW w:w="1330" w:type="dxa"/>
            <w:vAlign w:val="bottom"/>
            <w:gridSpan w:val="4"/>
            <w:shd w:val="clear" w:color="auto" w:fill="62259D"/>
          </w:tcPr>
          <w:p>
            <w:pPr>
              <w:jc w:val="center"/>
              <w:spacing w:after="0" w:line="150" w:lineRule="exact"/>
              <w:rPr>
                <w:sz w:val="20"/>
                <w:szCs w:val="20"/>
                <w:color w:val="auto"/>
              </w:rPr>
            </w:pPr>
            <w:r>
              <w:rPr>
                <w:rFonts w:ascii="Arial" w:cs="Arial" w:eastAsia="Arial" w:hAnsi="Arial"/>
                <w:sz w:val="15"/>
                <w:szCs w:val="15"/>
                <w:b w:val="1"/>
                <w:bCs w:val="1"/>
                <w:color w:val="FEFEFE"/>
              </w:rPr>
              <w:t>Compensation</w:t>
            </w:r>
          </w:p>
        </w:tc>
        <w:tc>
          <w:tcPr>
            <w:tcW w:w="110" w:type="dxa"/>
            <w:vAlign w:val="bottom"/>
            <w:vMerge w:val="continue"/>
            <w:shd w:val="clear" w:color="auto" w:fill="62259D"/>
          </w:tcPr>
          <w:p>
            <w:pPr>
              <w:spacing w:after="0"/>
              <w:rPr>
                <w:sz w:val="14"/>
                <w:szCs w:val="14"/>
                <w:color w:val="auto"/>
              </w:rPr>
            </w:pPr>
          </w:p>
        </w:tc>
        <w:tc>
          <w:tcPr>
            <w:tcW w:w="2020" w:type="dxa"/>
            <w:vAlign w:val="bottom"/>
            <w:gridSpan w:val="5"/>
            <w:vMerge w:val="continue"/>
            <w:shd w:val="clear" w:color="auto" w:fill="62259D"/>
          </w:tcPr>
          <w:p>
            <w:pPr>
              <w:spacing w:after="0"/>
              <w:rPr>
                <w:sz w:val="14"/>
                <w:szCs w:val="14"/>
                <w:color w:val="auto"/>
              </w:rPr>
            </w:pPr>
          </w:p>
        </w:tc>
        <w:tc>
          <w:tcPr>
            <w:tcW w:w="80" w:type="dxa"/>
            <w:vAlign w:val="bottom"/>
            <w:shd w:val="clear" w:color="auto" w:fill="62259D"/>
          </w:tcPr>
          <w:p>
            <w:pPr>
              <w:spacing w:after="0"/>
              <w:rPr>
                <w:sz w:val="14"/>
                <w:szCs w:val="14"/>
                <w:color w:val="auto"/>
              </w:rPr>
            </w:pPr>
          </w:p>
        </w:tc>
        <w:tc>
          <w:tcPr>
            <w:tcW w:w="260" w:type="dxa"/>
            <w:vAlign w:val="bottom"/>
            <w:vMerge w:val="continue"/>
            <w:shd w:val="clear" w:color="auto" w:fill="62259D"/>
          </w:tcPr>
          <w:p>
            <w:pPr>
              <w:spacing w:after="0"/>
              <w:rPr>
                <w:sz w:val="14"/>
                <w:szCs w:val="14"/>
                <w:color w:val="auto"/>
              </w:rPr>
            </w:pPr>
          </w:p>
        </w:tc>
        <w:tc>
          <w:tcPr>
            <w:tcW w:w="780" w:type="dxa"/>
            <w:vAlign w:val="bottom"/>
            <w:shd w:val="clear" w:color="auto" w:fill="62259D"/>
          </w:tcPr>
          <w:p>
            <w:pPr>
              <w:spacing w:after="0"/>
              <w:rPr>
                <w:sz w:val="14"/>
                <w:szCs w:val="14"/>
                <w:color w:val="auto"/>
              </w:rPr>
            </w:pPr>
          </w:p>
        </w:tc>
        <w:tc>
          <w:tcPr>
            <w:tcW w:w="780" w:type="dxa"/>
            <w:vAlign w:val="bottom"/>
            <w:shd w:val="clear" w:color="auto" w:fill="62259D"/>
          </w:tcPr>
          <w:p>
            <w:pPr>
              <w:spacing w:after="0"/>
              <w:rPr>
                <w:sz w:val="14"/>
                <w:szCs w:val="14"/>
                <w:color w:val="auto"/>
              </w:rPr>
            </w:pPr>
          </w:p>
        </w:tc>
        <w:tc>
          <w:tcPr>
            <w:tcW w:w="140" w:type="dxa"/>
            <w:vAlign w:val="bottom"/>
            <w:shd w:val="clear" w:color="auto" w:fill="62259D"/>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20" w:type="dxa"/>
            <w:vAlign w:val="bottom"/>
            <w:shd w:val="clear" w:color="auto" w:fill="62259D"/>
          </w:tcPr>
          <w:p>
            <w:pPr>
              <w:spacing w:after="0"/>
              <w:rPr>
                <w:sz w:val="16"/>
                <w:szCs w:val="16"/>
                <w:color w:val="auto"/>
              </w:rPr>
            </w:pPr>
          </w:p>
        </w:tc>
        <w:tc>
          <w:tcPr>
            <w:tcW w:w="3720" w:type="dxa"/>
            <w:vAlign w:val="bottom"/>
            <w:gridSpan w:val="9"/>
            <w:shd w:val="clear" w:color="auto" w:fill="62259D"/>
          </w:tcPr>
          <w:p>
            <w:pPr>
              <w:jc w:val="center"/>
              <w:spacing w:after="0"/>
              <w:rPr>
                <w:sz w:val="20"/>
                <w:szCs w:val="20"/>
                <w:color w:val="auto"/>
              </w:rPr>
            </w:pPr>
            <w:r>
              <w:rPr>
                <w:rFonts w:ascii="Arial" w:cs="Arial" w:eastAsia="Arial" w:hAnsi="Arial"/>
                <w:sz w:val="15"/>
                <w:szCs w:val="15"/>
                <w:b w:val="1"/>
                <w:bCs w:val="1"/>
                <w:color w:val="FEFEFE"/>
              </w:rPr>
              <w:t>Compensation Compensation Compensation</w:t>
            </w:r>
          </w:p>
        </w:tc>
        <w:tc>
          <w:tcPr>
            <w:tcW w:w="180" w:type="dxa"/>
            <w:vAlign w:val="bottom"/>
            <w:shd w:val="clear" w:color="auto" w:fill="62259D"/>
          </w:tcPr>
          <w:p>
            <w:pPr>
              <w:spacing w:after="0"/>
              <w:rPr>
                <w:sz w:val="16"/>
                <w:szCs w:val="16"/>
                <w:color w:val="auto"/>
              </w:rPr>
            </w:pPr>
          </w:p>
        </w:tc>
        <w:tc>
          <w:tcPr>
            <w:tcW w:w="1020" w:type="dxa"/>
            <w:vAlign w:val="bottom"/>
            <w:gridSpan w:val="2"/>
            <w:shd w:val="clear" w:color="auto" w:fill="62259D"/>
          </w:tcPr>
          <w:p>
            <w:pPr>
              <w:jc w:val="center"/>
              <w:spacing w:after="0"/>
              <w:rPr>
                <w:sz w:val="20"/>
                <w:szCs w:val="20"/>
                <w:color w:val="auto"/>
              </w:rPr>
            </w:pPr>
            <w:r>
              <w:rPr>
                <w:rFonts w:ascii="Arial" w:cs="Arial" w:eastAsia="Arial" w:hAnsi="Arial"/>
                <w:sz w:val="15"/>
                <w:szCs w:val="15"/>
                <w:b w:val="1"/>
                <w:bCs w:val="1"/>
                <w:color w:val="FEFEFE"/>
              </w:rPr>
              <w:t>Actually</w:t>
            </w:r>
          </w:p>
        </w:tc>
        <w:tc>
          <w:tcPr>
            <w:tcW w:w="130" w:type="dxa"/>
            <w:vAlign w:val="bottom"/>
            <w:shd w:val="clear" w:color="auto" w:fill="62259D"/>
          </w:tcPr>
          <w:p>
            <w:pPr>
              <w:spacing w:after="0"/>
              <w:rPr>
                <w:sz w:val="16"/>
                <w:szCs w:val="16"/>
                <w:color w:val="auto"/>
              </w:rPr>
            </w:pPr>
          </w:p>
        </w:tc>
        <w:tc>
          <w:tcPr>
            <w:tcW w:w="110" w:type="dxa"/>
            <w:vAlign w:val="bottom"/>
            <w:shd w:val="clear" w:color="auto" w:fill="62259D"/>
          </w:tcPr>
          <w:p>
            <w:pPr>
              <w:spacing w:after="0"/>
              <w:rPr>
                <w:sz w:val="16"/>
                <w:szCs w:val="16"/>
                <w:color w:val="auto"/>
              </w:rPr>
            </w:pPr>
          </w:p>
        </w:tc>
        <w:tc>
          <w:tcPr>
            <w:tcW w:w="900" w:type="dxa"/>
            <w:vAlign w:val="bottom"/>
            <w:shd w:val="clear" w:color="auto" w:fill="62259D"/>
          </w:tcPr>
          <w:p>
            <w:pPr>
              <w:spacing w:after="0"/>
              <w:rPr>
                <w:sz w:val="16"/>
                <w:szCs w:val="16"/>
                <w:color w:val="auto"/>
              </w:rPr>
            </w:pPr>
          </w:p>
        </w:tc>
        <w:tc>
          <w:tcPr>
            <w:tcW w:w="140" w:type="dxa"/>
            <w:vAlign w:val="bottom"/>
            <w:shd w:val="clear" w:color="auto" w:fill="62259D"/>
          </w:tcPr>
          <w:p>
            <w:pPr>
              <w:spacing w:after="0"/>
              <w:rPr>
                <w:sz w:val="16"/>
                <w:szCs w:val="16"/>
                <w:color w:val="auto"/>
              </w:rPr>
            </w:pPr>
          </w:p>
        </w:tc>
        <w:tc>
          <w:tcPr>
            <w:tcW w:w="40" w:type="dxa"/>
            <w:vAlign w:val="bottom"/>
            <w:shd w:val="clear" w:color="auto" w:fill="62259D"/>
          </w:tcPr>
          <w:p>
            <w:pPr>
              <w:spacing w:after="0"/>
              <w:rPr>
                <w:sz w:val="16"/>
                <w:szCs w:val="16"/>
                <w:color w:val="auto"/>
              </w:rPr>
            </w:pPr>
          </w:p>
        </w:tc>
        <w:tc>
          <w:tcPr>
            <w:tcW w:w="940" w:type="dxa"/>
            <w:vAlign w:val="bottom"/>
            <w:gridSpan w:val="2"/>
            <w:shd w:val="clear" w:color="auto" w:fill="62259D"/>
          </w:tcPr>
          <w:p>
            <w:pPr>
              <w:jc w:val="center"/>
              <w:spacing w:after="0"/>
              <w:rPr>
                <w:sz w:val="20"/>
                <w:szCs w:val="20"/>
                <w:color w:val="auto"/>
              </w:rPr>
            </w:pPr>
            <w:r>
              <w:rPr>
                <w:rFonts w:ascii="Arial" w:cs="Arial" w:eastAsia="Arial" w:hAnsi="Arial"/>
                <w:sz w:val="15"/>
                <w:szCs w:val="15"/>
                <w:b w:val="1"/>
                <w:bCs w:val="1"/>
                <w:color w:val="FEFEFE"/>
              </w:rPr>
              <w:t>Peer Group</w:t>
            </w:r>
          </w:p>
        </w:tc>
        <w:tc>
          <w:tcPr>
            <w:tcW w:w="80" w:type="dxa"/>
            <w:vAlign w:val="bottom"/>
            <w:shd w:val="clear" w:color="auto" w:fill="62259D"/>
          </w:tcPr>
          <w:p>
            <w:pPr>
              <w:spacing w:after="0"/>
              <w:rPr>
                <w:sz w:val="16"/>
                <w:szCs w:val="16"/>
                <w:color w:val="auto"/>
              </w:rPr>
            </w:pPr>
          </w:p>
        </w:tc>
        <w:tc>
          <w:tcPr>
            <w:tcW w:w="260" w:type="dxa"/>
            <w:vAlign w:val="bottom"/>
            <w:shd w:val="clear" w:color="auto" w:fill="62259D"/>
          </w:tcPr>
          <w:p>
            <w:pPr>
              <w:spacing w:after="0"/>
              <w:rPr>
                <w:sz w:val="16"/>
                <w:szCs w:val="16"/>
                <w:color w:val="auto"/>
              </w:rPr>
            </w:pPr>
          </w:p>
        </w:tc>
        <w:tc>
          <w:tcPr>
            <w:tcW w:w="780" w:type="dxa"/>
            <w:vAlign w:val="bottom"/>
            <w:shd w:val="clear" w:color="auto" w:fill="62259D"/>
          </w:tcPr>
          <w:p>
            <w:pPr>
              <w:spacing w:after="0"/>
              <w:rPr>
                <w:sz w:val="16"/>
                <w:szCs w:val="16"/>
                <w:color w:val="auto"/>
              </w:rPr>
            </w:pPr>
          </w:p>
        </w:tc>
        <w:tc>
          <w:tcPr>
            <w:tcW w:w="780" w:type="dxa"/>
            <w:vAlign w:val="bottom"/>
            <w:shd w:val="clear" w:color="auto" w:fill="62259D"/>
          </w:tcPr>
          <w:p>
            <w:pPr>
              <w:spacing w:after="0"/>
              <w:rPr>
                <w:sz w:val="16"/>
                <w:szCs w:val="16"/>
                <w:color w:val="auto"/>
              </w:rPr>
            </w:pPr>
          </w:p>
        </w:tc>
        <w:tc>
          <w:tcPr>
            <w:tcW w:w="140" w:type="dxa"/>
            <w:vAlign w:val="bottom"/>
            <w:shd w:val="clear" w:color="auto" w:fill="62259D"/>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20" w:type="dxa"/>
            <w:vAlign w:val="bottom"/>
            <w:shd w:val="clear" w:color="auto" w:fill="62259D"/>
          </w:tcPr>
          <w:p>
            <w:pPr>
              <w:spacing w:after="0"/>
              <w:rPr>
                <w:sz w:val="15"/>
                <w:szCs w:val="15"/>
                <w:color w:val="auto"/>
              </w:rPr>
            </w:pPr>
          </w:p>
        </w:tc>
        <w:tc>
          <w:tcPr>
            <w:tcW w:w="100" w:type="dxa"/>
            <w:vAlign w:val="bottom"/>
            <w:shd w:val="clear" w:color="auto" w:fill="62259D"/>
          </w:tcPr>
          <w:p>
            <w:pPr>
              <w:spacing w:after="0"/>
              <w:rPr>
                <w:sz w:val="15"/>
                <w:szCs w:val="15"/>
                <w:color w:val="auto"/>
              </w:rPr>
            </w:pPr>
          </w:p>
        </w:tc>
        <w:tc>
          <w:tcPr>
            <w:tcW w:w="140" w:type="dxa"/>
            <w:vAlign w:val="bottom"/>
            <w:shd w:val="clear" w:color="auto" w:fill="62259D"/>
          </w:tcPr>
          <w:p>
            <w:pPr>
              <w:spacing w:after="0"/>
              <w:rPr>
                <w:sz w:val="15"/>
                <w:szCs w:val="15"/>
                <w:color w:val="auto"/>
              </w:rPr>
            </w:pPr>
          </w:p>
        </w:tc>
        <w:tc>
          <w:tcPr>
            <w:tcW w:w="940" w:type="dxa"/>
            <w:vAlign w:val="bottom"/>
            <w:shd w:val="clear" w:color="auto" w:fill="62259D"/>
          </w:tcPr>
          <w:p>
            <w:pPr>
              <w:jc w:val="center"/>
              <w:ind w:right="83"/>
              <w:spacing w:after="0"/>
              <w:rPr>
                <w:sz w:val="20"/>
                <w:szCs w:val="20"/>
                <w:color w:val="auto"/>
              </w:rPr>
            </w:pPr>
            <w:r>
              <w:rPr>
                <w:rFonts w:ascii="Arial" w:cs="Arial" w:eastAsia="Arial" w:hAnsi="Arial"/>
                <w:sz w:val="15"/>
                <w:szCs w:val="15"/>
                <w:b w:val="1"/>
                <w:bCs w:val="1"/>
                <w:color w:val="FEFEFE"/>
              </w:rPr>
              <w:t>Table</w:t>
            </w:r>
          </w:p>
        </w:tc>
        <w:tc>
          <w:tcPr>
            <w:tcW w:w="180" w:type="dxa"/>
            <w:vAlign w:val="bottom"/>
            <w:shd w:val="clear" w:color="auto" w:fill="62259D"/>
          </w:tcPr>
          <w:p>
            <w:pPr>
              <w:spacing w:after="0"/>
              <w:rPr>
                <w:sz w:val="15"/>
                <w:szCs w:val="15"/>
                <w:color w:val="auto"/>
              </w:rPr>
            </w:pPr>
          </w:p>
        </w:tc>
        <w:tc>
          <w:tcPr>
            <w:tcW w:w="160" w:type="dxa"/>
            <w:vAlign w:val="bottom"/>
            <w:shd w:val="clear" w:color="auto" w:fill="62259D"/>
          </w:tcPr>
          <w:p>
            <w:pPr>
              <w:spacing w:after="0"/>
              <w:rPr>
                <w:sz w:val="15"/>
                <w:szCs w:val="15"/>
                <w:color w:val="auto"/>
              </w:rPr>
            </w:pPr>
          </w:p>
        </w:tc>
        <w:tc>
          <w:tcPr>
            <w:tcW w:w="920" w:type="dxa"/>
            <w:vAlign w:val="bottom"/>
            <w:shd w:val="clear" w:color="auto" w:fill="62259D"/>
          </w:tcPr>
          <w:p>
            <w:pPr>
              <w:jc w:val="center"/>
              <w:ind w:right="144"/>
              <w:spacing w:after="0"/>
              <w:rPr>
                <w:sz w:val="20"/>
                <w:szCs w:val="20"/>
                <w:color w:val="auto"/>
              </w:rPr>
            </w:pPr>
            <w:r>
              <w:rPr>
                <w:rFonts w:ascii="Arial" w:cs="Arial" w:eastAsia="Arial" w:hAnsi="Arial"/>
                <w:sz w:val="15"/>
                <w:szCs w:val="15"/>
                <w:b w:val="1"/>
                <w:bCs w:val="1"/>
                <w:color w:val="FEFEFE"/>
              </w:rPr>
              <w:t>Actually</w:t>
            </w:r>
          </w:p>
        </w:tc>
        <w:tc>
          <w:tcPr>
            <w:tcW w:w="1280" w:type="dxa"/>
            <w:vAlign w:val="bottom"/>
            <w:gridSpan w:val="3"/>
            <w:shd w:val="clear" w:color="auto" w:fill="62259D"/>
          </w:tcPr>
          <w:p>
            <w:pPr>
              <w:jc w:val="center"/>
              <w:ind w:left="23"/>
              <w:spacing w:after="0"/>
              <w:rPr>
                <w:sz w:val="20"/>
                <w:szCs w:val="20"/>
                <w:color w:val="auto"/>
              </w:rPr>
            </w:pPr>
            <w:r>
              <w:rPr>
                <w:rFonts w:ascii="Arial" w:cs="Arial" w:eastAsia="Arial" w:hAnsi="Arial"/>
                <w:sz w:val="15"/>
                <w:szCs w:val="15"/>
                <w:b w:val="1"/>
                <w:bCs w:val="1"/>
                <w:color w:val="FEFEFE"/>
              </w:rPr>
              <w:t>Table Total for</w:t>
            </w:r>
          </w:p>
        </w:tc>
        <w:tc>
          <w:tcPr>
            <w:tcW w:w="180" w:type="dxa"/>
            <w:vAlign w:val="bottom"/>
            <w:shd w:val="clear" w:color="auto" w:fill="62259D"/>
          </w:tcPr>
          <w:p>
            <w:pPr>
              <w:spacing w:after="0"/>
              <w:rPr>
                <w:sz w:val="15"/>
                <w:szCs w:val="15"/>
                <w:color w:val="auto"/>
              </w:rPr>
            </w:pPr>
          </w:p>
        </w:tc>
        <w:tc>
          <w:tcPr>
            <w:tcW w:w="200" w:type="dxa"/>
            <w:vAlign w:val="bottom"/>
            <w:shd w:val="clear" w:color="auto" w:fill="62259D"/>
          </w:tcPr>
          <w:p>
            <w:pPr>
              <w:spacing w:after="0"/>
              <w:rPr>
                <w:sz w:val="15"/>
                <w:szCs w:val="15"/>
                <w:color w:val="auto"/>
              </w:rPr>
            </w:pPr>
          </w:p>
        </w:tc>
        <w:tc>
          <w:tcPr>
            <w:tcW w:w="820" w:type="dxa"/>
            <w:vAlign w:val="bottom"/>
            <w:shd w:val="clear" w:color="auto" w:fill="62259D"/>
          </w:tcPr>
          <w:p>
            <w:pPr>
              <w:jc w:val="center"/>
              <w:ind w:right="183"/>
              <w:spacing w:after="0"/>
              <w:rPr>
                <w:sz w:val="20"/>
                <w:szCs w:val="20"/>
                <w:color w:val="auto"/>
              </w:rPr>
            </w:pPr>
            <w:r>
              <w:rPr>
                <w:rFonts w:ascii="Arial" w:cs="Arial" w:eastAsia="Arial" w:hAnsi="Arial"/>
                <w:sz w:val="15"/>
                <w:szCs w:val="15"/>
                <w:b w:val="1"/>
                <w:bCs w:val="1"/>
                <w:color w:val="FEFEFE"/>
              </w:rPr>
              <w:t>Paid to</w:t>
            </w:r>
          </w:p>
        </w:tc>
        <w:tc>
          <w:tcPr>
            <w:tcW w:w="130" w:type="dxa"/>
            <w:vAlign w:val="bottom"/>
            <w:shd w:val="clear" w:color="auto" w:fill="62259D"/>
          </w:tcPr>
          <w:p>
            <w:pPr>
              <w:spacing w:after="0"/>
              <w:rPr>
                <w:sz w:val="15"/>
                <w:szCs w:val="15"/>
                <w:color w:val="auto"/>
              </w:rPr>
            </w:pPr>
          </w:p>
        </w:tc>
        <w:tc>
          <w:tcPr>
            <w:tcW w:w="110" w:type="dxa"/>
            <w:vAlign w:val="bottom"/>
            <w:shd w:val="clear" w:color="auto" w:fill="62259D"/>
          </w:tcPr>
          <w:p>
            <w:pPr>
              <w:spacing w:after="0"/>
              <w:rPr>
                <w:sz w:val="15"/>
                <w:szCs w:val="15"/>
                <w:color w:val="auto"/>
              </w:rPr>
            </w:pPr>
          </w:p>
        </w:tc>
        <w:tc>
          <w:tcPr>
            <w:tcW w:w="900" w:type="dxa"/>
            <w:vAlign w:val="bottom"/>
            <w:shd w:val="clear" w:color="auto" w:fill="62259D"/>
          </w:tcPr>
          <w:p>
            <w:pPr>
              <w:jc w:val="center"/>
              <w:ind w:right="43"/>
              <w:spacing w:after="0"/>
              <w:rPr>
                <w:sz w:val="20"/>
                <w:szCs w:val="20"/>
                <w:color w:val="auto"/>
              </w:rPr>
            </w:pPr>
            <w:r>
              <w:rPr>
                <w:rFonts w:ascii="Arial" w:cs="Arial" w:eastAsia="Arial" w:hAnsi="Arial"/>
                <w:sz w:val="15"/>
                <w:szCs w:val="15"/>
                <w:b w:val="1"/>
                <w:bCs w:val="1"/>
                <w:color w:val="FEFEFE"/>
              </w:rPr>
              <w:t>Total</w:t>
            </w:r>
          </w:p>
        </w:tc>
        <w:tc>
          <w:tcPr>
            <w:tcW w:w="140" w:type="dxa"/>
            <w:vAlign w:val="bottom"/>
            <w:shd w:val="clear" w:color="auto" w:fill="62259D"/>
          </w:tcPr>
          <w:p>
            <w:pPr>
              <w:spacing w:after="0"/>
              <w:rPr>
                <w:sz w:val="15"/>
                <w:szCs w:val="15"/>
                <w:color w:val="auto"/>
              </w:rPr>
            </w:pPr>
          </w:p>
        </w:tc>
        <w:tc>
          <w:tcPr>
            <w:tcW w:w="40" w:type="dxa"/>
            <w:vAlign w:val="bottom"/>
            <w:shd w:val="clear" w:color="auto" w:fill="62259D"/>
          </w:tcPr>
          <w:p>
            <w:pPr>
              <w:spacing w:after="0"/>
              <w:rPr>
                <w:sz w:val="15"/>
                <w:szCs w:val="15"/>
                <w:color w:val="auto"/>
              </w:rPr>
            </w:pPr>
          </w:p>
        </w:tc>
        <w:tc>
          <w:tcPr>
            <w:tcW w:w="260" w:type="dxa"/>
            <w:vAlign w:val="bottom"/>
            <w:shd w:val="clear" w:color="auto" w:fill="62259D"/>
          </w:tcPr>
          <w:p>
            <w:pPr>
              <w:spacing w:after="0"/>
              <w:rPr>
                <w:sz w:val="15"/>
                <w:szCs w:val="15"/>
                <w:color w:val="auto"/>
              </w:rPr>
            </w:pPr>
          </w:p>
        </w:tc>
        <w:tc>
          <w:tcPr>
            <w:tcW w:w="680" w:type="dxa"/>
            <w:vAlign w:val="bottom"/>
            <w:shd w:val="clear" w:color="auto" w:fill="62259D"/>
          </w:tcPr>
          <w:p>
            <w:pPr>
              <w:jc w:val="center"/>
              <w:ind w:right="203"/>
              <w:spacing w:after="0"/>
              <w:rPr>
                <w:sz w:val="20"/>
                <w:szCs w:val="20"/>
                <w:color w:val="auto"/>
              </w:rPr>
            </w:pPr>
            <w:r>
              <w:rPr>
                <w:rFonts w:ascii="Arial" w:cs="Arial" w:eastAsia="Arial" w:hAnsi="Arial"/>
                <w:sz w:val="15"/>
                <w:szCs w:val="15"/>
                <w:b w:val="1"/>
                <w:bCs w:val="1"/>
                <w:color w:val="FEFEFE"/>
              </w:rPr>
              <w:t>Total</w:t>
            </w:r>
          </w:p>
        </w:tc>
        <w:tc>
          <w:tcPr>
            <w:tcW w:w="80" w:type="dxa"/>
            <w:vAlign w:val="bottom"/>
            <w:shd w:val="clear" w:color="auto" w:fill="62259D"/>
          </w:tcPr>
          <w:p>
            <w:pPr>
              <w:spacing w:after="0"/>
              <w:rPr>
                <w:sz w:val="15"/>
                <w:szCs w:val="15"/>
                <w:color w:val="auto"/>
              </w:rPr>
            </w:pPr>
          </w:p>
        </w:tc>
        <w:tc>
          <w:tcPr>
            <w:tcW w:w="1040" w:type="dxa"/>
            <w:vAlign w:val="bottom"/>
            <w:gridSpan w:val="2"/>
            <w:shd w:val="clear" w:color="auto" w:fill="62259D"/>
          </w:tcPr>
          <w:p>
            <w:pPr>
              <w:ind w:left="20"/>
              <w:spacing w:after="0"/>
              <w:rPr>
                <w:sz w:val="20"/>
                <w:szCs w:val="20"/>
                <w:color w:val="auto"/>
              </w:rPr>
            </w:pPr>
            <w:r>
              <w:rPr>
                <w:rFonts w:ascii="Arial" w:cs="Arial" w:eastAsia="Arial" w:hAnsi="Arial"/>
                <w:sz w:val="15"/>
                <w:szCs w:val="15"/>
                <w:b w:val="1"/>
                <w:bCs w:val="1"/>
                <w:color w:val="FEFEFE"/>
              </w:rPr>
              <w:t>Net (Loss)</w:t>
            </w:r>
          </w:p>
        </w:tc>
        <w:tc>
          <w:tcPr>
            <w:tcW w:w="780" w:type="dxa"/>
            <w:vAlign w:val="bottom"/>
            <w:shd w:val="clear" w:color="auto" w:fill="62259D"/>
          </w:tcPr>
          <w:p>
            <w:pPr>
              <w:spacing w:after="0"/>
              <w:rPr>
                <w:sz w:val="15"/>
                <w:szCs w:val="15"/>
                <w:color w:val="auto"/>
              </w:rPr>
            </w:pPr>
          </w:p>
        </w:tc>
        <w:tc>
          <w:tcPr>
            <w:tcW w:w="140" w:type="dxa"/>
            <w:vAlign w:val="bottom"/>
            <w:shd w:val="clear" w:color="auto" w:fill="62259D"/>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vMerge w:val="restart"/>
            <w:shd w:val="clear" w:color="auto" w:fill="62259D"/>
          </w:tcPr>
          <w:p>
            <w:pPr>
              <w:ind w:left="40"/>
              <w:spacing w:after="0"/>
              <w:rPr>
                <w:sz w:val="20"/>
                <w:szCs w:val="20"/>
                <w:color w:val="auto"/>
              </w:rPr>
            </w:pPr>
            <w:r>
              <w:rPr>
                <w:rFonts w:ascii="Arial" w:cs="Arial" w:eastAsia="Arial" w:hAnsi="Arial"/>
                <w:sz w:val="15"/>
                <w:szCs w:val="15"/>
                <w:b w:val="1"/>
                <w:bCs w:val="1"/>
                <w:color w:val="FEFEFE"/>
                <w:w w:val="95"/>
              </w:rPr>
              <w:t>Year</w:t>
            </w:r>
            <w:r>
              <w:rPr>
                <w:rFonts w:ascii="Arial" w:cs="Arial" w:eastAsia="Arial" w:hAnsi="Arial"/>
                <w:sz w:val="19"/>
                <w:szCs w:val="19"/>
                <w:b w:val="1"/>
                <w:bCs w:val="1"/>
                <w:color w:val="FEFEFE"/>
                <w:w w:val="95"/>
                <w:vertAlign w:val="superscript"/>
              </w:rPr>
              <w:t>(1)</w:t>
            </w:r>
          </w:p>
        </w:tc>
        <w:tc>
          <w:tcPr>
            <w:tcW w:w="100" w:type="dxa"/>
            <w:vAlign w:val="bottom"/>
            <w:shd w:val="clear" w:color="auto" w:fill="62259D"/>
          </w:tcPr>
          <w:p>
            <w:pPr>
              <w:spacing w:after="0"/>
              <w:rPr>
                <w:sz w:val="15"/>
                <w:szCs w:val="15"/>
                <w:color w:val="auto"/>
              </w:rPr>
            </w:pPr>
          </w:p>
        </w:tc>
        <w:tc>
          <w:tcPr>
            <w:tcW w:w="140" w:type="dxa"/>
            <w:vAlign w:val="bottom"/>
            <w:shd w:val="clear" w:color="auto" w:fill="62259D"/>
          </w:tcPr>
          <w:p>
            <w:pPr>
              <w:spacing w:after="0"/>
              <w:rPr>
                <w:sz w:val="15"/>
                <w:szCs w:val="15"/>
                <w:color w:val="auto"/>
              </w:rPr>
            </w:pPr>
          </w:p>
        </w:tc>
        <w:tc>
          <w:tcPr>
            <w:tcW w:w="940" w:type="dxa"/>
            <w:vAlign w:val="bottom"/>
            <w:shd w:val="clear" w:color="auto" w:fill="62259D"/>
          </w:tcPr>
          <w:p>
            <w:pPr>
              <w:jc w:val="center"/>
              <w:ind w:right="103"/>
              <w:spacing w:after="0"/>
              <w:rPr>
                <w:sz w:val="20"/>
                <w:szCs w:val="20"/>
                <w:color w:val="auto"/>
              </w:rPr>
            </w:pPr>
            <w:r>
              <w:rPr>
                <w:rFonts w:ascii="Arial" w:cs="Arial" w:eastAsia="Arial" w:hAnsi="Arial"/>
                <w:sz w:val="15"/>
                <w:szCs w:val="15"/>
                <w:b w:val="1"/>
                <w:bCs w:val="1"/>
                <w:color w:val="FEFEFE"/>
              </w:rPr>
              <w:t>Total for</w:t>
            </w:r>
          </w:p>
        </w:tc>
        <w:tc>
          <w:tcPr>
            <w:tcW w:w="180" w:type="dxa"/>
            <w:vAlign w:val="bottom"/>
            <w:shd w:val="clear" w:color="auto" w:fill="62259D"/>
          </w:tcPr>
          <w:p>
            <w:pPr>
              <w:spacing w:after="0"/>
              <w:rPr>
                <w:sz w:val="15"/>
                <w:szCs w:val="15"/>
                <w:color w:val="auto"/>
              </w:rPr>
            </w:pPr>
          </w:p>
        </w:tc>
        <w:tc>
          <w:tcPr>
            <w:tcW w:w="160" w:type="dxa"/>
            <w:vAlign w:val="bottom"/>
            <w:shd w:val="clear" w:color="auto" w:fill="62259D"/>
          </w:tcPr>
          <w:p>
            <w:pPr>
              <w:spacing w:after="0"/>
              <w:rPr>
                <w:sz w:val="15"/>
                <w:szCs w:val="15"/>
                <w:color w:val="auto"/>
              </w:rPr>
            </w:pPr>
          </w:p>
        </w:tc>
        <w:tc>
          <w:tcPr>
            <w:tcW w:w="920" w:type="dxa"/>
            <w:vAlign w:val="bottom"/>
            <w:shd w:val="clear" w:color="auto" w:fill="62259D"/>
          </w:tcPr>
          <w:p>
            <w:pPr>
              <w:jc w:val="center"/>
              <w:ind w:right="124"/>
              <w:spacing w:after="0"/>
              <w:rPr>
                <w:sz w:val="20"/>
                <w:szCs w:val="20"/>
                <w:color w:val="auto"/>
              </w:rPr>
            </w:pPr>
            <w:r>
              <w:rPr>
                <w:rFonts w:ascii="Arial" w:cs="Arial" w:eastAsia="Arial" w:hAnsi="Arial"/>
                <w:sz w:val="15"/>
                <w:szCs w:val="15"/>
                <w:b w:val="1"/>
                <w:bCs w:val="1"/>
                <w:color w:val="FEFEFE"/>
              </w:rPr>
              <w:t>Paid to</w:t>
            </w:r>
          </w:p>
        </w:tc>
        <w:tc>
          <w:tcPr>
            <w:tcW w:w="200" w:type="dxa"/>
            <w:vAlign w:val="bottom"/>
            <w:shd w:val="clear" w:color="auto" w:fill="62259D"/>
          </w:tcPr>
          <w:p>
            <w:pPr>
              <w:spacing w:after="0"/>
              <w:rPr>
                <w:sz w:val="15"/>
                <w:szCs w:val="15"/>
                <w:color w:val="auto"/>
              </w:rPr>
            </w:pPr>
          </w:p>
        </w:tc>
        <w:tc>
          <w:tcPr>
            <w:tcW w:w="1080" w:type="dxa"/>
            <w:vAlign w:val="bottom"/>
            <w:gridSpan w:val="2"/>
            <w:shd w:val="clear" w:color="auto" w:fill="62259D"/>
          </w:tcPr>
          <w:p>
            <w:pPr>
              <w:jc w:val="center"/>
              <w:ind w:right="3"/>
              <w:spacing w:after="0"/>
              <w:rPr>
                <w:sz w:val="20"/>
                <w:szCs w:val="20"/>
                <w:color w:val="auto"/>
              </w:rPr>
            </w:pPr>
            <w:r>
              <w:rPr>
                <w:rFonts w:ascii="Arial" w:cs="Arial" w:eastAsia="Arial" w:hAnsi="Arial"/>
                <w:sz w:val="15"/>
                <w:szCs w:val="15"/>
                <w:b w:val="1"/>
                <w:bCs w:val="1"/>
                <w:color w:val="FEFEFE"/>
              </w:rPr>
              <w:t>Non-PEO</w:t>
            </w:r>
          </w:p>
        </w:tc>
        <w:tc>
          <w:tcPr>
            <w:tcW w:w="180" w:type="dxa"/>
            <w:vAlign w:val="bottom"/>
            <w:shd w:val="clear" w:color="auto" w:fill="62259D"/>
          </w:tcPr>
          <w:p>
            <w:pPr>
              <w:spacing w:after="0"/>
              <w:rPr>
                <w:sz w:val="15"/>
                <w:szCs w:val="15"/>
                <w:color w:val="auto"/>
              </w:rPr>
            </w:pPr>
          </w:p>
        </w:tc>
        <w:tc>
          <w:tcPr>
            <w:tcW w:w="1020" w:type="dxa"/>
            <w:vAlign w:val="bottom"/>
            <w:gridSpan w:val="2"/>
            <w:shd w:val="clear" w:color="auto" w:fill="62259D"/>
          </w:tcPr>
          <w:p>
            <w:pPr>
              <w:jc w:val="center"/>
              <w:spacing w:after="0"/>
              <w:rPr>
                <w:sz w:val="20"/>
                <w:szCs w:val="20"/>
                <w:color w:val="auto"/>
              </w:rPr>
            </w:pPr>
            <w:r>
              <w:rPr>
                <w:rFonts w:ascii="Arial" w:cs="Arial" w:eastAsia="Arial" w:hAnsi="Arial"/>
                <w:sz w:val="15"/>
                <w:szCs w:val="15"/>
                <w:b w:val="1"/>
                <w:bCs w:val="1"/>
                <w:color w:val="FEFEFE"/>
              </w:rPr>
              <w:t>Non-PEO</w:t>
            </w:r>
          </w:p>
        </w:tc>
        <w:tc>
          <w:tcPr>
            <w:tcW w:w="130" w:type="dxa"/>
            <w:vAlign w:val="bottom"/>
            <w:shd w:val="clear" w:color="auto" w:fill="62259D"/>
          </w:tcPr>
          <w:p>
            <w:pPr>
              <w:spacing w:after="0"/>
              <w:rPr>
                <w:sz w:val="15"/>
                <w:szCs w:val="15"/>
                <w:color w:val="auto"/>
              </w:rPr>
            </w:pPr>
          </w:p>
        </w:tc>
        <w:tc>
          <w:tcPr>
            <w:tcW w:w="1010" w:type="dxa"/>
            <w:vAlign w:val="bottom"/>
            <w:gridSpan w:val="2"/>
            <w:shd w:val="clear" w:color="auto" w:fill="62259D"/>
          </w:tcPr>
          <w:p>
            <w:pPr>
              <w:jc w:val="center"/>
              <w:spacing w:after="0"/>
              <w:rPr>
                <w:sz w:val="20"/>
                <w:szCs w:val="20"/>
                <w:color w:val="auto"/>
              </w:rPr>
            </w:pPr>
            <w:r>
              <w:rPr>
                <w:rFonts w:ascii="Arial" w:cs="Arial" w:eastAsia="Arial" w:hAnsi="Arial"/>
                <w:sz w:val="15"/>
                <w:szCs w:val="15"/>
                <w:b w:val="1"/>
                <w:bCs w:val="1"/>
                <w:color w:val="FEFEFE"/>
              </w:rPr>
              <w:t>Shareholder</w:t>
            </w:r>
          </w:p>
        </w:tc>
        <w:tc>
          <w:tcPr>
            <w:tcW w:w="140" w:type="dxa"/>
            <w:vAlign w:val="bottom"/>
            <w:shd w:val="clear" w:color="auto" w:fill="62259D"/>
          </w:tcPr>
          <w:p>
            <w:pPr>
              <w:spacing w:after="0"/>
              <w:rPr>
                <w:sz w:val="15"/>
                <w:szCs w:val="15"/>
                <w:color w:val="auto"/>
              </w:rPr>
            </w:pPr>
          </w:p>
        </w:tc>
        <w:tc>
          <w:tcPr>
            <w:tcW w:w="1060" w:type="dxa"/>
            <w:vAlign w:val="bottom"/>
            <w:gridSpan w:val="4"/>
            <w:shd w:val="clear" w:color="auto" w:fill="62259D"/>
          </w:tcPr>
          <w:p>
            <w:pPr>
              <w:jc w:val="center"/>
              <w:ind w:right="8"/>
              <w:spacing w:after="0"/>
              <w:rPr>
                <w:sz w:val="20"/>
                <w:szCs w:val="20"/>
                <w:color w:val="auto"/>
              </w:rPr>
            </w:pPr>
            <w:r>
              <w:rPr>
                <w:rFonts w:ascii="Arial" w:cs="Arial" w:eastAsia="Arial" w:hAnsi="Arial"/>
                <w:sz w:val="15"/>
                <w:szCs w:val="15"/>
                <w:b w:val="1"/>
                <w:bCs w:val="1"/>
                <w:color w:val="FEFEFE"/>
              </w:rPr>
              <w:t>Shareholder</w:t>
            </w:r>
          </w:p>
        </w:tc>
        <w:tc>
          <w:tcPr>
            <w:tcW w:w="1040" w:type="dxa"/>
            <w:vAlign w:val="bottom"/>
            <w:gridSpan w:val="2"/>
            <w:shd w:val="clear" w:color="auto" w:fill="62259D"/>
          </w:tcPr>
          <w:p>
            <w:pPr>
              <w:ind w:left="20"/>
              <w:spacing w:after="0"/>
              <w:rPr>
                <w:sz w:val="20"/>
                <w:szCs w:val="20"/>
                <w:color w:val="auto"/>
              </w:rPr>
            </w:pPr>
            <w:r>
              <w:rPr>
                <w:rFonts w:ascii="Arial" w:cs="Arial" w:eastAsia="Arial" w:hAnsi="Arial"/>
                <w:sz w:val="15"/>
                <w:szCs w:val="15"/>
                <w:b w:val="1"/>
                <w:bCs w:val="1"/>
                <w:color w:val="FEFEFE"/>
              </w:rPr>
              <w:t>Income (in</w:t>
            </w:r>
          </w:p>
        </w:tc>
        <w:tc>
          <w:tcPr>
            <w:tcW w:w="780" w:type="dxa"/>
            <w:vAlign w:val="bottom"/>
            <w:shd w:val="clear" w:color="auto" w:fill="62259D"/>
          </w:tcPr>
          <w:p>
            <w:pPr>
              <w:jc w:val="center"/>
              <w:spacing w:after="0"/>
              <w:rPr>
                <w:sz w:val="20"/>
                <w:szCs w:val="20"/>
                <w:color w:val="auto"/>
              </w:rPr>
            </w:pPr>
            <w:r>
              <w:rPr>
                <w:rFonts w:ascii="Arial" w:cs="Arial" w:eastAsia="Arial" w:hAnsi="Arial"/>
                <w:sz w:val="15"/>
                <w:szCs w:val="15"/>
                <w:b w:val="1"/>
                <w:bCs w:val="1"/>
                <w:color w:val="FEFEFE"/>
              </w:rPr>
              <w:t>Revenue</w:t>
            </w:r>
          </w:p>
        </w:tc>
        <w:tc>
          <w:tcPr>
            <w:tcW w:w="140" w:type="dxa"/>
            <w:vAlign w:val="bottom"/>
            <w:shd w:val="clear" w:color="auto" w:fill="62259D"/>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 w:type="dxa"/>
            <w:vAlign w:val="bottom"/>
            <w:vMerge w:val="continue"/>
            <w:shd w:val="clear" w:color="auto" w:fill="62259D"/>
          </w:tcPr>
          <w:p>
            <w:pPr>
              <w:spacing w:after="0"/>
              <w:rPr>
                <w:sz w:val="15"/>
                <w:szCs w:val="15"/>
                <w:color w:val="auto"/>
              </w:rPr>
            </w:pPr>
          </w:p>
        </w:tc>
        <w:tc>
          <w:tcPr>
            <w:tcW w:w="100" w:type="dxa"/>
            <w:vAlign w:val="bottom"/>
            <w:vMerge w:val="restart"/>
            <w:shd w:val="clear" w:color="auto" w:fill="62259D"/>
          </w:tcPr>
          <w:p>
            <w:pPr>
              <w:ind w:left="20"/>
              <w:spacing w:after="0"/>
              <w:rPr>
                <w:sz w:val="20"/>
                <w:szCs w:val="20"/>
                <w:color w:val="auto"/>
              </w:rPr>
            </w:pPr>
            <w:r>
              <w:rPr>
                <w:rFonts w:ascii="Arial" w:cs="Arial" w:eastAsia="Arial" w:hAnsi="Arial"/>
                <w:sz w:val="15"/>
                <w:szCs w:val="15"/>
                <w:b w:val="1"/>
                <w:bCs w:val="1"/>
                <w:color w:val="FEFEFE"/>
              </w:rPr>
              <w:t>​</w:t>
            </w:r>
          </w:p>
        </w:tc>
        <w:tc>
          <w:tcPr>
            <w:tcW w:w="140" w:type="dxa"/>
            <w:vAlign w:val="bottom"/>
            <w:shd w:val="clear" w:color="auto" w:fill="62259D"/>
          </w:tcPr>
          <w:p>
            <w:pPr>
              <w:spacing w:after="0"/>
              <w:rPr>
                <w:sz w:val="15"/>
                <w:szCs w:val="15"/>
                <w:color w:val="auto"/>
              </w:rPr>
            </w:pPr>
          </w:p>
        </w:tc>
        <w:tc>
          <w:tcPr>
            <w:tcW w:w="940" w:type="dxa"/>
            <w:vAlign w:val="bottom"/>
            <w:shd w:val="clear" w:color="auto" w:fill="62259D"/>
          </w:tcPr>
          <w:p>
            <w:pPr>
              <w:jc w:val="right"/>
              <w:ind w:right="283"/>
              <w:spacing w:after="0"/>
              <w:rPr>
                <w:sz w:val="20"/>
                <w:szCs w:val="20"/>
                <w:color w:val="auto"/>
              </w:rPr>
            </w:pPr>
            <w:r>
              <w:rPr>
                <w:rFonts w:ascii="Arial" w:cs="Arial" w:eastAsia="Arial" w:hAnsi="Arial"/>
                <w:sz w:val="15"/>
                <w:szCs w:val="15"/>
                <w:b w:val="1"/>
                <w:bCs w:val="1"/>
                <w:color w:val="FEFEFE"/>
              </w:rPr>
              <w:t>PEO</w:t>
            </w:r>
          </w:p>
        </w:tc>
        <w:tc>
          <w:tcPr>
            <w:tcW w:w="180" w:type="dxa"/>
            <w:vAlign w:val="bottom"/>
            <w:vMerge w:val="restart"/>
            <w:shd w:val="clear" w:color="auto" w:fill="62259D"/>
          </w:tcPr>
          <w:p>
            <w:pPr>
              <w:jc w:val="right"/>
              <w:spacing w:after="0"/>
              <w:rPr>
                <w:sz w:val="20"/>
                <w:szCs w:val="20"/>
                <w:color w:val="auto"/>
              </w:rPr>
            </w:pPr>
            <w:r>
              <w:rPr>
                <w:rFonts w:ascii="Arial" w:cs="Arial" w:eastAsia="Arial" w:hAnsi="Arial"/>
                <w:sz w:val="15"/>
                <w:szCs w:val="15"/>
                <w:b w:val="1"/>
                <w:bCs w:val="1"/>
                <w:color w:val="FEFEFE"/>
              </w:rPr>
              <w:t>​</w:t>
            </w:r>
          </w:p>
        </w:tc>
        <w:tc>
          <w:tcPr>
            <w:tcW w:w="160" w:type="dxa"/>
            <w:vAlign w:val="bottom"/>
            <w:shd w:val="clear" w:color="auto" w:fill="62259D"/>
          </w:tcPr>
          <w:p>
            <w:pPr>
              <w:spacing w:after="0"/>
              <w:rPr>
                <w:sz w:val="15"/>
                <w:szCs w:val="15"/>
                <w:color w:val="auto"/>
              </w:rPr>
            </w:pPr>
          </w:p>
        </w:tc>
        <w:tc>
          <w:tcPr>
            <w:tcW w:w="920" w:type="dxa"/>
            <w:vAlign w:val="bottom"/>
            <w:shd w:val="clear" w:color="auto" w:fill="62259D"/>
          </w:tcPr>
          <w:p>
            <w:pPr>
              <w:jc w:val="right"/>
              <w:ind w:right="224"/>
              <w:spacing w:after="0" w:line="175" w:lineRule="exact"/>
              <w:rPr>
                <w:sz w:val="20"/>
                <w:szCs w:val="20"/>
                <w:color w:val="auto"/>
              </w:rPr>
            </w:pPr>
            <w:r>
              <w:rPr>
                <w:rFonts w:ascii="Arial" w:cs="Arial" w:eastAsia="Arial" w:hAnsi="Arial"/>
                <w:sz w:val="15"/>
                <w:szCs w:val="15"/>
                <w:b w:val="1"/>
                <w:bCs w:val="1"/>
                <w:color w:val="FEFEFE"/>
              </w:rPr>
              <w:t>PEO</w:t>
            </w:r>
            <w:r>
              <w:rPr>
                <w:rFonts w:ascii="Arial" w:cs="Arial" w:eastAsia="Arial" w:hAnsi="Arial"/>
                <w:sz w:val="19"/>
                <w:szCs w:val="19"/>
                <w:b w:val="1"/>
                <w:bCs w:val="1"/>
                <w:color w:val="FEFEFE"/>
                <w:vertAlign w:val="superscript"/>
              </w:rPr>
              <w:t>(2)</w:t>
            </w:r>
          </w:p>
        </w:tc>
        <w:tc>
          <w:tcPr>
            <w:tcW w:w="200" w:type="dxa"/>
            <w:vAlign w:val="bottom"/>
            <w:vMerge w:val="restart"/>
            <w:shd w:val="clear" w:color="auto" w:fill="62259D"/>
          </w:tcPr>
          <w:p>
            <w:pPr>
              <w:jc w:val="right"/>
              <w:spacing w:after="0"/>
              <w:rPr>
                <w:sz w:val="20"/>
                <w:szCs w:val="20"/>
                <w:color w:val="auto"/>
              </w:rPr>
            </w:pPr>
            <w:r>
              <w:rPr>
                <w:rFonts w:ascii="Arial" w:cs="Arial" w:eastAsia="Arial" w:hAnsi="Arial"/>
                <w:sz w:val="15"/>
                <w:szCs w:val="15"/>
                <w:b w:val="1"/>
                <w:bCs w:val="1"/>
                <w:color w:val="FEFEFE"/>
              </w:rPr>
              <w:t>​</w:t>
            </w:r>
          </w:p>
        </w:tc>
        <w:tc>
          <w:tcPr>
            <w:tcW w:w="220" w:type="dxa"/>
            <w:vAlign w:val="bottom"/>
            <w:shd w:val="clear" w:color="auto" w:fill="62259D"/>
          </w:tcPr>
          <w:p>
            <w:pPr>
              <w:spacing w:after="0"/>
              <w:rPr>
                <w:sz w:val="15"/>
                <w:szCs w:val="15"/>
                <w:color w:val="auto"/>
              </w:rPr>
            </w:pPr>
          </w:p>
        </w:tc>
        <w:tc>
          <w:tcPr>
            <w:tcW w:w="860" w:type="dxa"/>
            <w:vAlign w:val="bottom"/>
            <w:shd w:val="clear" w:color="auto" w:fill="62259D"/>
          </w:tcPr>
          <w:p>
            <w:pPr>
              <w:jc w:val="right"/>
              <w:ind w:right="263"/>
              <w:spacing w:after="0"/>
              <w:rPr>
                <w:sz w:val="20"/>
                <w:szCs w:val="20"/>
                <w:color w:val="auto"/>
              </w:rPr>
            </w:pPr>
            <w:r>
              <w:rPr>
                <w:rFonts w:ascii="Arial" w:cs="Arial" w:eastAsia="Arial" w:hAnsi="Arial"/>
                <w:sz w:val="15"/>
                <w:szCs w:val="15"/>
                <w:b w:val="1"/>
                <w:bCs w:val="1"/>
                <w:color w:val="FEFEFE"/>
              </w:rPr>
              <w:t>NEOs</w:t>
            </w:r>
          </w:p>
        </w:tc>
        <w:tc>
          <w:tcPr>
            <w:tcW w:w="180" w:type="dxa"/>
            <w:vAlign w:val="bottom"/>
            <w:vMerge w:val="restart"/>
            <w:shd w:val="clear" w:color="auto" w:fill="62259D"/>
          </w:tcPr>
          <w:p>
            <w:pPr>
              <w:jc w:val="right"/>
              <w:spacing w:after="0"/>
              <w:rPr>
                <w:sz w:val="20"/>
                <w:szCs w:val="20"/>
                <w:color w:val="auto"/>
              </w:rPr>
            </w:pPr>
            <w:r>
              <w:rPr>
                <w:rFonts w:ascii="Arial" w:cs="Arial" w:eastAsia="Arial" w:hAnsi="Arial"/>
                <w:sz w:val="15"/>
                <w:szCs w:val="15"/>
                <w:b w:val="1"/>
                <w:bCs w:val="1"/>
                <w:color w:val="FEFEFE"/>
              </w:rPr>
              <w:t>​</w:t>
            </w:r>
          </w:p>
        </w:tc>
        <w:tc>
          <w:tcPr>
            <w:tcW w:w="200" w:type="dxa"/>
            <w:vAlign w:val="bottom"/>
            <w:shd w:val="clear" w:color="auto" w:fill="62259D"/>
          </w:tcPr>
          <w:p>
            <w:pPr>
              <w:spacing w:after="0"/>
              <w:rPr>
                <w:sz w:val="15"/>
                <w:szCs w:val="15"/>
                <w:color w:val="auto"/>
              </w:rPr>
            </w:pPr>
          </w:p>
        </w:tc>
        <w:tc>
          <w:tcPr>
            <w:tcW w:w="820" w:type="dxa"/>
            <w:vAlign w:val="bottom"/>
            <w:shd w:val="clear" w:color="auto" w:fill="62259D"/>
          </w:tcPr>
          <w:p>
            <w:pPr>
              <w:jc w:val="right"/>
              <w:ind w:right="143"/>
              <w:spacing w:after="0" w:line="175" w:lineRule="exact"/>
              <w:rPr>
                <w:sz w:val="20"/>
                <w:szCs w:val="20"/>
                <w:color w:val="auto"/>
              </w:rPr>
            </w:pPr>
            <w:r>
              <w:rPr>
                <w:rFonts w:ascii="Arial" w:cs="Arial" w:eastAsia="Arial" w:hAnsi="Arial"/>
                <w:sz w:val="15"/>
                <w:szCs w:val="15"/>
                <w:b w:val="1"/>
                <w:bCs w:val="1"/>
                <w:color w:val="FEFEFE"/>
              </w:rPr>
              <w:t>NEOs</w:t>
            </w:r>
            <w:r>
              <w:rPr>
                <w:rFonts w:ascii="Arial" w:cs="Arial" w:eastAsia="Arial" w:hAnsi="Arial"/>
                <w:sz w:val="19"/>
                <w:szCs w:val="19"/>
                <w:b w:val="1"/>
                <w:bCs w:val="1"/>
                <w:color w:val="FEFEFE"/>
                <w:vertAlign w:val="superscript"/>
              </w:rPr>
              <w:t>(3)</w:t>
            </w:r>
          </w:p>
        </w:tc>
        <w:tc>
          <w:tcPr>
            <w:tcW w:w="130" w:type="dxa"/>
            <w:vAlign w:val="bottom"/>
            <w:shd w:val="clear" w:color="auto" w:fill="62259D"/>
          </w:tcPr>
          <w:p>
            <w:pPr>
              <w:spacing w:after="0"/>
              <w:rPr>
                <w:sz w:val="15"/>
                <w:szCs w:val="15"/>
                <w:color w:val="auto"/>
              </w:rPr>
            </w:pPr>
          </w:p>
        </w:tc>
        <w:tc>
          <w:tcPr>
            <w:tcW w:w="110" w:type="dxa"/>
            <w:vAlign w:val="bottom"/>
            <w:vMerge w:val="restart"/>
            <w:shd w:val="clear" w:color="auto" w:fill="62259D"/>
          </w:tcPr>
          <w:p>
            <w:pPr>
              <w:jc w:val="right"/>
              <w:spacing w:after="0"/>
              <w:rPr>
                <w:sz w:val="20"/>
                <w:szCs w:val="20"/>
                <w:color w:val="auto"/>
              </w:rPr>
            </w:pPr>
            <w:r>
              <w:rPr>
                <w:rFonts w:ascii="Arial" w:cs="Arial" w:eastAsia="Arial" w:hAnsi="Arial"/>
                <w:sz w:val="15"/>
                <w:szCs w:val="15"/>
                <w:b w:val="1"/>
                <w:bCs w:val="1"/>
                <w:color w:val="FEFEFE"/>
              </w:rPr>
              <w:t>​</w:t>
            </w:r>
          </w:p>
        </w:tc>
        <w:tc>
          <w:tcPr>
            <w:tcW w:w="900" w:type="dxa"/>
            <w:vAlign w:val="bottom"/>
            <w:shd w:val="clear" w:color="auto" w:fill="62259D"/>
          </w:tcPr>
          <w:p>
            <w:pPr>
              <w:ind w:left="80"/>
              <w:spacing w:after="0" w:line="175" w:lineRule="exact"/>
              <w:rPr>
                <w:sz w:val="20"/>
                <w:szCs w:val="20"/>
                <w:color w:val="auto"/>
              </w:rPr>
            </w:pPr>
            <w:r>
              <w:rPr>
                <w:rFonts w:ascii="Arial" w:cs="Arial" w:eastAsia="Arial" w:hAnsi="Arial"/>
                <w:sz w:val="15"/>
                <w:szCs w:val="15"/>
                <w:b w:val="1"/>
                <w:bCs w:val="1"/>
                <w:color w:val="FEFEFE"/>
              </w:rPr>
              <w:t>Return</w:t>
            </w:r>
            <w:r>
              <w:rPr>
                <w:rFonts w:ascii="Arial" w:cs="Arial" w:eastAsia="Arial" w:hAnsi="Arial"/>
                <w:sz w:val="19"/>
                <w:szCs w:val="19"/>
                <w:b w:val="1"/>
                <w:bCs w:val="1"/>
                <w:color w:val="FEFEFE"/>
                <w:vertAlign w:val="superscript"/>
              </w:rPr>
              <w:t>(4)</w:t>
            </w:r>
          </w:p>
        </w:tc>
        <w:tc>
          <w:tcPr>
            <w:tcW w:w="180" w:type="dxa"/>
            <w:vAlign w:val="bottom"/>
            <w:gridSpan w:val="2"/>
            <w:vMerge w:val="restart"/>
            <w:shd w:val="clear" w:color="auto" w:fill="62259D"/>
          </w:tcPr>
          <w:p>
            <w:pPr>
              <w:ind w:left="60"/>
              <w:spacing w:after="0"/>
              <w:rPr>
                <w:sz w:val="20"/>
                <w:szCs w:val="20"/>
                <w:color w:val="auto"/>
              </w:rPr>
            </w:pPr>
            <w:r>
              <w:rPr>
                <w:rFonts w:ascii="Arial" w:cs="Arial" w:eastAsia="Arial" w:hAnsi="Arial"/>
                <w:sz w:val="15"/>
                <w:szCs w:val="15"/>
                <w:b w:val="1"/>
                <w:bCs w:val="1"/>
                <w:color w:val="FEFEFE"/>
              </w:rPr>
              <w:t>​​</w:t>
            </w:r>
          </w:p>
        </w:tc>
        <w:tc>
          <w:tcPr>
            <w:tcW w:w="940" w:type="dxa"/>
            <w:vAlign w:val="bottom"/>
            <w:gridSpan w:val="2"/>
            <w:shd w:val="clear" w:color="auto" w:fill="62259D"/>
          </w:tcPr>
          <w:p>
            <w:pPr>
              <w:ind w:left="140"/>
              <w:spacing w:after="0" w:line="175" w:lineRule="exact"/>
              <w:rPr>
                <w:sz w:val="20"/>
                <w:szCs w:val="20"/>
                <w:color w:val="auto"/>
              </w:rPr>
            </w:pPr>
            <w:r>
              <w:rPr>
                <w:rFonts w:ascii="Arial" w:cs="Arial" w:eastAsia="Arial" w:hAnsi="Arial"/>
                <w:sz w:val="15"/>
                <w:szCs w:val="15"/>
                <w:b w:val="1"/>
                <w:bCs w:val="1"/>
                <w:color w:val="FEFEFE"/>
              </w:rPr>
              <w:t>Return</w:t>
            </w:r>
            <w:r>
              <w:rPr>
                <w:rFonts w:ascii="Arial" w:cs="Arial" w:eastAsia="Arial" w:hAnsi="Arial"/>
                <w:sz w:val="19"/>
                <w:szCs w:val="19"/>
                <w:b w:val="1"/>
                <w:bCs w:val="1"/>
                <w:color w:val="FEFEFE"/>
                <w:vertAlign w:val="superscript"/>
              </w:rPr>
              <w:t>(5)</w:t>
            </w:r>
          </w:p>
        </w:tc>
        <w:tc>
          <w:tcPr>
            <w:tcW w:w="80" w:type="dxa"/>
            <w:vAlign w:val="bottom"/>
            <w:shd w:val="clear" w:color="auto" w:fill="62259D"/>
          </w:tcPr>
          <w:p>
            <w:pPr>
              <w:spacing w:after="0"/>
              <w:rPr>
                <w:sz w:val="15"/>
                <w:szCs w:val="15"/>
                <w:color w:val="auto"/>
              </w:rPr>
            </w:pPr>
          </w:p>
        </w:tc>
        <w:tc>
          <w:tcPr>
            <w:tcW w:w="1960" w:type="dxa"/>
            <w:vAlign w:val="bottom"/>
            <w:gridSpan w:val="4"/>
            <w:shd w:val="clear" w:color="auto" w:fill="62259D"/>
          </w:tcPr>
          <w:p>
            <w:pPr>
              <w:ind w:left="20"/>
              <w:spacing w:after="0"/>
              <w:rPr>
                <w:sz w:val="20"/>
                <w:szCs w:val="20"/>
                <w:color w:val="auto"/>
              </w:rPr>
            </w:pPr>
            <w:r>
              <w:rPr>
                <w:rFonts w:ascii="Arial" w:cs="Arial" w:eastAsia="Arial" w:hAnsi="Arial"/>
                <w:sz w:val="15"/>
                <w:szCs w:val="15"/>
                <w:b w:val="1"/>
                <w:bCs w:val="1"/>
                <w:color w:val="FEFEFE"/>
              </w:rPr>
              <w:t>thousands) (in millions)</w:t>
            </w: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FEFEFE"/>
                <w:w w:val="4294942296"/>
              </w:rPr>
              <w:t>​</w:t>
            </w:r>
          </w:p>
        </w:tc>
        <w:tc>
          <w:tcPr>
            <w:tcW w:w="0" w:type="dxa"/>
            <w:vAlign w:val="bottom"/>
          </w:tcPr>
          <w:p>
            <w:pPr>
              <w:spacing w:after="0"/>
              <w:rPr>
                <w:sz w:val="1"/>
                <w:szCs w:val="1"/>
                <w:color w:val="auto"/>
              </w:rPr>
            </w:pPr>
          </w:p>
        </w:tc>
      </w:tr>
      <w:tr>
        <w:trPr>
          <w:trHeight w:val="68"/>
        </w:trPr>
        <w:tc>
          <w:tcPr>
            <w:tcW w:w="520" w:type="dxa"/>
            <w:vAlign w:val="bottom"/>
            <w:shd w:val="clear" w:color="auto" w:fill="62259D"/>
          </w:tcPr>
          <w:p>
            <w:pPr>
              <w:ind w:left="20"/>
              <w:spacing w:after="0" w:line="68" w:lineRule="exact"/>
              <w:rPr>
                <w:sz w:val="20"/>
                <w:szCs w:val="20"/>
                <w:color w:val="auto"/>
              </w:rPr>
            </w:pPr>
            <w:r>
              <w:rPr>
                <w:rFonts w:ascii="Arial" w:cs="Arial" w:eastAsia="Arial" w:hAnsi="Arial"/>
                <w:sz w:val="7"/>
                <w:szCs w:val="7"/>
                <w:b w:val="1"/>
                <w:bCs w:val="1"/>
                <w:color w:val="FEFEFE"/>
              </w:rPr>
              <w:t>​</w:t>
            </w:r>
          </w:p>
        </w:tc>
        <w:tc>
          <w:tcPr>
            <w:tcW w:w="100" w:type="dxa"/>
            <w:vAlign w:val="bottom"/>
            <w:vMerge w:val="continue"/>
            <w:shd w:val="clear" w:color="auto" w:fill="62259D"/>
          </w:tcPr>
          <w:p>
            <w:pPr>
              <w:spacing w:after="0"/>
              <w:rPr>
                <w:sz w:val="5"/>
                <w:szCs w:val="5"/>
                <w:color w:val="auto"/>
              </w:rPr>
            </w:pPr>
          </w:p>
        </w:tc>
        <w:tc>
          <w:tcPr>
            <w:tcW w:w="140" w:type="dxa"/>
            <w:vAlign w:val="bottom"/>
            <w:shd w:val="clear" w:color="auto" w:fill="62259D"/>
          </w:tcPr>
          <w:p>
            <w:pPr>
              <w:spacing w:after="0"/>
              <w:rPr>
                <w:sz w:val="5"/>
                <w:szCs w:val="5"/>
                <w:color w:val="auto"/>
              </w:rPr>
            </w:pPr>
          </w:p>
        </w:tc>
        <w:tc>
          <w:tcPr>
            <w:tcW w:w="940" w:type="dxa"/>
            <w:vAlign w:val="bottom"/>
            <w:shd w:val="clear" w:color="auto" w:fill="62259D"/>
          </w:tcPr>
          <w:p>
            <w:pPr>
              <w:spacing w:after="0"/>
              <w:rPr>
                <w:sz w:val="5"/>
                <w:szCs w:val="5"/>
                <w:color w:val="auto"/>
              </w:rPr>
            </w:pPr>
          </w:p>
        </w:tc>
        <w:tc>
          <w:tcPr>
            <w:tcW w:w="180" w:type="dxa"/>
            <w:vAlign w:val="bottom"/>
            <w:vMerge w:val="continue"/>
            <w:shd w:val="clear" w:color="auto" w:fill="62259D"/>
          </w:tcPr>
          <w:p>
            <w:pPr>
              <w:spacing w:after="0"/>
              <w:rPr>
                <w:sz w:val="5"/>
                <w:szCs w:val="5"/>
                <w:color w:val="auto"/>
              </w:rPr>
            </w:pPr>
          </w:p>
        </w:tc>
        <w:tc>
          <w:tcPr>
            <w:tcW w:w="160" w:type="dxa"/>
            <w:vAlign w:val="bottom"/>
            <w:shd w:val="clear" w:color="auto" w:fill="62259D"/>
          </w:tcPr>
          <w:p>
            <w:pPr>
              <w:spacing w:after="0"/>
              <w:rPr>
                <w:sz w:val="5"/>
                <w:szCs w:val="5"/>
                <w:color w:val="auto"/>
              </w:rPr>
            </w:pPr>
          </w:p>
        </w:tc>
        <w:tc>
          <w:tcPr>
            <w:tcW w:w="920" w:type="dxa"/>
            <w:vAlign w:val="bottom"/>
            <w:shd w:val="clear" w:color="auto" w:fill="62259D"/>
          </w:tcPr>
          <w:p>
            <w:pPr>
              <w:spacing w:after="0"/>
              <w:rPr>
                <w:sz w:val="5"/>
                <w:szCs w:val="5"/>
                <w:color w:val="auto"/>
              </w:rPr>
            </w:pPr>
          </w:p>
        </w:tc>
        <w:tc>
          <w:tcPr>
            <w:tcW w:w="200" w:type="dxa"/>
            <w:vAlign w:val="bottom"/>
            <w:vMerge w:val="continue"/>
            <w:shd w:val="clear" w:color="auto" w:fill="62259D"/>
          </w:tcPr>
          <w:p>
            <w:pPr>
              <w:spacing w:after="0"/>
              <w:rPr>
                <w:sz w:val="5"/>
                <w:szCs w:val="5"/>
                <w:color w:val="auto"/>
              </w:rPr>
            </w:pPr>
          </w:p>
        </w:tc>
        <w:tc>
          <w:tcPr>
            <w:tcW w:w="220" w:type="dxa"/>
            <w:vAlign w:val="bottom"/>
            <w:shd w:val="clear" w:color="auto" w:fill="62259D"/>
          </w:tcPr>
          <w:p>
            <w:pPr>
              <w:spacing w:after="0"/>
              <w:rPr>
                <w:sz w:val="5"/>
                <w:szCs w:val="5"/>
                <w:color w:val="auto"/>
              </w:rPr>
            </w:pPr>
          </w:p>
        </w:tc>
        <w:tc>
          <w:tcPr>
            <w:tcW w:w="860" w:type="dxa"/>
            <w:vAlign w:val="bottom"/>
            <w:shd w:val="clear" w:color="auto" w:fill="62259D"/>
          </w:tcPr>
          <w:p>
            <w:pPr>
              <w:spacing w:after="0"/>
              <w:rPr>
                <w:sz w:val="5"/>
                <w:szCs w:val="5"/>
                <w:color w:val="auto"/>
              </w:rPr>
            </w:pPr>
          </w:p>
        </w:tc>
        <w:tc>
          <w:tcPr>
            <w:tcW w:w="180" w:type="dxa"/>
            <w:vAlign w:val="bottom"/>
            <w:vMerge w:val="continue"/>
            <w:shd w:val="clear" w:color="auto" w:fill="62259D"/>
          </w:tcPr>
          <w:p>
            <w:pPr>
              <w:spacing w:after="0"/>
              <w:rPr>
                <w:sz w:val="5"/>
                <w:szCs w:val="5"/>
                <w:color w:val="auto"/>
              </w:rPr>
            </w:pPr>
          </w:p>
        </w:tc>
        <w:tc>
          <w:tcPr>
            <w:tcW w:w="200" w:type="dxa"/>
            <w:vAlign w:val="bottom"/>
            <w:shd w:val="clear" w:color="auto" w:fill="62259D"/>
          </w:tcPr>
          <w:p>
            <w:pPr>
              <w:spacing w:after="0"/>
              <w:rPr>
                <w:sz w:val="5"/>
                <w:szCs w:val="5"/>
                <w:color w:val="auto"/>
              </w:rPr>
            </w:pPr>
          </w:p>
        </w:tc>
        <w:tc>
          <w:tcPr>
            <w:tcW w:w="820" w:type="dxa"/>
            <w:vAlign w:val="bottom"/>
            <w:shd w:val="clear" w:color="auto" w:fill="62259D"/>
          </w:tcPr>
          <w:p>
            <w:pPr>
              <w:spacing w:after="0"/>
              <w:rPr>
                <w:sz w:val="5"/>
                <w:szCs w:val="5"/>
                <w:color w:val="auto"/>
              </w:rPr>
            </w:pPr>
          </w:p>
        </w:tc>
        <w:tc>
          <w:tcPr>
            <w:tcW w:w="130" w:type="dxa"/>
            <w:vAlign w:val="bottom"/>
            <w:shd w:val="clear" w:color="auto" w:fill="62259D"/>
          </w:tcPr>
          <w:p>
            <w:pPr>
              <w:spacing w:after="0"/>
              <w:rPr>
                <w:sz w:val="5"/>
                <w:szCs w:val="5"/>
                <w:color w:val="auto"/>
              </w:rPr>
            </w:pPr>
          </w:p>
        </w:tc>
        <w:tc>
          <w:tcPr>
            <w:tcW w:w="110" w:type="dxa"/>
            <w:vAlign w:val="bottom"/>
            <w:vMerge w:val="continue"/>
            <w:shd w:val="clear" w:color="auto" w:fill="62259D"/>
          </w:tcPr>
          <w:p>
            <w:pPr>
              <w:spacing w:after="0"/>
              <w:rPr>
                <w:sz w:val="5"/>
                <w:szCs w:val="5"/>
                <w:color w:val="auto"/>
              </w:rPr>
            </w:pPr>
          </w:p>
        </w:tc>
        <w:tc>
          <w:tcPr>
            <w:tcW w:w="900" w:type="dxa"/>
            <w:vAlign w:val="bottom"/>
            <w:shd w:val="clear" w:color="auto" w:fill="62259D"/>
          </w:tcPr>
          <w:p>
            <w:pPr>
              <w:spacing w:after="0"/>
              <w:rPr>
                <w:sz w:val="5"/>
                <w:szCs w:val="5"/>
                <w:color w:val="auto"/>
              </w:rPr>
            </w:pPr>
          </w:p>
        </w:tc>
        <w:tc>
          <w:tcPr>
            <w:tcW w:w="180" w:type="dxa"/>
            <w:vAlign w:val="bottom"/>
            <w:gridSpan w:val="2"/>
            <w:vMerge w:val="continue"/>
            <w:shd w:val="clear" w:color="auto" w:fill="62259D"/>
          </w:tcPr>
          <w:p>
            <w:pPr>
              <w:spacing w:after="0"/>
              <w:rPr>
                <w:sz w:val="5"/>
                <w:szCs w:val="5"/>
                <w:color w:val="auto"/>
              </w:rPr>
            </w:pPr>
          </w:p>
        </w:tc>
        <w:tc>
          <w:tcPr>
            <w:tcW w:w="260" w:type="dxa"/>
            <w:vAlign w:val="bottom"/>
            <w:shd w:val="clear" w:color="auto" w:fill="62259D"/>
          </w:tcPr>
          <w:p>
            <w:pPr>
              <w:spacing w:after="0"/>
              <w:rPr>
                <w:sz w:val="5"/>
                <w:szCs w:val="5"/>
                <w:color w:val="auto"/>
              </w:rPr>
            </w:pPr>
          </w:p>
        </w:tc>
        <w:tc>
          <w:tcPr>
            <w:tcW w:w="680" w:type="dxa"/>
            <w:vAlign w:val="bottom"/>
            <w:shd w:val="clear" w:color="auto" w:fill="62259D"/>
          </w:tcPr>
          <w:p>
            <w:pPr>
              <w:spacing w:after="0"/>
              <w:rPr>
                <w:sz w:val="5"/>
                <w:szCs w:val="5"/>
                <w:color w:val="auto"/>
              </w:rPr>
            </w:pPr>
          </w:p>
        </w:tc>
        <w:tc>
          <w:tcPr>
            <w:tcW w:w="80" w:type="dxa"/>
            <w:vAlign w:val="bottom"/>
            <w:shd w:val="clear" w:color="auto" w:fill="62259D"/>
          </w:tcPr>
          <w:p>
            <w:pPr>
              <w:spacing w:after="0"/>
              <w:rPr>
                <w:sz w:val="5"/>
                <w:szCs w:val="5"/>
                <w:color w:val="auto"/>
              </w:rPr>
            </w:pPr>
          </w:p>
        </w:tc>
        <w:tc>
          <w:tcPr>
            <w:tcW w:w="260" w:type="dxa"/>
            <w:vAlign w:val="bottom"/>
            <w:shd w:val="clear" w:color="auto" w:fill="62259D"/>
          </w:tcPr>
          <w:p>
            <w:pPr>
              <w:spacing w:after="0" w:line="68" w:lineRule="exact"/>
              <w:rPr>
                <w:sz w:val="20"/>
                <w:szCs w:val="20"/>
                <w:color w:val="auto"/>
              </w:rPr>
            </w:pPr>
            <w:r>
              <w:rPr>
                <w:rFonts w:ascii="Arial" w:cs="Arial" w:eastAsia="Arial" w:hAnsi="Arial"/>
                <w:sz w:val="7"/>
                <w:szCs w:val="7"/>
                <w:b w:val="1"/>
                <w:bCs w:val="1"/>
                <w:color w:val="FEFEFE"/>
              </w:rPr>
              <w:t>​</w:t>
            </w:r>
          </w:p>
        </w:tc>
        <w:tc>
          <w:tcPr>
            <w:tcW w:w="780" w:type="dxa"/>
            <w:vAlign w:val="bottom"/>
            <w:shd w:val="clear" w:color="auto" w:fill="62259D"/>
          </w:tcPr>
          <w:p>
            <w:pPr>
              <w:jc w:val="right"/>
              <w:spacing w:after="0" w:line="68" w:lineRule="exact"/>
              <w:rPr>
                <w:sz w:val="20"/>
                <w:szCs w:val="20"/>
                <w:color w:val="auto"/>
              </w:rPr>
            </w:pPr>
            <w:r>
              <w:rPr>
                <w:rFonts w:ascii="Arial" w:cs="Arial" w:eastAsia="Arial" w:hAnsi="Arial"/>
                <w:sz w:val="7"/>
                <w:szCs w:val="7"/>
                <w:b w:val="1"/>
                <w:bCs w:val="1"/>
                <w:color w:val="FEFEFE"/>
              </w:rPr>
              <w:t>​</w:t>
            </w:r>
          </w:p>
        </w:tc>
        <w:tc>
          <w:tcPr>
            <w:tcW w:w="780" w:type="dxa"/>
            <w:vAlign w:val="bottom"/>
            <w:shd w:val="clear" w:color="auto" w:fill="62259D"/>
          </w:tcPr>
          <w:p>
            <w:pPr>
              <w:spacing w:after="0"/>
              <w:rPr>
                <w:sz w:val="5"/>
                <w:szCs w:val="5"/>
                <w:color w:val="auto"/>
              </w:rPr>
            </w:pPr>
          </w:p>
        </w:tc>
        <w:tc>
          <w:tcPr>
            <w:tcW w:w="140" w:type="dxa"/>
            <w:vAlign w:val="bottom"/>
            <w:shd w:val="clear" w:color="auto" w:fill="62259D"/>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2025</w:t>
            </w:r>
          </w:p>
        </w:tc>
        <w:tc>
          <w:tcPr>
            <w:tcW w:w="100" w:type="dxa"/>
            <w:vAlign w:val="bottom"/>
          </w:tcPr>
          <w:p>
            <w:pPr>
              <w:spacing w:after="0"/>
              <w:rPr>
                <w:sz w:val="20"/>
                <w:szCs w:val="20"/>
                <w:color w:val="auto"/>
              </w:rPr>
            </w:pPr>
            <w:r>
              <w:rPr>
                <w:rFonts w:ascii="Arial" w:cs="Arial" w:eastAsia="Arial" w:hAnsi="Arial"/>
                <w:sz w:val="15"/>
                <w:szCs w:val="15"/>
                <w:color w:val="auto"/>
              </w:rPr>
              <w:t>​</w:t>
            </w:r>
          </w:p>
        </w:tc>
        <w:tc>
          <w:tcPr>
            <w:tcW w:w="140" w:type="dxa"/>
            <w:vAlign w:val="bottom"/>
          </w:tcPr>
          <w:p>
            <w:pPr>
              <w:ind w:left="40"/>
              <w:spacing w:after="0" w:line="243" w:lineRule="exact"/>
              <w:rPr>
                <w:sz w:val="20"/>
                <w:szCs w:val="20"/>
                <w:color w:val="auto"/>
              </w:rPr>
            </w:pPr>
            <w:r>
              <w:rPr>
                <w:rFonts w:ascii="Arial" w:cs="Arial" w:eastAsia="Arial" w:hAnsi="Arial"/>
                <w:sz w:val="15"/>
                <w:szCs w:val="15"/>
                <w:color w:val="auto"/>
                <w:w w:val="76"/>
              </w:rPr>
              <w:t>​</w:t>
            </w:r>
            <w:r>
              <w:rPr>
                <w:rFonts w:ascii="Arial" w:cs="Arial" w:eastAsia="Arial" w:hAnsi="Arial"/>
                <w:sz w:val="28"/>
                <w:szCs w:val="28"/>
                <w:color w:val="auto"/>
                <w:w w:val="76"/>
                <w:vertAlign w:val="superscript"/>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17,457,675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ind w:left="40"/>
              <w:spacing w:after="0" w:line="243" w:lineRule="exact"/>
              <w:rPr>
                <w:sz w:val="20"/>
                <w:szCs w:val="20"/>
                <w:color w:val="auto"/>
              </w:rPr>
            </w:pPr>
            <w:r>
              <w:rPr>
                <w:rFonts w:ascii="Arial" w:cs="Arial" w:eastAsia="Arial" w:hAnsi="Arial"/>
                <w:sz w:val="15"/>
                <w:szCs w:val="15"/>
                <w:color w:val="auto"/>
                <w:w w:val="95"/>
              </w:rPr>
              <w:t>​</w:t>
            </w:r>
            <w:r>
              <w:rPr>
                <w:rFonts w:ascii="Arial" w:cs="Arial" w:eastAsia="Arial" w:hAnsi="Arial"/>
                <w:sz w:val="28"/>
                <w:szCs w:val="28"/>
                <w:color w:val="auto"/>
                <w:w w:val="95"/>
                <w:vertAlign w:val="superscript"/>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13,290,302</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ind w:left="60"/>
              <w:spacing w:after="0" w:line="243"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2,163,686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ind w:left="60"/>
              <w:spacing w:after="0" w:line="243"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1,921,506</w:t>
            </w:r>
          </w:p>
        </w:tc>
        <w:tc>
          <w:tcPr>
            <w:tcW w:w="24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right="3"/>
              <w:spacing w:after="0"/>
              <w:rPr>
                <w:sz w:val="20"/>
                <w:szCs w:val="20"/>
                <w:color w:val="auto"/>
              </w:rPr>
            </w:pPr>
            <w:r>
              <w:rPr>
                <w:rFonts w:ascii="Arial" w:cs="Arial" w:eastAsia="Arial" w:hAnsi="Arial"/>
                <w:sz w:val="15"/>
                <w:szCs w:val="15"/>
                <w:color w:val="auto"/>
                <w:w w:val="99"/>
              </w:rPr>
              <w:t>$ 43.90</w:t>
            </w:r>
          </w:p>
        </w:tc>
        <w:tc>
          <w:tcPr>
            <w:tcW w:w="140" w:type="dxa"/>
            <w:vAlign w:val="bottom"/>
          </w:tcPr>
          <w:p>
            <w:pPr>
              <w:jc w:val="center"/>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1"/>
                <w:szCs w:val="21"/>
                <w:color w:val="auto"/>
              </w:rPr>
            </w:pPr>
          </w:p>
        </w:tc>
        <w:tc>
          <w:tcPr>
            <w:tcW w:w="940" w:type="dxa"/>
            <w:vAlign w:val="bottom"/>
            <w:gridSpan w:val="2"/>
          </w:tcPr>
          <w:p>
            <w:pPr>
              <w:jc w:val="right"/>
              <w:ind w:right="83"/>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$ 107.40</w:t>
            </w:r>
          </w:p>
        </w:tc>
        <w:tc>
          <w:tcPr>
            <w:tcW w:w="340" w:type="dxa"/>
            <w:vAlign w:val="bottom"/>
            <w:gridSpan w:val="2"/>
          </w:tcPr>
          <w:p>
            <w:pPr>
              <w:ind w:left="20"/>
              <w:spacing w:after="0" w:line="243"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780" w:type="dxa"/>
            <w:vAlign w:val="bottom"/>
          </w:tcPr>
          <w:p>
            <w:pPr>
              <w:jc w:val="right"/>
              <w:spacing w:after="0" w:line="243" w:lineRule="exact"/>
              <w:rPr>
                <w:sz w:val="20"/>
                <w:szCs w:val="20"/>
                <w:color w:val="auto"/>
              </w:rPr>
            </w:pPr>
            <w:r>
              <w:rPr>
                <w:rFonts w:ascii="Arial" w:cs="Arial" w:eastAsia="Arial" w:hAnsi="Arial"/>
                <w:sz w:val="15"/>
                <w:szCs w:val="15"/>
                <w:color w:val="auto"/>
              </w:rPr>
              <w:t xml:space="preserve">39,636 </w:t>
            </w:r>
            <w:r>
              <w:rPr>
                <w:rFonts w:ascii="Arial" w:cs="Arial" w:eastAsia="Arial" w:hAnsi="Arial"/>
                <w:sz w:val="28"/>
                <w:szCs w:val="28"/>
                <w:color w:val="auto"/>
                <w:vertAlign w:val="subscript"/>
              </w:rPr>
              <w:t>​​</w:t>
            </w:r>
          </w:p>
        </w:tc>
        <w:tc>
          <w:tcPr>
            <w:tcW w:w="780" w:type="dxa"/>
            <w:vAlign w:val="bottom"/>
          </w:tcPr>
          <w:p>
            <w:pPr>
              <w:jc w:val="cente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$ 845</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94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92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86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820" w:type="dxa"/>
            <w:vAlign w:val="bottom"/>
            <w:shd w:val="clear" w:color="auto" w:fill="E7417A"/>
          </w:tcPr>
          <w:p>
            <w:pPr>
              <w:spacing w:after="0" w:line="20" w:lineRule="exact"/>
              <w:rPr>
                <w:sz w:val="1"/>
                <w:szCs w:val="1"/>
                <w:color w:val="auto"/>
              </w:rPr>
            </w:pPr>
          </w:p>
        </w:tc>
        <w:tc>
          <w:tcPr>
            <w:tcW w:w="240" w:type="dxa"/>
            <w:vAlign w:val="bottom"/>
            <w:gridSpan w:val="2"/>
            <w:shd w:val="clear" w:color="auto" w:fill="E7417A"/>
          </w:tcPr>
          <w:p>
            <w:pPr>
              <w:spacing w:after="0" w:line="20" w:lineRule="exact"/>
              <w:rPr>
                <w:sz w:val="1"/>
                <w:szCs w:val="1"/>
                <w:color w:val="auto"/>
              </w:rPr>
            </w:pPr>
          </w:p>
        </w:tc>
        <w:tc>
          <w:tcPr>
            <w:tcW w:w="90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40" w:type="dxa"/>
            <w:vAlign w:val="bottom"/>
            <w:shd w:val="clear" w:color="auto" w:fill="E7417A"/>
          </w:tcPr>
          <w:p>
            <w:pPr>
              <w:spacing w:after="0" w:line="20" w:lineRule="exact"/>
              <w:rPr>
                <w:sz w:val="1"/>
                <w:szCs w:val="1"/>
                <w:color w:val="auto"/>
              </w:rPr>
            </w:pPr>
          </w:p>
        </w:tc>
        <w:tc>
          <w:tcPr>
            <w:tcW w:w="260" w:type="dxa"/>
            <w:vAlign w:val="bottom"/>
            <w:shd w:val="clear" w:color="auto" w:fill="E7417A"/>
          </w:tcPr>
          <w:p>
            <w:pPr>
              <w:spacing w:after="0" w:line="20" w:lineRule="exact"/>
              <w:rPr>
                <w:sz w:val="1"/>
                <w:szCs w:val="1"/>
                <w:color w:val="auto"/>
              </w:rPr>
            </w:pPr>
          </w:p>
        </w:tc>
        <w:tc>
          <w:tcPr>
            <w:tcW w:w="680" w:type="dxa"/>
            <w:vAlign w:val="bottom"/>
            <w:shd w:val="clear" w:color="auto" w:fill="E7417A"/>
          </w:tcPr>
          <w:p>
            <w:pPr>
              <w:spacing w:after="0" w:line="20" w:lineRule="exact"/>
              <w:rPr>
                <w:sz w:val="1"/>
                <w:szCs w:val="1"/>
                <w:color w:val="auto"/>
              </w:rPr>
            </w:pPr>
          </w:p>
        </w:tc>
        <w:tc>
          <w:tcPr>
            <w:tcW w:w="340" w:type="dxa"/>
            <w:vAlign w:val="bottom"/>
            <w:gridSpan w:val="2"/>
            <w:shd w:val="clear" w:color="auto" w:fill="E7417A"/>
          </w:tcPr>
          <w:p>
            <w:pPr>
              <w:spacing w:after="0" w:line="20" w:lineRule="exact"/>
              <w:rPr>
                <w:sz w:val="1"/>
                <w:szCs w:val="1"/>
                <w:color w:val="auto"/>
              </w:rPr>
            </w:pPr>
          </w:p>
        </w:tc>
        <w:tc>
          <w:tcPr>
            <w:tcW w:w="780" w:type="dxa"/>
            <w:vAlign w:val="bottom"/>
            <w:shd w:val="clear" w:color="auto" w:fill="E7417A"/>
          </w:tcPr>
          <w:p>
            <w:pPr>
              <w:spacing w:after="0" w:line="20" w:lineRule="exact"/>
              <w:rPr>
                <w:sz w:val="1"/>
                <w:szCs w:val="1"/>
                <w:color w:val="auto"/>
              </w:rPr>
            </w:pPr>
          </w:p>
        </w:tc>
        <w:tc>
          <w:tcPr>
            <w:tcW w:w="78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100" w:type="dxa"/>
            <w:vAlign w:val="bottom"/>
          </w:tcPr>
          <w:p>
            <w:pPr>
              <w:spacing w:after="0"/>
              <w:rPr>
                <w:sz w:val="20"/>
                <w:szCs w:val="20"/>
                <w:color w:val="auto"/>
              </w:rPr>
            </w:pPr>
            <w:r>
              <w:rPr>
                <w:rFonts w:ascii="Arial" w:cs="Arial" w:eastAsia="Arial" w:hAnsi="Arial"/>
                <w:sz w:val="15"/>
                <w:szCs w:val="15"/>
                <w:color w:val="auto"/>
              </w:rPr>
              <w:t>​</w:t>
            </w:r>
          </w:p>
        </w:tc>
        <w:tc>
          <w:tcPr>
            <w:tcW w:w="140" w:type="dxa"/>
            <w:vAlign w:val="bottom"/>
          </w:tcPr>
          <w:p>
            <w:pPr>
              <w:ind w:left="40"/>
              <w:spacing w:after="0" w:line="236" w:lineRule="exact"/>
              <w:rPr>
                <w:sz w:val="20"/>
                <w:szCs w:val="20"/>
                <w:color w:val="auto"/>
              </w:rPr>
            </w:pPr>
            <w:r>
              <w:rPr>
                <w:rFonts w:ascii="Arial" w:cs="Arial" w:eastAsia="Arial" w:hAnsi="Arial"/>
                <w:sz w:val="14"/>
                <w:szCs w:val="14"/>
                <w:color w:val="auto"/>
                <w:w w:val="79"/>
              </w:rPr>
              <w:t>​</w:t>
            </w:r>
            <w:r>
              <w:rPr>
                <w:rFonts w:ascii="Arial" w:cs="Arial" w:eastAsia="Arial" w:hAnsi="Arial"/>
                <w:sz w:val="27"/>
                <w:szCs w:val="27"/>
                <w:color w:val="auto"/>
                <w:w w:val="79"/>
                <w:vertAlign w:val="superscript"/>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4,453,002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ind w:left="40"/>
              <w:spacing w:after="0" w:line="236" w:lineRule="exact"/>
              <w:rPr>
                <w:sz w:val="20"/>
                <w:szCs w:val="20"/>
                <w:color w:val="auto"/>
              </w:rPr>
            </w:pPr>
            <w:r>
              <w:rPr>
                <w:rFonts w:ascii="Arial" w:cs="Arial" w:eastAsia="Arial" w:hAnsi="Arial"/>
                <w:sz w:val="14"/>
                <w:szCs w:val="14"/>
                <w:color w:val="auto"/>
                <w:w w:val="99"/>
              </w:rPr>
              <w:t>​</w:t>
            </w:r>
            <w:r>
              <w:rPr>
                <w:rFonts w:ascii="Arial" w:cs="Arial" w:eastAsia="Arial" w:hAnsi="Arial"/>
                <w:sz w:val="27"/>
                <w:szCs w:val="27"/>
                <w:color w:val="auto"/>
                <w:w w:val="99"/>
                <w:vertAlign w:val="superscript"/>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5,064,828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ind w:left="6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1,472,252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ind w:left="6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1,413,665</w:t>
            </w:r>
          </w:p>
        </w:tc>
        <w:tc>
          <w:tcPr>
            <w:tcW w:w="24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right="3"/>
              <w:spacing w:after="0"/>
              <w:rPr>
                <w:sz w:val="20"/>
                <w:szCs w:val="20"/>
                <w:color w:val="auto"/>
              </w:rPr>
            </w:pPr>
            <w:r>
              <w:rPr>
                <w:rFonts w:ascii="Arial" w:cs="Arial" w:eastAsia="Arial" w:hAnsi="Arial"/>
                <w:sz w:val="15"/>
                <w:szCs w:val="15"/>
                <w:color w:val="auto"/>
                <w:w w:val="99"/>
              </w:rPr>
              <w:t>$ 63.41</w:t>
            </w:r>
          </w:p>
        </w:tc>
        <w:tc>
          <w:tcPr>
            <w:tcW w:w="140" w:type="dxa"/>
            <w:vAlign w:val="bottom"/>
          </w:tcPr>
          <w:p>
            <w:pPr>
              <w:jc w:val="center"/>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20"/>
                <w:szCs w:val="20"/>
                <w:color w:val="auto"/>
              </w:rPr>
            </w:pPr>
          </w:p>
        </w:tc>
        <w:tc>
          <w:tcPr>
            <w:tcW w:w="260" w:type="dxa"/>
            <w:vAlign w:val="bottom"/>
          </w:tcPr>
          <w:p>
            <w:pPr>
              <w:ind w:left="140"/>
              <w:spacing w:after="0" w:line="236" w:lineRule="exact"/>
              <w:rPr>
                <w:sz w:val="20"/>
                <w:szCs w:val="20"/>
                <w:color w:val="auto"/>
              </w:rPr>
            </w:pPr>
            <w:r>
              <w:rPr>
                <w:rFonts w:ascii="Arial" w:cs="Arial" w:eastAsia="Arial" w:hAnsi="Arial"/>
                <w:sz w:val="14"/>
                <w:szCs w:val="14"/>
                <w:color w:val="auto"/>
                <w:w w:val="99"/>
              </w:rPr>
              <w:t>​</w:t>
            </w:r>
            <w:r>
              <w:rPr>
                <w:rFonts w:ascii="Arial" w:cs="Arial" w:eastAsia="Arial" w:hAnsi="Arial"/>
                <w:sz w:val="27"/>
                <w:szCs w:val="27"/>
                <w:color w:val="auto"/>
                <w:w w:val="99"/>
                <w:vertAlign w:val="superscript"/>
              </w:rPr>
              <w:t>$</w:t>
            </w: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97.78</w:t>
            </w:r>
          </w:p>
        </w:tc>
        <w:tc>
          <w:tcPr>
            <w:tcW w:w="340" w:type="dxa"/>
            <w:vAlign w:val="bottom"/>
            <w:gridSpan w:val="2"/>
          </w:tcPr>
          <w:p>
            <w:pPr>
              <w:ind w:left="20"/>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780" w:type="dxa"/>
            <w:vAlign w:val="bottom"/>
          </w:tcPr>
          <w:p>
            <w:pPr>
              <w:jc w:val="right"/>
              <w:spacing w:after="0" w:line="236" w:lineRule="exact"/>
              <w:rPr>
                <w:sz w:val="20"/>
                <w:szCs w:val="20"/>
                <w:color w:val="auto"/>
              </w:rPr>
            </w:pPr>
            <w:r>
              <w:rPr>
                <w:rFonts w:ascii="Arial" w:cs="Arial" w:eastAsia="Arial" w:hAnsi="Arial"/>
                <w:sz w:val="14"/>
                <w:szCs w:val="14"/>
                <w:color w:val="auto"/>
              </w:rPr>
              <w:t>(54,235)</w:t>
            </w:r>
            <w:r>
              <w:rPr>
                <w:rFonts w:ascii="Arial" w:cs="Arial" w:eastAsia="Arial" w:hAnsi="Arial"/>
                <w:sz w:val="27"/>
                <w:szCs w:val="27"/>
                <w:color w:val="auto"/>
                <w:vertAlign w:val="subscript"/>
              </w:rPr>
              <w:t>​​</w:t>
            </w:r>
          </w:p>
        </w:tc>
        <w:tc>
          <w:tcPr>
            <w:tcW w:w="780" w:type="dxa"/>
            <w:vAlign w:val="bottom"/>
          </w:tcPr>
          <w:p>
            <w:pPr>
              <w:jc w:val="cente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$ 834</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94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92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86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820" w:type="dxa"/>
            <w:vAlign w:val="bottom"/>
            <w:shd w:val="clear" w:color="auto" w:fill="E7417A"/>
          </w:tcPr>
          <w:p>
            <w:pPr>
              <w:spacing w:after="0" w:line="20" w:lineRule="exact"/>
              <w:rPr>
                <w:sz w:val="1"/>
                <w:szCs w:val="1"/>
                <w:color w:val="auto"/>
              </w:rPr>
            </w:pPr>
          </w:p>
        </w:tc>
        <w:tc>
          <w:tcPr>
            <w:tcW w:w="240" w:type="dxa"/>
            <w:vAlign w:val="bottom"/>
            <w:gridSpan w:val="2"/>
            <w:shd w:val="clear" w:color="auto" w:fill="E7417A"/>
          </w:tcPr>
          <w:p>
            <w:pPr>
              <w:spacing w:after="0" w:line="20" w:lineRule="exact"/>
              <w:rPr>
                <w:sz w:val="1"/>
                <w:szCs w:val="1"/>
                <w:color w:val="auto"/>
              </w:rPr>
            </w:pPr>
          </w:p>
        </w:tc>
        <w:tc>
          <w:tcPr>
            <w:tcW w:w="90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40" w:type="dxa"/>
            <w:vAlign w:val="bottom"/>
            <w:shd w:val="clear" w:color="auto" w:fill="E7417A"/>
          </w:tcPr>
          <w:p>
            <w:pPr>
              <w:spacing w:after="0" w:line="20" w:lineRule="exact"/>
              <w:rPr>
                <w:sz w:val="1"/>
                <w:szCs w:val="1"/>
                <w:color w:val="auto"/>
              </w:rPr>
            </w:pPr>
          </w:p>
        </w:tc>
        <w:tc>
          <w:tcPr>
            <w:tcW w:w="260" w:type="dxa"/>
            <w:vAlign w:val="bottom"/>
            <w:shd w:val="clear" w:color="auto" w:fill="E7417A"/>
          </w:tcPr>
          <w:p>
            <w:pPr>
              <w:spacing w:after="0" w:line="20" w:lineRule="exact"/>
              <w:rPr>
                <w:sz w:val="1"/>
                <w:szCs w:val="1"/>
                <w:color w:val="auto"/>
              </w:rPr>
            </w:pPr>
          </w:p>
        </w:tc>
        <w:tc>
          <w:tcPr>
            <w:tcW w:w="680" w:type="dxa"/>
            <w:vAlign w:val="bottom"/>
            <w:shd w:val="clear" w:color="auto" w:fill="E7417A"/>
          </w:tcPr>
          <w:p>
            <w:pPr>
              <w:spacing w:after="0" w:line="20" w:lineRule="exact"/>
              <w:rPr>
                <w:sz w:val="1"/>
                <w:szCs w:val="1"/>
                <w:color w:val="auto"/>
              </w:rPr>
            </w:pPr>
          </w:p>
        </w:tc>
        <w:tc>
          <w:tcPr>
            <w:tcW w:w="340" w:type="dxa"/>
            <w:vAlign w:val="bottom"/>
            <w:gridSpan w:val="2"/>
            <w:shd w:val="clear" w:color="auto" w:fill="E7417A"/>
          </w:tcPr>
          <w:p>
            <w:pPr>
              <w:spacing w:after="0" w:line="20" w:lineRule="exact"/>
              <w:rPr>
                <w:sz w:val="1"/>
                <w:szCs w:val="1"/>
                <w:color w:val="auto"/>
              </w:rPr>
            </w:pPr>
          </w:p>
        </w:tc>
        <w:tc>
          <w:tcPr>
            <w:tcW w:w="780" w:type="dxa"/>
            <w:vAlign w:val="bottom"/>
            <w:shd w:val="clear" w:color="auto" w:fill="E7417A"/>
          </w:tcPr>
          <w:p>
            <w:pPr>
              <w:spacing w:after="0" w:line="20" w:lineRule="exact"/>
              <w:rPr>
                <w:sz w:val="1"/>
                <w:szCs w:val="1"/>
                <w:color w:val="auto"/>
              </w:rPr>
            </w:pPr>
          </w:p>
        </w:tc>
        <w:tc>
          <w:tcPr>
            <w:tcW w:w="78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2023</w:t>
            </w:r>
          </w:p>
        </w:tc>
        <w:tc>
          <w:tcPr>
            <w:tcW w:w="100" w:type="dxa"/>
            <w:vAlign w:val="bottom"/>
          </w:tcPr>
          <w:p>
            <w:pPr>
              <w:spacing w:after="0"/>
              <w:rPr>
                <w:sz w:val="20"/>
                <w:szCs w:val="20"/>
                <w:color w:val="auto"/>
              </w:rPr>
            </w:pPr>
            <w:r>
              <w:rPr>
                <w:rFonts w:ascii="Arial" w:cs="Arial" w:eastAsia="Arial" w:hAnsi="Arial"/>
                <w:sz w:val="15"/>
                <w:szCs w:val="15"/>
                <w:color w:val="auto"/>
              </w:rPr>
              <w:t>​</w:t>
            </w:r>
          </w:p>
        </w:tc>
        <w:tc>
          <w:tcPr>
            <w:tcW w:w="140" w:type="dxa"/>
            <w:vAlign w:val="bottom"/>
          </w:tcPr>
          <w:p>
            <w:pPr>
              <w:ind w:left="40"/>
              <w:spacing w:after="0" w:line="223" w:lineRule="exact"/>
              <w:rPr>
                <w:sz w:val="20"/>
                <w:szCs w:val="20"/>
                <w:color w:val="auto"/>
              </w:rPr>
            </w:pPr>
            <w:r>
              <w:rPr>
                <w:rFonts w:ascii="Arial" w:cs="Arial" w:eastAsia="Arial" w:hAnsi="Arial"/>
                <w:sz w:val="14"/>
                <w:szCs w:val="14"/>
                <w:color w:val="auto"/>
                <w:w w:val="85"/>
              </w:rPr>
              <w:t>​</w:t>
            </w:r>
            <w:r>
              <w:rPr>
                <w:rFonts w:ascii="Arial" w:cs="Arial" w:eastAsia="Arial" w:hAnsi="Arial"/>
                <w:sz w:val="25"/>
                <w:szCs w:val="25"/>
                <w:color w:val="auto"/>
                <w:w w:val="85"/>
                <w:vertAlign w:val="superscript"/>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2,698,394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ind w:left="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1,944,504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ind w:left="6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1,666,851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ind w:left="6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1,040,387</w:t>
            </w:r>
          </w:p>
        </w:tc>
        <w:tc>
          <w:tcPr>
            <w:tcW w:w="24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right="3"/>
              <w:spacing w:after="0"/>
              <w:rPr>
                <w:sz w:val="20"/>
                <w:szCs w:val="20"/>
                <w:color w:val="auto"/>
              </w:rPr>
            </w:pPr>
            <w:r>
              <w:rPr>
                <w:rFonts w:ascii="Arial" w:cs="Arial" w:eastAsia="Arial" w:hAnsi="Arial"/>
                <w:sz w:val="15"/>
                <w:szCs w:val="15"/>
                <w:color w:val="auto"/>
                <w:w w:val="99"/>
              </w:rPr>
              <w:t>$ 44.21</w:t>
            </w:r>
          </w:p>
        </w:tc>
        <w:tc>
          <w:tcPr>
            <w:tcW w:w="140" w:type="dxa"/>
            <w:vAlign w:val="bottom"/>
          </w:tcPr>
          <w:p>
            <w:pPr>
              <w:jc w:val="center"/>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260" w:type="dxa"/>
            <w:vAlign w:val="bottom"/>
          </w:tcPr>
          <w:p>
            <w:pPr>
              <w:ind w:left="1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87.97</w:t>
            </w:r>
          </w:p>
        </w:tc>
        <w:tc>
          <w:tcPr>
            <w:tcW w:w="340" w:type="dxa"/>
            <w:vAlign w:val="bottom"/>
            <w:gridSpan w:val="2"/>
          </w:tcPr>
          <w:p>
            <w:pPr>
              <w:ind w:left="20"/>
              <w:spacing w:after="0" w:line="223" w:lineRule="exact"/>
              <w:rPr>
                <w:sz w:val="20"/>
                <w:szCs w:val="20"/>
                <w:color w:val="auto"/>
              </w:rPr>
            </w:pPr>
            <w:r>
              <w:rPr>
                <w:rFonts w:ascii="Arial" w:cs="Arial" w:eastAsia="Arial" w:hAnsi="Arial"/>
                <w:sz w:val="14"/>
                <w:szCs w:val="14"/>
                <w:color w:val="auto"/>
              </w:rPr>
              <w:t>​​ ​</w:t>
            </w:r>
            <w:r>
              <w:rPr>
                <w:rFonts w:ascii="Arial" w:cs="Arial" w:eastAsia="Arial" w:hAnsi="Arial"/>
                <w:sz w:val="25"/>
                <w:szCs w:val="25"/>
                <w:color w:val="auto"/>
                <w:vertAlign w:val="superscript"/>
              </w:rPr>
              <w:t>$</w:t>
            </w:r>
          </w:p>
        </w:tc>
        <w:tc>
          <w:tcPr>
            <w:tcW w:w="780" w:type="dxa"/>
            <w:vAlign w:val="bottom"/>
          </w:tcPr>
          <w:p>
            <w:pPr>
              <w:jc w:val="right"/>
              <w:spacing w:after="0" w:line="223" w:lineRule="exact"/>
              <w:rPr>
                <w:sz w:val="20"/>
                <w:szCs w:val="20"/>
                <w:color w:val="auto"/>
              </w:rPr>
            </w:pPr>
            <w:r>
              <w:rPr>
                <w:rFonts w:ascii="Arial" w:cs="Arial" w:eastAsia="Arial" w:hAnsi="Arial"/>
                <w:sz w:val="14"/>
                <w:szCs w:val="14"/>
                <w:color w:val="auto"/>
              </w:rPr>
              <w:t>(66,206)</w:t>
            </w:r>
            <w:r>
              <w:rPr>
                <w:rFonts w:ascii="Arial" w:cs="Arial" w:eastAsia="Arial" w:hAnsi="Arial"/>
                <w:sz w:val="25"/>
                <w:szCs w:val="25"/>
                <w:color w:val="auto"/>
                <w:vertAlign w:val="subscript"/>
              </w:rPr>
              <w:t>​​</w:t>
            </w:r>
          </w:p>
        </w:tc>
        <w:tc>
          <w:tcPr>
            <w:tcW w:w="780" w:type="dxa"/>
            <w:vAlign w:val="bottom"/>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$ 826</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94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1120" w:type="dxa"/>
            <w:vAlign w:val="bottom"/>
            <w:gridSpan w:val="2"/>
            <w:shd w:val="clear" w:color="auto" w:fill="E7417A"/>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86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820" w:type="dxa"/>
            <w:vAlign w:val="bottom"/>
            <w:shd w:val="clear" w:color="auto" w:fill="E7417A"/>
          </w:tcPr>
          <w:p>
            <w:pPr>
              <w:spacing w:after="0" w:line="20" w:lineRule="exact"/>
              <w:rPr>
                <w:sz w:val="1"/>
                <w:szCs w:val="1"/>
                <w:color w:val="auto"/>
              </w:rPr>
            </w:pPr>
          </w:p>
        </w:tc>
        <w:tc>
          <w:tcPr>
            <w:tcW w:w="240" w:type="dxa"/>
            <w:vAlign w:val="bottom"/>
            <w:gridSpan w:val="2"/>
            <w:shd w:val="clear" w:color="auto" w:fill="E7417A"/>
          </w:tcPr>
          <w:p>
            <w:pPr>
              <w:spacing w:after="0" w:line="20" w:lineRule="exact"/>
              <w:rPr>
                <w:sz w:val="1"/>
                <w:szCs w:val="1"/>
                <w:color w:val="auto"/>
              </w:rPr>
            </w:pPr>
          </w:p>
        </w:tc>
        <w:tc>
          <w:tcPr>
            <w:tcW w:w="90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40" w:type="dxa"/>
            <w:vAlign w:val="bottom"/>
            <w:shd w:val="clear" w:color="auto" w:fill="E7417A"/>
          </w:tcPr>
          <w:p>
            <w:pPr>
              <w:spacing w:after="0" w:line="20" w:lineRule="exact"/>
              <w:rPr>
                <w:sz w:val="1"/>
                <w:szCs w:val="1"/>
                <w:color w:val="auto"/>
              </w:rPr>
            </w:pPr>
          </w:p>
        </w:tc>
        <w:tc>
          <w:tcPr>
            <w:tcW w:w="260" w:type="dxa"/>
            <w:vAlign w:val="bottom"/>
            <w:shd w:val="clear" w:color="auto" w:fill="E7417A"/>
          </w:tcPr>
          <w:p>
            <w:pPr>
              <w:spacing w:after="0" w:line="20" w:lineRule="exact"/>
              <w:rPr>
                <w:sz w:val="1"/>
                <w:szCs w:val="1"/>
                <w:color w:val="auto"/>
              </w:rPr>
            </w:pPr>
          </w:p>
        </w:tc>
        <w:tc>
          <w:tcPr>
            <w:tcW w:w="680" w:type="dxa"/>
            <w:vAlign w:val="bottom"/>
            <w:shd w:val="clear" w:color="auto" w:fill="E7417A"/>
          </w:tcPr>
          <w:p>
            <w:pPr>
              <w:spacing w:after="0" w:line="20" w:lineRule="exact"/>
              <w:rPr>
                <w:sz w:val="1"/>
                <w:szCs w:val="1"/>
                <w:color w:val="auto"/>
              </w:rPr>
            </w:pPr>
          </w:p>
        </w:tc>
        <w:tc>
          <w:tcPr>
            <w:tcW w:w="340" w:type="dxa"/>
            <w:vAlign w:val="bottom"/>
            <w:gridSpan w:val="2"/>
            <w:shd w:val="clear" w:color="auto" w:fill="E7417A"/>
          </w:tcPr>
          <w:p>
            <w:pPr>
              <w:spacing w:after="0" w:line="20" w:lineRule="exact"/>
              <w:rPr>
                <w:sz w:val="1"/>
                <w:szCs w:val="1"/>
                <w:color w:val="auto"/>
              </w:rPr>
            </w:pPr>
          </w:p>
        </w:tc>
        <w:tc>
          <w:tcPr>
            <w:tcW w:w="780" w:type="dxa"/>
            <w:vAlign w:val="bottom"/>
            <w:shd w:val="clear" w:color="auto" w:fill="E7417A"/>
          </w:tcPr>
          <w:p>
            <w:pPr>
              <w:spacing w:after="0" w:line="20" w:lineRule="exact"/>
              <w:rPr>
                <w:sz w:val="1"/>
                <w:szCs w:val="1"/>
                <w:color w:val="auto"/>
              </w:rPr>
            </w:pPr>
          </w:p>
        </w:tc>
        <w:tc>
          <w:tcPr>
            <w:tcW w:w="78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tcPr>
          <w:p>
            <w:pP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2022</w:t>
            </w:r>
          </w:p>
        </w:tc>
        <w:tc>
          <w:tcPr>
            <w:tcW w:w="100" w:type="dxa"/>
            <w:vAlign w:val="bottom"/>
          </w:tcPr>
          <w:p>
            <w:pPr>
              <w:spacing w:after="0"/>
              <w:rPr>
                <w:sz w:val="20"/>
                <w:szCs w:val="20"/>
                <w:color w:val="auto"/>
              </w:rPr>
            </w:pPr>
            <w:r>
              <w:rPr>
                <w:rFonts w:ascii="Arial" w:cs="Arial" w:eastAsia="Arial" w:hAnsi="Arial"/>
                <w:sz w:val="15"/>
                <w:szCs w:val="15"/>
                <w:color w:val="auto"/>
              </w:rPr>
              <w:t>​</w:t>
            </w:r>
          </w:p>
        </w:tc>
        <w:tc>
          <w:tcPr>
            <w:tcW w:w="140" w:type="dxa"/>
            <w:vAlign w:val="bottom"/>
          </w:tcPr>
          <w:p>
            <w:pPr>
              <w:ind w:left="40"/>
              <w:spacing w:after="0" w:line="223" w:lineRule="exact"/>
              <w:rPr>
                <w:sz w:val="20"/>
                <w:szCs w:val="20"/>
                <w:color w:val="auto"/>
              </w:rPr>
            </w:pPr>
            <w:r>
              <w:rPr>
                <w:rFonts w:ascii="Arial" w:cs="Arial" w:eastAsia="Arial" w:hAnsi="Arial"/>
                <w:sz w:val="14"/>
                <w:szCs w:val="14"/>
                <w:color w:val="auto"/>
                <w:w w:val="85"/>
              </w:rPr>
              <w:t>​</w:t>
            </w:r>
            <w:r>
              <w:rPr>
                <w:rFonts w:ascii="Arial" w:cs="Arial" w:eastAsia="Arial" w:hAnsi="Arial"/>
                <w:sz w:val="25"/>
                <w:szCs w:val="25"/>
                <w:color w:val="auto"/>
                <w:w w:val="85"/>
                <w:vertAlign w:val="superscript"/>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1,534,506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ind w:left="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1120" w:type="dxa"/>
            <w:vAlign w:val="bottom"/>
            <w:gridSpan w:val="2"/>
          </w:tcPr>
          <w:p>
            <w:pPr>
              <w:jc w:val="right"/>
              <w:spacing w:after="0" w:line="223" w:lineRule="exact"/>
              <w:rPr>
                <w:sz w:val="20"/>
                <w:szCs w:val="20"/>
                <w:color w:val="auto"/>
              </w:rPr>
            </w:pPr>
            <w:r>
              <w:rPr>
                <w:rFonts w:ascii="Arial" w:cs="Arial" w:eastAsia="Arial" w:hAnsi="Arial"/>
                <w:sz w:val="14"/>
                <w:szCs w:val="14"/>
                <w:color w:val="auto"/>
              </w:rPr>
              <w:t xml:space="preserve">(6,504,331) </w:t>
            </w:r>
            <w:r>
              <w:rPr>
                <w:rFonts w:ascii="Arial" w:cs="Arial" w:eastAsia="Arial" w:hAnsi="Arial"/>
                <w:sz w:val="25"/>
                <w:szCs w:val="25"/>
                <w:color w:val="auto"/>
                <w:vertAlign w:val="subscript"/>
              </w:rPr>
              <w:t>​​</w:t>
            </w:r>
          </w:p>
        </w:tc>
        <w:tc>
          <w:tcPr>
            <w:tcW w:w="220" w:type="dxa"/>
            <w:vAlign w:val="bottom"/>
          </w:tcPr>
          <w:p>
            <w:pPr>
              <w:ind w:left="6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1,759,789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ind w:left="6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352,253</w:t>
            </w:r>
          </w:p>
        </w:tc>
        <w:tc>
          <w:tcPr>
            <w:tcW w:w="24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right="3"/>
              <w:spacing w:after="0"/>
              <w:rPr>
                <w:sz w:val="20"/>
                <w:szCs w:val="20"/>
                <w:color w:val="auto"/>
              </w:rPr>
            </w:pPr>
            <w:r>
              <w:rPr>
                <w:rFonts w:ascii="Arial" w:cs="Arial" w:eastAsia="Arial" w:hAnsi="Arial"/>
                <w:sz w:val="15"/>
                <w:szCs w:val="15"/>
                <w:color w:val="auto"/>
                <w:w w:val="99"/>
              </w:rPr>
              <w:t>$ 42.53</w:t>
            </w:r>
          </w:p>
        </w:tc>
        <w:tc>
          <w:tcPr>
            <w:tcW w:w="140" w:type="dxa"/>
            <w:vAlign w:val="bottom"/>
          </w:tcPr>
          <w:p>
            <w:pPr>
              <w:jc w:val="center"/>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9"/>
                <w:szCs w:val="19"/>
                <w:color w:val="auto"/>
              </w:rPr>
            </w:pPr>
          </w:p>
        </w:tc>
        <w:tc>
          <w:tcPr>
            <w:tcW w:w="260" w:type="dxa"/>
            <w:vAlign w:val="bottom"/>
          </w:tcPr>
          <w:p>
            <w:pPr>
              <w:ind w:left="1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680" w:type="dxa"/>
            <w:vAlign w:val="bottom"/>
          </w:tcPr>
          <w:p>
            <w:pPr>
              <w:jc w:val="right"/>
              <w:ind w:right="83"/>
              <w:spacing w:after="0"/>
              <w:rPr>
                <w:sz w:val="20"/>
                <w:szCs w:val="20"/>
                <w:color w:val="auto"/>
              </w:rPr>
            </w:pPr>
            <w:r>
              <w:rPr>
                <w:rFonts w:ascii="Arial" w:cs="Arial" w:eastAsia="Arial" w:hAnsi="Arial"/>
                <w:sz w:val="15"/>
                <w:szCs w:val="15"/>
                <w:color w:val="auto"/>
              </w:rPr>
              <w:t>78.34</w:t>
            </w:r>
          </w:p>
        </w:tc>
        <w:tc>
          <w:tcPr>
            <w:tcW w:w="340" w:type="dxa"/>
            <w:vAlign w:val="bottom"/>
            <w:gridSpan w:val="2"/>
          </w:tcPr>
          <w:p>
            <w:pPr>
              <w:ind w:left="20"/>
              <w:spacing w:after="0" w:line="223" w:lineRule="exact"/>
              <w:rPr>
                <w:sz w:val="20"/>
                <w:szCs w:val="20"/>
                <w:color w:val="auto"/>
              </w:rPr>
            </w:pPr>
            <w:r>
              <w:rPr>
                <w:rFonts w:ascii="Arial" w:cs="Arial" w:eastAsia="Arial" w:hAnsi="Arial"/>
                <w:sz w:val="14"/>
                <w:szCs w:val="14"/>
                <w:color w:val="auto"/>
              </w:rPr>
              <w:t>​​ ​</w:t>
            </w:r>
            <w:r>
              <w:rPr>
                <w:rFonts w:ascii="Arial" w:cs="Arial" w:eastAsia="Arial" w:hAnsi="Arial"/>
                <w:sz w:val="25"/>
                <w:szCs w:val="25"/>
                <w:color w:val="auto"/>
                <w:vertAlign w:val="superscript"/>
              </w:rPr>
              <w:t>$</w:t>
            </w:r>
          </w:p>
        </w:tc>
        <w:tc>
          <w:tcPr>
            <w:tcW w:w="780" w:type="dxa"/>
            <w:vAlign w:val="bottom"/>
          </w:tcPr>
          <w:p>
            <w:pPr>
              <w:jc w:val="right"/>
              <w:spacing w:after="0" w:line="223" w:lineRule="exact"/>
              <w:rPr>
                <w:sz w:val="20"/>
                <w:szCs w:val="20"/>
                <w:color w:val="auto"/>
              </w:rPr>
            </w:pPr>
            <w:r>
              <w:rPr>
                <w:rFonts w:ascii="Arial" w:cs="Arial" w:eastAsia="Arial" w:hAnsi="Arial"/>
                <w:sz w:val="14"/>
                <w:szCs w:val="14"/>
                <w:color w:val="auto"/>
              </w:rPr>
              <w:t>(98,083)</w:t>
            </w:r>
            <w:r>
              <w:rPr>
                <w:rFonts w:ascii="Arial" w:cs="Arial" w:eastAsia="Arial" w:hAnsi="Arial"/>
                <w:sz w:val="25"/>
                <w:szCs w:val="25"/>
                <w:color w:val="auto"/>
                <w:vertAlign w:val="subscript"/>
              </w:rPr>
              <w:t>​​</w:t>
            </w:r>
          </w:p>
        </w:tc>
        <w:tc>
          <w:tcPr>
            <w:tcW w:w="780" w:type="dxa"/>
            <w:vAlign w:val="bottom"/>
          </w:tcPr>
          <w:p>
            <w:pPr>
              <w:jc w:val="cente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$ 820</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20" w:type="dxa"/>
            <w:vAlign w:val="bottom"/>
            <w:shd w:val="clear" w:color="auto" w:fill="E7417A"/>
          </w:tcPr>
          <w:p>
            <w:pPr>
              <w:spacing w:after="0" w:line="20" w:lineRule="exact"/>
              <w:rPr>
                <w:sz w:val="1"/>
                <w:szCs w:val="1"/>
                <w:color w:val="auto"/>
              </w:rPr>
            </w:pPr>
          </w:p>
        </w:tc>
        <w:tc>
          <w:tcPr>
            <w:tcW w:w="10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94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160" w:type="dxa"/>
            <w:vAlign w:val="bottom"/>
            <w:shd w:val="clear" w:color="auto" w:fill="E7417A"/>
          </w:tcPr>
          <w:p>
            <w:pPr>
              <w:spacing w:after="0" w:line="20" w:lineRule="exact"/>
              <w:rPr>
                <w:sz w:val="1"/>
                <w:szCs w:val="1"/>
                <w:color w:val="auto"/>
              </w:rPr>
            </w:pPr>
          </w:p>
        </w:tc>
        <w:tc>
          <w:tcPr>
            <w:tcW w:w="92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220" w:type="dxa"/>
            <w:vAlign w:val="bottom"/>
            <w:shd w:val="clear" w:color="auto" w:fill="E7417A"/>
          </w:tcPr>
          <w:p>
            <w:pPr>
              <w:spacing w:after="0" w:line="20" w:lineRule="exact"/>
              <w:rPr>
                <w:sz w:val="1"/>
                <w:szCs w:val="1"/>
                <w:color w:val="auto"/>
              </w:rPr>
            </w:pPr>
          </w:p>
        </w:tc>
        <w:tc>
          <w:tcPr>
            <w:tcW w:w="860" w:type="dxa"/>
            <w:vAlign w:val="bottom"/>
            <w:shd w:val="clear" w:color="auto" w:fill="E7417A"/>
          </w:tcPr>
          <w:p>
            <w:pPr>
              <w:spacing w:after="0" w:line="20" w:lineRule="exact"/>
              <w:rPr>
                <w:sz w:val="1"/>
                <w:szCs w:val="1"/>
                <w:color w:val="auto"/>
              </w:rPr>
            </w:pPr>
          </w:p>
        </w:tc>
        <w:tc>
          <w:tcPr>
            <w:tcW w:w="180" w:type="dxa"/>
            <w:vAlign w:val="bottom"/>
            <w:shd w:val="clear" w:color="auto" w:fill="E7417A"/>
          </w:tcPr>
          <w:p>
            <w:pPr>
              <w:spacing w:after="0" w:line="20" w:lineRule="exact"/>
              <w:rPr>
                <w:sz w:val="1"/>
                <w:szCs w:val="1"/>
                <w:color w:val="auto"/>
              </w:rPr>
            </w:pPr>
          </w:p>
        </w:tc>
        <w:tc>
          <w:tcPr>
            <w:tcW w:w="200" w:type="dxa"/>
            <w:vAlign w:val="bottom"/>
            <w:shd w:val="clear" w:color="auto" w:fill="E7417A"/>
          </w:tcPr>
          <w:p>
            <w:pPr>
              <w:spacing w:after="0" w:line="20" w:lineRule="exact"/>
              <w:rPr>
                <w:sz w:val="1"/>
                <w:szCs w:val="1"/>
                <w:color w:val="auto"/>
              </w:rPr>
            </w:pPr>
          </w:p>
        </w:tc>
        <w:tc>
          <w:tcPr>
            <w:tcW w:w="820" w:type="dxa"/>
            <w:vAlign w:val="bottom"/>
            <w:shd w:val="clear" w:color="auto" w:fill="E7417A"/>
          </w:tcPr>
          <w:p>
            <w:pPr>
              <w:spacing w:after="0" w:line="20" w:lineRule="exact"/>
              <w:rPr>
                <w:sz w:val="1"/>
                <w:szCs w:val="1"/>
                <w:color w:val="auto"/>
              </w:rPr>
            </w:pPr>
          </w:p>
        </w:tc>
        <w:tc>
          <w:tcPr>
            <w:tcW w:w="240" w:type="dxa"/>
            <w:vAlign w:val="bottom"/>
            <w:gridSpan w:val="2"/>
            <w:shd w:val="clear" w:color="auto" w:fill="E7417A"/>
          </w:tcPr>
          <w:p>
            <w:pPr>
              <w:spacing w:after="0" w:line="20" w:lineRule="exact"/>
              <w:rPr>
                <w:sz w:val="1"/>
                <w:szCs w:val="1"/>
                <w:color w:val="auto"/>
              </w:rPr>
            </w:pPr>
          </w:p>
        </w:tc>
        <w:tc>
          <w:tcPr>
            <w:tcW w:w="90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40" w:type="dxa"/>
            <w:vAlign w:val="bottom"/>
            <w:shd w:val="clear" w:color="auto" w:fill="E7417A"/>
          </w:tcPr>
          <w:p>
            <w:pPr>
              <w:spacing w:after="0" w:line="20" w:lineRule="exact"/>
              <w:rPr>
                <w:sz w:val="1"/>
                <w:szCs w:val="1"/>
                <w:color w:val="auto"/>
              </w:rPr>
            </w:pPr>
          </w:p>
        </w:tc>
        <w:tc>
          <w:tcPr>
            <w:tcW w:w="940" w:type="dxa"/>
            <w:vAlign w:val="bottom"/>
            <w:gridSpan w:val="2"/>
            <w:shd w:val="clear" w:color="auto" w:fill="E7417A"/>
          </w:tcPr>
          <w:p>
            <w:pPr>
              <w:spacing w:after="0" w:line="20" w:lineRule="exact"/>
              <w:rPr>
                <w:sz w:val="1"/>
                <w:szCs w:val="1"/>
                <w:color w:val="auto"/>
              </w:rPr>
            </w:pPr>
          </w:p>
        </w:tc>
        <w:tc>
          <w:tcPr>
            <w:tcW w:w="1120" w:type="dxa"/>
            <w:vAlign w:val="bottom"/>
            <w:gridSpan w:val="3"/>
            <w:shd w:val="clear" w:color="auto" w:fill="E7417A"/>
          </w:tcPr>
          <w:p>
            <w:pPr>
              <w:spacing w:after="0" w:line="20" w:lineRule="exact"/>
              <w:rPr>
                <w:sz w:val="1"/>
                <w:szCs w:val="1"/>
                <w:color w:val="auto"/>
              </w:rPr>
            </w:pPr>
          </w:p>
        </w:tc>
        <w:tc>
          <w:tcPr>
            <w:tcW w:w="780" w:type="dxa"/>
            <w:vAlign w:val="bottom"/>
            <w:shd w:val="clear" w:color="auto" w:fill="E7417A"/>
          </w:tcPr>
          <w:p>
            <w:pPr>
              <w:spacing w:after="0" w:line="20" w:lineRule="exact"/>
              <w:rPr>
                <w:sz w:val="1"/>
                <w:szCs w:val="1"/>
                <w:color w:val="auto"/>
              </w:rPr>
            </w:pPr>
          </w:p>
        </w:tc>
        <w:tc>
          <w:tcPr>
            <w:tcW w:w="140" w:type="dxa"/>
            <w:vAlign w:val="bottom"/>
            <w:shd w:val="clear" w:color="auto" w:fill="E7417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Arial" w:cs="Arial" w:eastAsia="Arial" w:hAnsi="Arial"/>
                <w:sz w:val="15"/>
                <w:szCs w:val="15"/>
                <w:color w:val="auto"/>
              </w:rPr>
              <w:t>​2021</w:t>
            </w:r>
          </w:p>
        </w:tc>
        <w:tc>
          <w:tcPr>
            <w:tcW w:w="100" w:type="dxa"/>
            <w:vAlign w:val="bottom"/>
          </w:tcPr>
          <w:p>
            <w:pPr>
              <w:spacing w:after="0"/>
              <w:rPr>
                <w:sz w:val="20"/>
                <w:szCs w:val="20"/>
                <w:color w:val="auto"/>
              </w:rPr>
            </w:pPr>
            <w:r>
              <w:rPr>
                <w:rFonts w:ascii="Arial" w:cs="Arial" w:eastAsia="Arial" w:hAnsi="Arial"/>
                <w:sz w:val="15"/>
                <w:szCs w:val="15"/>
                <w:color w:val="auto"/>
              </w:rPr>
              <w:t>​</w:t>
            </w:r>
          </w:p>
        </w:tc>
        <w:tc>
          <w:tcPr>
            <w:tcW w:w="140" w:type="dxa"/>
            <w:vAlign w:val="bottom"/>
          </w:tcPr>
          <w:p>
            <w:pPr>
              <w:ind w:left="40"/>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781,423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ind w:left="4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2,879,477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ind w:left="6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63"/>
              <w:spacing w:after="0"/>
              <w:rPr>
                <w:sz w:val="20"/>
                <w:szCs w:val="20"/>
                <w:color w:val="auto"/>
              </w:rPr>
            </w:pPr>
            <w:r>
              <w:rPr>
                <w:rFonts w:ascii="Arial" w:cs="Arial" w:eastAsia="Arial" w:hAnsi="Arial"/>
                <w:sz w:val="15"/>
                <w:szCs w:val="15"/>
                <w:color w:val="auto"/>
              </w:rPr>
              <w:t>1,667,845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ind w:left="6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3"/>
              <w:spacing w:after="0"/>
              <w:rPr>
                <w:sz w:val="20"/>
                <w:szCs w:val="20"/>
                <w:color w:val="auto"/>
              </w:rPr>
            </w:pPr>
            <w:r>
              <w:rPr>
                <w:rFonts w:ascii="Arial" w:cs="Arial" w:eastAsia="Arial" w:hAnsi="Arial"/>
                <w:sz w:val="15"/>
                <w:szCs w:val="15"/>
                <w:color w:val="auto"/>
              </w:rPr>
              <w:t>1,461,408</w:t>
            </w:r>
          </w:p>
        </w:tc>
        <w:tc>
          <w:tcPr>
            <w:tcW w:w="240" w:type="dxa"/>
            <w:vAlign w:val="bottom"/>
            <w:gridSpan w:val="2"/>
          </w:tcPr>
          <w:p>
            <w:pPr>
              <w:jc w:val="right"/>
              <w:ind w:right="3"/>
              <w:spacing w:after="0"/>
              <w:rPr>
                <w:sz w:val="20"/>
                <w:szCs w:val="20"/>
                <w:color w:val="auto"/>
              </w:rPr>
            </w:pPr>
            <w:r>
              <w:rPr>
                <w:rFonts w:ascii="Arial" w:cs="Arial" w:eastAsia="Arial" w:hAnsi="Arial"/>
                <w:sz w:val="15"/>
                <w:szCs w:val="15"/>
                <w:color w:val="auto"/>
              </w:rPr>
              <w:t>​​</w:t>
            </w:r>
          </w:p>
        </w:tc>
        <w:tc>
          <w:tcPr>
            <w:tcW w:w="900" w:type="dxa"/>
            <w:vAlign w:val="bottom"/>
          </w:tcPr>
          <w:p>
            <w:pPr>
              <w:jc w:val="center"/>
              <w:ind w:right="3"/>
              <w:spacing w:after="0"/>
              <w:rPr>
                <w:sz w:val="20"/>
                <w:szCs w:val="20"/>
                <w:color w:val="auto"/>
              </w:rPr>
            </w:pPr>
            <w:r>
              <w:rPr>
                <w:rFonts w:ascii="Arial" w:cs="Arial" w:eastAsia="Arial" w:hAnsi="Arial"/>
                <w:sz w:val="15"/>
                <w:szCs w:val="15"/>
                <w:color w:val="auto"/>
                <w:w w:val="99"/>
              </w:rPr>
              <w:t>$ 92.23</w:t>
            </w:r>
          </w:p>
        </w:tc>
        <w:tc>
          <w:tcPr>
            <w:tcW w:w="140" w:type="dxa"/>
            <w:vAlign w:val="bottom"/>
          </w:tcPr>
          <w:p>
            <w:pPr>
              <w:jc w:val="center"/>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8"/>
                <w:szCs w:val="18"/>
                <w:color w:val="auto"/>
              </w:rPr>
            </w:pPr>
          </w:p>
        </w:tc>
        <w:tc>
          <w:tcPr>
            <w:tcW w:w="940" w:type="dxa"/>
            <w:vAlign w:val="bottom"/>
            <w:gridSpan w:val="2"/>
          </w:tcPr>
          <w:p>
            <w:pPr>
              <w:jc w:val="right"/>
              <w:ind w:right="83"/>
              <w:spacing w:after="0"/>
              <w:rPr>
                <w:sz w:val="20"/>
                <w:szCs w:val="20"/>
                <w:color w:val="auto"/>
              </w:rPr>
            </w:pPr>
            <w:r>
              <w:rPr>
                <w:rFonts w:ascii="Arial" w:cs="Arial" w:eastAsia="Arial" w:hAnsi="Arial"/>
                <w:sz w:val="15"/>
                <w:szCs w:val="15"/>
                <w:color w:val="auto"/>
              </w:rPr>
              <w:t>​$ 104.78</w:t>
            </w:r>
          </w:p>
        </w:tc>
        <w:tc>
          <w:tcPr>
            <w:tcW w:w="1120" w:type="dxa"/>
            <w:vAlign w:val="bottom"/>
            <w:gridSpan w:val="3"/>
          </w:tcPr>
          <w:p>
            <w:pPr>
              <w:jc w:val="right"/>
              <w:spacing w:after="0"/>
              <w:rPr>
                <w:sz w:val="20"/>
                <w:szCs w:val="20"/>
                <w:color w:val="auto"/>
              </w:rPr>
            </w:pPr>
            <w:r>
              <w:rPr>
                <w:rFonts w:ascii="Arial" w:cs="Arial" w:eastAsia="Arial" w:hAnsi="Arial"/>
                <w:sz w:val="15"/>
                <w:szCs w:val="15"/>
                <w:color w:val="auto"/>
              </w:rPr>
              <w:t>​​ ​$ (177,185)​​</w:t>
            </w:r>
          </w:p>
        </w:tc>
        <w:tc>
          <w:tcPr>
            <w:tcW w:w="780" w:type="dxa"/>
            <w:vAlign w:val="bottom"/>
          </w:tcPr>
          <w:p>
            <w:pPr>
              <w:jc w:val="center"/>
              <w:spacing w:after="0"/>
              <w:rPr>
                <w:sz w:val="20"/>
                <w:szCs w:val="20"/>
                <w:color w:val="auto"/>
              </w:rPr>
            </w:pPr>
            <w:r>
              <w:rPr>
                <w:rFonts w:ascii="Arial" w:cs="Arial" w:eastAsia="Arial" w:hAnsi="Arial"/>
                <w:sz w:val="15"/>
                <w:szCs w:val="15"/>
                <w:color w:val="auto"/>
              </w:rPr>
              <w:t>​$ 845</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520" w:type="dxa"/>
            <w:vAlign w:val="bottom"/>
            <w:shd w:val="clear" w:color="auto" w:fill="62259D"/>
          </w:tcPr>
          <w:p>
            <w:pPr>
              <w:spacing w:after="0" w:line="20" w:lineRule="exact"/>
              <w:rPr>
                <w:sz w:val="1"/>
                <w:szCs w:val="1"/>
                <w:color w:val="auto"/>
              </w:rPr>
            </w:pPr>
          </w:p>
        </w:tc>
        <w:tc>
          <w:tcPr>
            <w:tcW w:w="100" w:type="dxa"/>
            <w:vAlign w:val="bottom"/>
            <w:shd w:val="clear" w:color="auto" w:fill="62259D"/>
          </w:tcPr>
          <w:p>
            <w:pPr>
              <w:spacing w:after="0" w:line="20" w:lineRule="exact"/>
              <w:rPr>
                <w:sz w:val="1"/>
                <w:szCs w:val="1"/>
                <w:color w:val="auto"/>
              </w:rPr>
            </w:pPr>
          </w:p>
        </w:tc>
        <w:tc>
          <w:tcPr>
            <w:tcW w:w="140" w:type="dxa"/>
            <w:vAlign w:val="bottom"/>
            <w:shd w:val="clear" w:color="auto" w:fill="62259D"/>
          </w:tcPr>
          <w:p>
            <w:pPr>
              <w:spacing w:after="0" w:line="20" w:lineRule="exact"/>
              <w:rPr>
                <w:sz w:val="1"/>
                <w:szCs w:val="1"/>
                <w:color w:val="auto"/>
              </w:rPr>
            </w:pPr>
          </w:p>
        </w:tc>
        <w:tc>
          <w:tcPr>
            <w:tcW w:w="940" w:type="dxa"/>
            <w:vAlign w:val="bottom"/>
            <w:shd w:val="clear" w:color="auto" w:fill="62259D"/>
          </w:tcPr>
          <w:p>
            <w:pPr>
              <w:spacing w:after="0" w:line="20" w:lineRule="exact"/>
              <w:rPr>
                <w:sz w:val="1"/>
                <w:szCs w:val="1"/>
                <w:color w:val="auto"/>
              </w:rPr>
            </w:pPr>
          </w:p>
        </w:tc>
        <w:tc>
          <w:tcPr>
            <w:tcW w:w="180" w:type="dxa"/>
            <w:vAlign w:val="bottom"/>
            <w:shd w:val="clear" w:color="auto" w:fill="62259D"/>
          </w:tcPr>
          <w:p>
            <w:pPr>
              <w:spacing w:after="0" w:line="20" w:lineRule="exact"/>
              <w:rPr>
                <w:sz w:val="1"/>
                <w:szCs w:val="1"/>
                <w:color w:val="auto"/>
              </w:rPr>
            </w:pPr>
          </w:p>
        </w:tc>
        <w:tc>
          <w:tcPr>
            <w:tcW w:w="160" w:type="dxa"/>
            <w:vAlign w:val="bottom"/>
            <w:shd w:val="clear" w:color="auto" w:fill="62259D"/>
          </w:tcPr>
          <w:p>
            <w:pPr>
              <w:spacing w:after="0" w:line="20" w:lineRule="exact"/>
              <w:rPr>
                <w:sz w:val="1"/>
                <w:szCs w:val="1"/>
                <w:color w:val="auto"/>
              </w:rPr>
            </w:pPr>
          </w:p>
        </w:tc>
        <w:tc>
          <w:tcPr>
            <w:tcW w:w="920" w:type="dxa"/>
            <w:vAlign w:val="bottom"/>
            <w:shd w:val="clear" w:color="auto" w:fill="62259D"/>
          </w:tcPr>
          <w:p>
            <w:pPr>
              <w:spacing w:after="0" w:line="20" w:lineRule="exact"/>
              <w:rPr>
                <w:sz w:val="1"/>
                <w:szCs w:val="1"/>
                <w:color w:val="auto"/>
              </w:rPr>
            </w:pPr>
          </w:p>
        </w:tc>
        <w:tc>
          <w:tcPr>
            <w:tcW w:w="200" w:type="dxa"/>
            <w:vAlign w:val="bottom"/>
            <w:shd w:val="clear" w:color="auto" w:fill="62259D"/>
          </w:tcPr>
          <w:p>
            <w:pPr>
              <w:spacing w:after="0" w:line="20" w:lineRule="exact"/>
              <w:rPr>
                <w:sz w:val="1"/>
                <w:szCs w:val="1"/>
                <w:color w:val="auto"/>
              </w:rPr>
            </w:pPr>
          </w:p>
        </w:tc>
        <w:tc>
          <w:tcPr>
            <w:tcW w:w="220" w:type="dxa"/>
            <w:vAlign w:val="bottom"/>
            <w:shd w:val="clear" w:color="auto" w:fill="62259D"/>
          </w:tcPr>
          <w:p>
            <w:pPr>
              <w:spacing w:after="0" w:line="20" w:lineRule="exact"/>
              <w:rPr>
                <w:sz w:val="1"/>
                <w:szCs w:val="1"/>
                <w:color w:val="auto"/>
              </w:rPr>
            </w:pPr>
          </w:p>
        </w:tc>
        <w:tc>
          <w:tcPr>
            <w:tcW w:w="860" w:type="dxa"/>
            <w:vAlign w:val="bottom"/>
            <w:shd w:val="clear" w:color="auto" w:fill="62259D"/>
          </w:tcPr>
          <w:p>
            <w:pPr>
              <w:spacing w:after="0" w:line="20" w:lineRule="exact"/>
              <w:rPr>
                <w:sz w:val="1"/>
                <w:szCs w:val="1"/>
                <w:color w:val="auto"/>
              </w:rPr>
            </w:pPr>
          </w:p>
        </w:tc>
        <w:tc>
          <w:tcPr>
            <w:tcW w:w="180" w:type="dxa"/>
            <w:vAlign w:val="bottom"/>
            <w:shd w:val="clear" w:color="auto" w:fill="62259D"/>
          </w:tcPr>
          <w:p>
            <w:pPr>
              <w:spacing w:after="0" w:line="20" w:lineRule="exact"/>
              <w:rPr>
                <w:sz w:val="1"/>
                <w:szCs w:val="1"/>
                <w:color w:val="auto"/>
              </w:rPr>
            </w:pPr>
          </w:p>
        </w:tc>
        <w:tc>
          <w:tcPr>
            <w:tcW w:w="200" w:type="dxa"/>
            <w:vAlign w:val="bottom"/>
            <w:shd w:val="clear" w:color="auto" w:fill="62259D"/>
          </w:tcPr>
          <w:p>
            <w:pPr>
              <w:spacing w:after="0" w:line="20" w:lineRule="exact"/>
              <w:rPr>
                <w:sz w:val="1"/>
                <w:szCs w:val="1"/>
                <w:color w:val="auto"/>
              </w:rPr>
            </w:pPr>
          </w:p>
        </w:tc>
        <w:tc>
          <w:tcPr>
            <w:tcW w:w="820" w:type="dxa"/>
            <w:vAlign w:val="bottom"/>
            <w:shd w:val="clear" w:color="auto" w:fill="62259D"/>
          </w:tcPr>
          <w:p>
            <w:pPr>
              <w:spacing w:after="0" w:line="20" w:lineRule="exact"/>
              <w:rPr>
                <w:sz w:val="1"/>
                <w:szCs w:val="1"/>
                <w:color w:val="auto"/>
              </w:rPr>
            </w:pPr>
          </w:p>
        </w:tc>
        <w:tc>
          <w:tcPr>
            <w:tcW w:w="130" w:type="dxa"/>
            <w:vAlign w:val="bottom"/>
            <w:shd w:val="clear" w:color="auto" w:fill="62259D"/>
          </w:tcPr>
          <w:p>
            <w:pPr>
              <w:spacing w:after="0" w:line="20" w:lineRule="exact"/>
              <w:rPr>
                <w:sz w:val="1"/>
                <w:szCs w:val="1"/>
                <w:color w:val="auto"/>
              </w:rPr>
            </w:pPr>
          </w:p>
        </w:tc>
        <w:tc>
          <w:tcPr>
            <w:tcW w:w="110" w:type="dxa"/>
            <w:vAlign w:val="bottom"/>
            <w:shd w:val="clear" w:color="auto" w:fill="62259D"/>
          </w:tcPr>
          <w:p>
            <w:pPr>
              <w:spacing w:after="0" w:line="20" w:lineRule="exact"/>
              <w:rPr>
                <w:sz w:val="1"/>
                <w:szCs w:val="1"/>
                <w:color w:val="auto"/>
              </w:rPr>
            </w:pPr>
          </w:p>
        </w:tc>
        <w:tc>
          <w:tcPr>
            <w:tcW w:w="900" w:type="dxa"/>
            <w:vAlign w:val="bottom"/>
            <w:shd w:val="clear" w:color="auto" w:fill="62259D"/>
          </w:tcPr>
          <w:p>
            <w:pPr>
              <w:spacing w:after="0" w:line="20" w:lineRule="exact"/>
              <w:rPr>
                <w:sz w:val="1"/>
                <w:szCs w:val="1"/>
                <w:color w:val="auto"/>
              </w:rPr>
            </w:pPr>
          </w:p>
        </w:tc>
        <w:tc>
          <w:tcPr>
            <w:tcW w:w="140" w:type="dxa"/>
            <w:vAlign w:val="bottom"/>
            <w:shd w:val="clear" w:color="auto" w:fill="62259D"/>
          </w:tcPr>
          <w:p>
            <w:pPr>
              <w:spacing w:after="0" w:line="20" w:lineRule="exact"/>
              <w:rPr>
                <w:sz w:val="1"/>
                <w:szCs w:val="1"/>
                <w:color w:val="auto"/>
              </w:rPr>
            </w:pPr>
          </w:p>
        </w:tc>
        <w:tc>
          <w:tcPr>
            <w:tcW w:w="40" w:type="dxa"/>
            <w:vAlign w:val="bottom"/>
            <w:shd w:val="clear" w:color="auto" w:fill="62259D"/>
          </w:tcPr>
          <w:p>
            <w:pPr>
              <w:spacing w:after="0" w:line="20" w:lineRule="exact"/>
              <w:rPr>
                <w:sz w:val="1"/>
                <w:szCs w:val="1"/>
                <w:color w:val="auto"/>
              </w:rPr>
            </w:pPr>
          </w:p>
        </w:tc>
        <w:tc>
          <w:tcPr>
            <w:tcW w:w="260" w:type="dxa"/>
            <w:vAlign w:val="bottom"/>
            <w:shd w:val="clear" w:color="auto" w:fill="62259D"/>
          </w:tcPr>
          <w:p>
            <w:pPr>
              <w:spacing w:after="0" w:line="20" w:lineRule="exact"/>
              <w:rPr>
                <w:sz w:val="1"/>
                <w:szCs w:val="1"/>
                <w:color w:val="auto"/>
              </w:rPr>
            </w:pPr>
          </w:p>
        </w:tc>
        <w:tc>
          <w:tcPr>
            <w:tcW w:w="680" w:type="dxa"/>
            <w:vAlign w:val="bottom"/>
            <w:shd w:val="clear" w:color="auto" w:fill="62259D"/>
          </w:tcPr>
          <w:p>
            <w:pPr>
              <w:spacing w:after="0" w:line="20" w:lineRule="exact"/>
              <w:rPr>
                <w:sz w:val="1"/>
                <w:szCs w:val="1"/>
                <w:color w:val="auto"/>
              </w:rPr>
            </w:pPr>
          </w:p>
        </w:tc>
        <w:tc>
          <w:tcPr>
            <w:tcW w:w="80" w:type="dxa"/>
            <w:vAlign w:val="bottom"/>
            <w:shd w:val="clear" w:color="auto" w:fill="62259D"/>
          </w:tcPr>
          <w:p>
            <w:pPr>
              <w:spacing w:after="0" w:line="20" w:lineRule="exact"/>
              <w:rPr>
                <w:sz w:val="1"/>
                <w:szCs w:val="1"/>
                <w:color w:val="auto"/>
              </w:rPr>
            </w:pPr>
          </w:p>
        </w:tc>
        <w:tc>
          <w:tcPr>
            <w:tcW w:w="260" w:type="dxa"/>
            <w:vAlign w:val="bottom"/>
            <w:shd w:val="clear" w:color="auto" w:fill="62259D"/>
          </w:tcPr>
          <w:p>
            <w:pPr>
              <w:spacing w:after="0" w:line="20" w:lineRule="exact"/>
              <w:rPr>
                <w:sz w:val="1"/>
                <w:szCs w:val="1"/>
                <w:color w:val="auto"/>
              </w:rPr>
            </w:pPr>
          </w:p>
        </w:tc>
        <w:tc>
          <w:tcPr>
            <w:tcW w:w="780" w:type="dxa"/>
            <w:vAlign w:val="bottom"/>
            <w:shd w:val="clear" w:color="auto" w:fill="62259D"/>
          </w:tcPr>
          <w:p>
            <w:pPr>
              <w:spacing w:after="0" w:line="20" w:lineRule="exact"/>
              <w:rPr>
                <w:sz w:val="1"/>
                <w:szCs w:val="1"/>
                <w:color w:val="auto"/>
              </w:rPr>
            </w:pPr>
          </w:p>
        </w:tc>
        <w:tc>
          <w:tcPr>
            <w:tcW w:w="780" w:type="dxa"/>
            <w:vAlign w:val="bottom"/>
            <w:shd w:val="clear" w:color="auto" w:fill="62259D"/>
          </w:tcPr>
          <w:p>
            <w:pPr>
              <w:spacing w:after="0" w:line="20" w:lineRule="exact"/>
              <w:rPr>
                <w:sz w:val="1"/>
                <w:szCs w:val="1"/>
                <w:color w:val="auto"/>
              </w:rPr>
            </w:pPr>
          </w:p>
        </w:tc>
        <w:tc>
          <w:tcPr>
            <w:tcW w:w="140" w:type="dxa"/>
            <w:vAlign w:val="bottom"/>
            <w:shd w:val="clear" w:color="auto" w:fill="62259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-1285240</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87" w:lineRule="exact"/>
        <w:rPr>
          <w:sz w:val="20"/>
          <w:szCs w:val="20"/>
          <w:color w:val="auto"/>
        </w:rPr>
      </w:pPr>
    </w:p>
    <w:p>
      <w:pPr>
        <w:ind w:left="1400" w:right="720" w:hanging="368"/>
        <w:spacing w:after="0" w:line="261" w:lineRule="auto"/>
        <w:tabs>
          <w:tab w:leader="none" w:pos="140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Principal Executive Officer(s) (“PEO”) and other named executive officers (“Other NEOs”) for each applicable year are: 2025 — PEO #1: Bruce McClelland. Other NEOs: John Townsend; Sam Bucci; Patrick Macken; Steve McCaffery and Dan Redington.</w:t>
      </w:r>
    </w:p>
    <w:p>
      <w:pPr>
        <w:spacing w:after="0" w:line="1" w:lineRule="exact"/>
        <w:rPr>
          <w:rFonts w:ascii="Arial" w:cs="Arial" w:eastAsia="Arial" w:hAnsi="Arial"/>
          <w:sz w:val="14"/>
          <w:szCs w:val="14"/>
          <w:color w:val="auto"/>
        </w:rPr>
      </w:pPr>
    </w:p>
    <w:p>
      <w:pPr>
        <w:ind w:left="1400" w:right="780"/>
        <w:spacing w:after="0" w:line="251" w:lineRule="auto"/>
        <w:rPr>
          <w:rFonts w:ascii="Arial" w:cs="Arial" w:eastAsia="Arial" w:hAnsi="Arial"/>
          <w:sz w:val="14"/>
          <w:szCs w:val="14"/>
          <w:color w:val="auto"/>
        </w:rPr>
      </w:pPr>
      <w:r>
        <w:rPr>
          <w:rFonts w:ascii="Arial" w:cs="Arial" w:eastAsia="Arial" w:hAnsi="Arial"/>
          <w:sz w:val="14"/>
          <w:szCs w:val="14"/>
          <w:color w:val="auto"/>
        </w:rPr>
        <w:t>2024 — PEO #1: Bruce McClelland. Other NEOs: John Townsend; Sam Bucci; Patrick Macken; Dan Redington and Miguel Lopez.</w:t>
      </w:r>
    </w:p>
    <w:p>
      <w:pPr>
        <w:spacing w:after="0" w:line="169" w:lineRule="exact"/>
        <w:rPr>
          <w:rFonts w:ascii="Arial" w:cs="Arial" w:eastAsia="Arial" w:hAnsi="Arial"/>
          <w:sz w:val="14"/>
          <w:szCs w:val="14"/>
          <w:color w:val="auto"/>
        </w:rPr>
      </w:pPr>
    </w:p>
    <w:p>
      <w:pPr>
        <w:ind w:left="1400"/>
        <w:spacing w:after="0"/>
        <w:rPr>
          <w:rFonts w:ascii="Arial" w:cs="Arial" w:eastAsia="Arial" w:hAnsi="Arial"/>
          <w:sz w:val="14"/>
          <w:szCs w:val="14"/>
          <w:color w:val="auto"/>
        </w:rPr>
      </w:pPr>
      <w:r>
        <w:rPr>
          <w:rFonts w:ascii="Arial" w:cs="Arial" w:eastAsia="Arial" w:hAnsi="Arial"/>
          <w:sz w:val="14"/>
          <w:szCs w:val="14"/>
          <w:color w:val="auto"/>
        </w:rPr>
        <w:t>2023 —  PEO #1: Bruce McClelland. Other NEOs: Mick Lopez; Sam Bucci; Patrick Macken and Dan Redington.</w:t>
      </w:r>
    </w:p>
    <w:p>
      <w:pPr>
        <w:spacing w:after="0" w:line="14" w:lineRule="exact"/>
        <w:rPr>
          <w:rFonts w:ascii="Arial" w:cs="Arial" w:eastAsia="Arial" w:hAnsi="Arial"/>
          <w:sz w:val="14"/>
          <w:szCs w:val="14"/>
          <w:color w:val="auto"/>
        </w:rPr>
      </w:pPr>
    </w:p>
    <w:p>
      <w:pPr>
        <w:ind w:left="1400"/>
        <w:spacing w:after="0"/>
        <w:rPr>
          <w:rFonts w:ascii="Arial" w:cs="Arial" w:eastAsia="Arial" w:hAnsi="Arial"/>
          <w:sz w:val="14"/>
          <w:szCs w:val="14"/>
          <w:color w:val="auto"/>
        </w:rPr>
      </w:pPr>
      <w:r>
        <w:rPr>
          <w:rFonts w:ascii="Arial" w:cs="Arial" w:eastAsia="Arial" w:hAnsi="Arial"/>
          <w:sz w:val="14"/>
          <w:szCs w:val="14"/>
          <w:color w:val="auto"/>
        </w:rPr>
        <w:t>2022 — PEO #1: Bruce McClelland. Other NEOs: Mick Lopez; Sam Bucci; Patrick Macken and Tony Scarfo.</w:t>
      </w:r>
    </w:p>
    <w:p>
      <w:pPr>
        <w:spacing w:after="0" w:line="14" w:lineRule="exact"/>
        <w:rPr>
          <w:rFonts w:ascii="Arial" w:cs="Arial" w:eastAsia="Arial" w:hAnsi="Arial"/>
          <w:sz w:val="14"/>
          <w:szCs w:val="14"/>
          <w:color w:val="auto"/>
        </w:rPr>
      </w:pPr>
    </w:p>
    <w:p>
      <w:pPr>
        <w:ind w:left="1400"/>
        <w:spacing w:after="0"/>
        <w:rPr>
          <w:rFonts w:ascii="Arial" w:cs="Arial" w:eastAsia="Arial" w:hAnsi="Arial"/>
          <w:sz w:val="14"/>
          <w:szCs w:val="14"/>
          <w:color w:val="auto"/>
        </w:rPr>
      </w:pPr>
      <w:r>
        <w:rPr>
          <w:rFonts w:ascii="Arial" w:cs="Arial" w:eastAsia="Arial" w:hAnsi="Arial"/>
          <w:sz w:val="14"/>
          <w:szCs w:val="14"/>
          <w:color w:val="auto"/>
        </w:rPr>
        <w:t>2021 — PEO #1: Bruce McClelland. Other NEOs: Mick Lopez; Sam Bucci; Patrick Macken and Steve McCaffery.</w:t>
      </w:r>
    </w:p>
    <w:p>
      <w:pPr>
        <w:spacing w:after="0" w:line="68" w:lineRule="exact"/>
        <w:rPr>
          <w:rFonts w:ascii="Arial" w:cs="Arial" w:eastAsia="Arial" w:hAnsi="Arial"/>
          <w:sz w:val="14"/>
          <w:szCs w:val="14"/>
          <w:color w:val="auto"/>
        </w:rPr>
      </w:pPr>
    </w:p>
    <w:p>
      <w:pPr>
        <w:ind w:left="1400" w:right="520" w:hanging="368"/>
        <w:spacing w:after="0" w:line="285" w:lineRule="auto"/>
        <w:tabs>
          <w:tab w:leader="none" w:pos="140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The following tables detail the applicable adjustments made, per SEC rules, to the amounts reflected in the total column of the “Summary Compensation Table” to determine “Compensation Actually Paid” for each PEO noted.</w:t>
      </w:r>
    </w:p>
    <w:p>
      <w:pPr>
        <w:spacing w:after="0" w:line="126" w:lineRule="exact"/>
        <w:rPr>
          <w:sz w:val="20"/>
          <w:szCs w:val="20"/>
          <w:color w:val="auto"/>
        </w:rPr>
      </w:pPr>
    </w:p>
    <w:tbl>
      <w:tblPr>
        <w:tblLayout w:type="fixed"/>
        <w:tblInd w:w="1400" w:type="dxa"/>
        <w:tblCellMar>
          <w:top w:w="0" w:type="dxa"/>
          <w:left w:w="0" w:type="dxa"/>
          <w:bottom w:w="0" w:type="dxa"/>
          <w:right w:w="0" w:type="dxa"/>
        </w:tblCellMar>
      </w:tblPr>
      <w:tr>
        <w:trPr>
          <w:trHeight w:val="283"/>
        </w:trPr>
        <w:tc>
          <w:tcPr>
            <w:tcW w:w="40" w:type="dxa"/>
            <w:vAlign w:val="bottom"/>
            <w:shd w:val="clear" w:color="auto" w:fill="62259D"/>
          </w:tcPr>
          <w:p>
            <w:pPr>
              <w:spacing w:after="0"/>
              <w:rPr>
                <w:sz w:val="24"/>
                <w:szCs w:val="24"/>
                <w:color w:val="auto"/>
              </w:rPr>
            </w:pPr>
          </w:p>
        </w:tc>
        <w:tc>
          <w:tcPr>
            <w:tcW w:w="3660" w:type="dxa"/>
            <w:vAlign w:val="bottom"/>
            <w:shd w:val="clear" w:color="auto" w:fill="62259D"/>
          </w:tcPr>
          <w:p>
            <w:pPr>
              <w:spacing w:after="0"/>
              <w:rPr>
                <w:sz w:val="20"/>
                <w:szCs w:val="20"/>
                <w:color w:val="auto"/>
              </w:rPr>
            </w:pPr>
            <w:r>
              <w:rPr>
                <w:rFonts w:ascii="Arial" w:cs="Arial" w:eastAsia="Arial" w:hAnsi="Arial"/>
                <w:sz w:val="14"/>
                <w:szCs w:val="14"/>
                <w:b w:val="1"/>
                <w:bCs w:val="1"/>
                <w:color w:val="FEFEFE"/>
              </w:rPr>
              <w:t>​​</w:t>
            </w:r>
          </w:p>
        </w:tc>
        <w:tc>
          <w:tcPr>
            <w:tcW w:w="300" w:type="dxa"/>
            <w:vAlign w:val="bottom"/>
            <w:shd w:val="clear" w:color="auto" w:fill="62259D"/>
          </w:tcPr>
          <w:p>
            <w:pPr>
              <w:jc w:val="center"/>
              <w:ind w:right="82"/>
              <w:spacing w:after="0"/>
              <w:rPr>
                <w:sz w:val="20"/>
                <w:szCs w:val="20"/>
                <w:color w:val="auto"/>
              </w:rPr>
            </w:pPr>
            <w:r>
              <w:rPr>
                <w:rFonts w:ascii="Arial" w:cs="Arial" w:eastAsia="Arial" w:hAnsi="Arial"/>
                <w:sz w:val="14"/>
                <w:szCs w:val="14"/>
                <w:b w:val="1"/>
                <w:bCs w:val="1"/>
                <w:color w:val="FEFEFE"/>
              </w:rPr>
              <w:t>​​</w:t>
            </w:r>
          </w:p>
        </w:tc>
        <w:tc>
          <w:tcPr>
            <w:tcW w:w="660" w:type="dxa"/>
            <w:vAlign w:val="bottom"/>
            <w:shd w:val="clear" w:color="auto" w:fill="62259D"/>
          </w:tcPr>
          <w:p>
            <w:pPr>
              <w:jc w:val="right"/>
              <w:ind w:right="192"/>
              <w:spacing w:after="0"/>
              <w:rPr>
                <w:sz w:val="20"/>
                <w:szCs w:val="20"/>
                <w:color w:val="auto"/>
              </w:rPr>
            </w:pPr>
            <w:r>
              <w:rPr>
                <w:rFonts w:ascii="Arial" w:cs="Arial" w:eastAsia="Arial" w:hAnsi="Arial"/>
                <w:sz w:val="14"/>
                <w:szCs w:val="14"/>
                <w:b w:val="1"/>
                <w:bCs w:val="1"/>
                <w:color w:val="FEFEFE"/>
              </w:rPr>
              <w:t>2025</w:t>
            </w:r>
          </w:p>
        </w:tc>
        <w:tc>
          <w:tcPr>
            <w:tcW w:w="220" w:type="dxa"/>
            <w:vAlign w:val="bottom"/>
            <w:shd w:val="clear" w:color="auto" w:fill="62259D"/>
          </w:tcPr>
          <w:p>
            <w:pPr>
              <w:jc w:val="center"/>
              <w:ind w:right="9"/>
              <w:spacing w:after="0"/>
              <w:rPr>
                <w:sz w:val="20"/>
                <w:szCs w:val="20"/>
                <w:color w:val="auto"/>
              </w:rPr>
            </w:pPr>
            <w:r>
              <w:rPr>
                <w:rFonts w:ascii="Arial" w:cs="Arial" w:eastAsia="Arial" w:hAnsi="Arial"/>
                <w:sz w:val="14"/>
                <w:szCs w:val="14"/>
                <w:b w:val="1"/>
                <w:bCs w:val="1"/>
                <w:color w:val="FEFEFE"/>
              </w:rPr>
              <w:t>​​</w:t>
            </w:r>
          </w:p>
        </w:tc>
        <w:tc>
          <w:tcPr>
            <w:tcW w:w="60" w:type="dxa"/>
            <w:vAlign w:val="bottom"/>
            <w:shd w:val="clear" w:color="auto" w:fill="62259D"/>
          </w:tcPr>
          <w:p>
            <w:pPr>
              <w:spacing w:after="0"/>
              <w:rPr>
                <w:sz w:val="24"/>
                <w:szCs w:val="24"/>
                <w:color w:val="auto"/>
              </w:rPr>
            </w:pPr>
          </w:p>
        </w:tc>
        <w:tc>
          <w:tcPr>
            <w:tcW w:w="580" w:type="dxa"/>
            <w:vAlign w:val="bottom"/>
            <w:shd w:val="clear" w:color="auto" w:fill="62259D"/>
          </w:tcPr>
          <w:p>
            <w:pPr>
              <w:jc w:val="right"/>
              <w:ind w:right="132"/>
              <w:spacing w:after="0"/>
              <w:rPr>
                <w:sz w:val="20"/>
                <w:szCs w:val="20"/>
                <w:color w:val="auto"/>
              </w:rPr>
            </w:pPr>
            <w:r>
              <w:rPr>
                <w:rFonts w:ascii="Arial" w:cs="Arial" w:eastAsia="Arial" w:hAnsi="Arial"/>
                <w:sz w:val="14"/>
                <w:szCs w:val="14"/>
                <w:b w:val="1"/>
                <w:bCs w:val="1"/>
                <w:color w:val="FEFEFE"/>
              </w:rPr>
              <w:t>2024</w:t>
            </w:r>
          </w:p>
        </w:tc>
        <w:tc>
          <w:tcPr>
            <w:tcW w:w="200" w:type="dxa"/>
            <w:vAlign w:val="bottom"/>
            <w:shd w:val="clear" w:color="auto" w:fill="62259D"/>
          </w:tcPr>
          <w:p>
            <w:pPr>
              <w:jc w:val="center"/>
              <w:spacing w:after="0"/>
              <w:rPr>
                <w:sz w:val="20"/>
                <w:szCs w:val="20"/>
                <w:color w:val="auto"/>
              </w:rPr>
            </w:pPr>
            <w:r>
              <w:rPr>
                <w:rFonts w:ascii="Arial" w:cs="Arial" w:eastAsia="Arial" w:hAnsi="Arial"/>
                <w:sz w:val="14"/>
                <w:szCs w:val="14"/>
                <w:b w:val="1"/>
                <w:bCs w:val="1"/>
                <w:color w:val="FEFEFE"/>
              </w:rPr>
              <w:t>​​</w:t>
            </w:r>
          </w:p>
        </w:tc>
        <w:tc>
          <w:tcPr>
            <w:tcW w:w="500" w:type="dxa"/>
            <w:vAlign w:val="bottom"/>
            <w:shd w:val="clear" w:color="auto" w:fill="62259D"/>
          </w:tcPr>
          <w:p>
            <w:pPr>
              <w:ind w:left="120"/>
              <w:spacing w:after="0"/>
              <w:rPr>
                <w:sz w:val="20"/>
                <w:szCs w:val="20"/>
                <w:color w:val="auto"/>
              </w:rPr>
            </w:pPr>
            <w:r>
              <w:rPr>
                <w:rFonts w:ascii="Arial" w:cs="Arial" w:eastAsia="Arial" w:hAnsi="Arial"/>
                <w:sz w:val="14"/>
                <w:szCs w:val="14"/>
                <w:b w:val="1"/>
                <w:bCs w:val="1"/>
                <w:color w:val="FEFEFE"/>
              </w:rPr>
              <w:t>2023</w:t>
            </w:r>
          </w:p>
        </w:tc>
        <w:tc>
          <w:tcPr>
            <w:tcW w:w="180" w:type="dxa"/>
            <w:vAlign w:val="bottom"/>
            <w:shd w:val="clear" w:color="auto" w:fill="62259D"/>
          </w:tcPr>
          <w:p>
            <w:pPr>
              <w:spacing w:after="0"/>
              <w:rPr>
                <w:sz w:val="24"/>
                <w:szCs w:val="24"/>
                <w:color w:val="auto"/>
              </w:rPr>
            </w:pPr>
          </w:p>
        </w:tc>
        <w:tc>
          <w:tcPr>
            <w:tcW w:w="180" w:type="dxa"/>
            <w:vAlign w:val="bottom"/>
            <w:shd w:val="clear" w:color="auto" w:fill="62259D"/>
          </w:tcPr>
          <w:p>
            <w:pPr>
              <w:jc w:val="center"/>
              <w:spacing w:after="0"/>
              <w:rPr>
                <w:sz w:val="20"/>
                <w:szCs w:val="20"/>
                <w:color w:val="auto"/>
              </w:rPr>
            </w:pPr>
            <w:r>
              <w:rPr>
                <w:rFonts w:ascii="Arial" w:cs="Arial" w:eastAsia="Arial" w:hAnsi="Arial"/>
                <w:sz w:val="14"/>
                <w:szCs w:val="14"/>
                <w:b w:val="1"/>
                <w:bCs w:val="1"/>
                <w:color w:val="FEFEFE"/>
              </w:rPr>
              <w:t>​​</w:t>
            </w:r>
          </w:p>
        </w:tc>
        <w:tc>
          <w:tcPr>
            <w:tcW w:w="80" w:type="dxa"/>
            <w:vAlign w:val="bottom"/>
            <w:shd w:val="clear" w:color="auto" w:fill="62259D"/>
          </w:tcPr>
          <w:p>
            <w:pPr>
              <w:spacing w:after="0"/>
              <w:rPr>
                <w:sz w:val="24"/>
                <w:szCs w:val="24"/>
                <w:color w:val="auto"/>
              </w:rPr>
            </w:pPr>
          </w:p>
        </w:tc>
        <w:tc>
          <w:tcPr>
            <w:tcW w:w="660" w:type="dxa"/>
            <w:vAlign w:val="bottom"/>
            <w:shd w:val="clear" w:color="auto" w:fill="62259D"/>
          </w:tcPr>
          <w:p>
            <w:pPr>
              <w:jc w:val="right"/>
              <w:ind w:right="175"/>
              <w:spacing w:after="0"/>
              <w:rPr>
                <w:sz w:val="20"/>
                <w:szCs w:val="20"/>
                <w:color w:val="auto"/>
              </w:rPr>
            </w:pPr>
            <w:r>
              <w:rPr>
                <w:rFonts w:ascii="Arial" w:cs="Arial" w:eastAsia="Arial" w:hAnsi="Arial"/>
                <w:sz w:val="14"/>
                <w:szCs w:val="14"/>
                <w:b w:val="1"/>
                <w:bCs w:val="1"/>
                <w:color w:val="FEFEFE"/>
              </w:rPr>
              <w:t>2022</w:t>
            </w:r>
          </w:p>
        </w:tc>
        <w:tc>
          <w:tcPr>
            <w:tcW w:w="280" w:type="dxa"/>
            <w:vAlign w:val="bottom"/>
            <w:shd w:val="clear" w:color="auto" w:fill="62259D"/>
          </w:tcPr>
          <w:p>
            <w:pPr>
              <w:jc w:val="center"/>
              <w:ind w:right="89"/>
              <w:spacing w:after="0"/>
              <w:rPr>
                <w:sz w:val="20"/>
                <w:szCs w:val="20"/>
                <w:color w:val="auto"/>
              </w:rPr>
            </w:pPr>
            <w:r>
              <w:rPr>
                <w:rFonts w:ascii="Arial" w:cs="Arial" w:eastAsia="Arial" w:hAnsi="Arial"/>
                <w:sz w:val="14"/>
                <w:szCs w:val="14"/>
                <w:b w:val="1"/>
                <w:bCs w:val="1"/>
                <w:color w:val="FEFEFE"/>
              </w:rPr>
              <w:t>​​</w:t>
            </w:r>
          </w:p>
        </w:tc>
        <w:tc>
          <w:tcPr>
            <w:tcW w:w="660" w:type="dxa"/>
            <w:vAlign w:val="bottom"/>
            <w:shd w:val="clear" w:color="auto" w:fill="62259D"/>
          </w:tcPr>
          <w:p>
            <w:pPr>
              <w:jc w:val="right"/>
              <w:ind w:right="174"/>
              <w:spacing w:after="0"/>
              <w:rPr>
                <w:sz w:val="20"/>
                <w:szCs w:val="20"/>
                <w:color w:val="auto"/>
              </w:rPr>
            </w:pPr>
            <w:r>
              <w:rPr>
                <w:rFonts w:ascii="Arial" w:cs="Arial" w:eastAsia="Arial" w:hAnsi="Arial"/>
                <w:sz w:val="14"/>
                <w:szCs w:val="14"/>
                <w:b w:val="1"/>
                <w:bCs w:val="1"/>
                <w:color w:val="FEFEFE"/>
              </w:rPr>
              <w:t>2021</w:t>
            </w:r>
          </w:p>
        </w:tc>
        <w:tc>
          <w:tcPr>
            <w:tcW w:w="60" w:type="dxa"/>
            <w:vAlign w:val="bottom"/>
            <w:shd w:val="clear" w:color="auto" w:fill="62259D"/>
          </w:tcPr>
          <w:p>
            <w:pPr>
              <w:spacing w:after="0"/>
              <w:rPr>
                <w:sz w:val="24"/>
                <w:szCs w:val="24"/>
                <w:color w:val="auto"/>
              </w:rPr>
            </w:pPr>
          </w:p>
        </w:tc>
        <w:tc>
          <w:tcPr>
            <w:tcW w:w="60" w:type="dxa"/>
            <w:vAlign w:val="bottom"/>
            <w:shd w:val="clear" w:color="auto" w:fill="62259D"/>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303"/>
        </w:trPr>
        <w:tc>
          <w:tcPr>
            <w:tcW w:w="4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w:t>
            </w:r>
          </w:p>
        </w:tc>
        <w:tc>
          <w:tcPr>
            <w:tcW w:w="300" w:type="dxa"/>
            <w:vAlign w:val="bottom"/>
          </w:tcPr>
          <w:p>
            <w:pPr>
              <w:jc w:val="center"/>
              <w:ind w:right="8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92"/>
              <w:spacing w:after="0"/>
              <w:rPr>
                <w:sz w:val="20"/>
                <w:szCs w:val="20"/>
                <w:color w:val="auto"/>
              </w:rPr>
            </w:pPr>
            <w:r>
              <w:rPr>
                <w:rFonts w:ascii="Arial" w:cs="Arial" w:eastAsia="Arial" w:hAnsi="Arial"/>
                <w:sz w:val="14"/>
                <w:szCs w:val="14"/>
                <w:color w:val="auto"/>
              </w:rPr>
              <w:t>PEO</w:t>
            </w:r>
          </w:p>
        </w:tc>
        <w:tc>
          <w:tcPr>
            <w:tcW w:w="220" w:type="dxa"/>
            <w:vAlign w:val="bottom"/>
          </w:tcPr>
          <w:p>
            <w:pPr>
              <w:jc w:val="center"/>
              <w:ind w:right="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color w:val="auto"/>
              </w:rPr>
              <w:t>PEO</w:t>
            </w:r>
          </w:p>
        </w:tc>
        <w:tc>
          <w:tcPr>
            <w:tcW w:w="200" w:type="dxa"/>
            <w:vAlign w:val="bottom"/>
          </w:tcPr>
          <w:p>
            <w:pPr>
              <w:jc w:val="center"/>
              <w:spacing w:after="0"/>
              <w:rPr>
                <w:sz w:val="20"/>
                <w:szCs w:val="20"/>
                <w:color w:val="auto"/>
              </w:rPr>
            </w:pPr>
            <w:r>
              <w:rPr>
                <w:rFonts w:ascii="Arial" w:cs="Arial" w:eastAsia="Arial" w:hAnsi="Arial"/>
                <w:sz w:val="14"/>
                <w:szCs w:val="14"/>
                <w:color w:val="auto"/>
              </w:rPr>
              <w:t>​​</w:t>
            </w:r>
          </w:p>
        </w:tc>
        <w:tc>
          <w:tcPr>
            <w:tcW w:w="500" w:type="dxa"/>
            <w:vAlign w:val="bottom"/>
          </w:tcPr>
          <w:p>
            <w:pPr>
              <w:ind w:left="140"/>
              <w:spacing w:after="0"/>
              <w:rPr>
                <w:sz w:val="20"/>
                <w:szCs w:val="20"/>
                <w:color w:val="auto"/>
              </w:rPr>
            </w:pPr>
            <w:r>
              <w:rPr>
                <w:rFonts w:ascii="Arial" w:cs="Arial" w:eastAsia="Arial" w:hAnsi="Arial"/>
                <w:sz w:val="14"/>
                <w:szCs w:val="14"/>
                <w:color w:val="auto"/>
              </w:rPr>
              <w:t>PEO</w:t>
            </w:r>
          </w:p>
        </w:tc>
        <w:tc>
          <w:tcPr>
            <w:tcW w:w="180" w:type="dxa"/>
            <w:vAlign w:val="bottom"/>
          </w:tcPr>
          <w:p>
            <w:pPr>
              <w:spacing w:after="0"/>
              <w:rPr>
                <w:sz w:val="24"/>
                <w:szCs w:val="24"/>
                <w:color w:val="auto"/>
              </w:rPr>
            </w:pPr>
          </w:p>
        </w:tc>
        <w:tc>
          <w:tcPr>
            <w:tcW w:w="180" w:type="dxa"/>
            <w:vAlign w:val="bottom"/>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color w:val="auto"/>
              </w:rPr>
              <w:t>PEO</w:t>
            </w:r>
          </w:p>
        </w:tc>
        <w:tc>
          <w:tcPr>
            <w:tcW w:w="280" w:type="dxa"/>
            <w:vAlign w:val="bottom"/>
          </w:tcPr>
          <w:p>
            <w:pPr>
              <w:jc w:val="center"/>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94"/>
              <w:spacing w:after="0"/>
              <w:rPr>
                <w:sz w:val="20"/>
                <w:szCs w:val="20"/>
                <w:color w:val="auto"/>
              </w:rPr>
            </w:pPr>
            <w:r>
              <w:rPr>
                <w:rFonts w:ascii="Arial" w:cs="Arial" w:eastAsia="Arial" w:hAnsi="Arial"/>
                <w:sz w:val="14"/>
                <w:szCs w:val="14"/>
                <w:color w:val="auto"/>
              </w:rPr>
              <w:t>PEO</w:t>
            </w:r>
          </w:p>
        </w:tc>
        <w:tc>
          <w:tcPr>
            <w:tcW w:w="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auto"/>
              </w:rPr>
              <w:t>Summary Compensation</w:t>
            </w: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tcBorders>
              <w:bottom w:val="single" w:sz="8" w:color="E7417A"/>
            </w:tcBorders>
            <w:gridSpan w:val="2"/>
          </w:tcPr>
          <w:p>
            <w:pPr>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Table — Total Compensation</w:t>
            </w:r>
          </w:p>
        </w:tc>
        <w:tc>
          <w:tcPr>
            <w:tcW w:w="1180" w:type="dxa"/>
            <w:vAlign w:val="bottom"/>
            <w:tcBorders>
              <w:bottom w:val="single" w:sz="8" w:color="E7417A"/>
            </w:tcBorders>
            <w:gridSpan w:val="3"/>
          </w:tcPr>
          <w:p>
            <w:pPr>
              <w:jc w:val="right"/>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$ 17,457,675</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840" w:type="dxa"/>
            <w:vAlign w:val="bottom"/>
            <w:tcBorders>
              <w:bottom w:val="single" w:sz="8" w:color="E7417A"/>
            </w:tcBorders>
            <w:gridSpan w:val="3"/>
          </w:tcPr>
          <w:p>
            <w:pPr>
              <w:jc w:val="right"/>
              <w:spacing w:after="0" w:line="199" w:lineRule="exact"/>
              <w:rPr>
                <w:sz w:val="20"/>
                <w:szCs w:val="20"/>
                <w:color w:val="auto"/>
              </w:rPr>
            </w:pPr>
            <w:r>
              <w:rPr>
                <w:rFonts w:ascii="Arial" w:cs="Arial" w:eastAsia="Arial" w:hAnsi="Arial"/>
                <w:sz w:val="12"/>
                <w:szCs w:val="12"/>
                <w:color w:val="auto"/>
              </w:rPr>
              <w:t>4,453,002</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940" w:type="dxa"/>
            <w:vAlign w:val="bottom"/>
            <w:tcBorders>
              <w:bottom w:val="single" w:sz="8" w:color="E7417A"/>
            </w:tcBorders>
            <w:gridSpan w:val="4"/>
          </w:tcPr>
          <w:p>
            <w:pPr>
              <w:ind w:left="40"/>
              <w:spacing w:after="0" w:line="199" w:lineRule="exact"/>
              <w:rPr>
                <w:sz w:val="20"/>
                <w:szCs w:val="20"/>
                <w:color w:val="auto"/>
              </w:rPr>
            </w:pPr>
            <w:r>
              <w:rPr>
                <w:rFonts w:ascii="Arial" w:cs="Arial" w:eastAsia="Arial" w:hAnsi="Arial"/>
                <w:sz w:val="12"/>
                <w:szCs w:val="12"/>
                <w:color w:val="auto"/>
              </w:rPr>
              <w:t>2,698,394</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940" w:type="dxa"/>
            <w:vAlign w:val="bottom"/>
            <w:tcBorders>
              <w:bottom w:val="single" w:sz="8" w:color="E7417A"/>
            </w:tcBorders>
            <w:gridSpan w:val="2"/>
          </w:tcPr>
          <w:p>
            <w:pPr>
              <w:jc w:val="right"/>
              <w:ind w:right="29"/>
              <w:spacing w:after="0" w:line="199" w:lineRule="exact"/>
              <w:rPr>
                <w:sz w:val="20"/>
                <w:szCs w:val="20"/>
                <w:color w:val="auto"/>
              </w:rPr>
            </w:pPr>
            <w:r>
              <w:rPr>
                <w:rFonts w:ascii="Arial" w:cs="Arial" w:eastAsia="Arial" w:hAnsi="Arial"/>
                <w:sz w:val="12"/>
                <w:szCs w:val="12"/>
                <w:color w:val="auto"/>
              </w:rPr>
              <w:t>1,534,506</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72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12"/>
                <w:szCs w:val="12"/>
                <w:color w:val="auto"/>
              </w:rPr>
              <w:t>781,423</w:t>
            </w:r>
            <w:r>
              <w:rPr>
                <w:rFonts w:ascii="Arial" w:cs="Arial" w:eastAsia="Arial" w:hAnsi="Arial"/>
                <w:sz w:val="22"/>
                <w:szCs w:val="22"/>
                <w:color w:val="auto"/>
                <w:vertAlign w:val="subscript"/>
              </w:rPr>
              <w:t>​</w:t>
            </w:r>
          </w:p>
        </w:tc>
        <w:tc>
          <w:tcPr>
            <w:tcW w:w="60" w:type="dxa"/>
            <w:vAlign w:val="bottom"/>
            <w:tcBorders>
              <w:bottom w:val="single" w:sz="8" w:color="E7417A"/>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auto"/>
              </w:rPr>
              <w:t>Deduct Grant Date Fair Value of Stock Awards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00" w:type="dxa"/>
            <w:vAlign w:val="bottom"/>
            <w:tcBorders>
              <w:bottom w:val="single" w:sz="8" w:color="E7417A"/>
            </w:tcBorders>
            <w:gridSpan w:val="2"/>
          </w:tcPr>
          <w:p>
            <w:pPr>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Granted in Fiscal Year</w:t>
            </w:r>
          </w:p>
        </w:tc>
        <w:tc>
          <w:tcPr>
            <w:tcW w:w="1180" w:type="dxa"/>
            <w:vAlign w:val="bottom"/>
            <w:tcBorders>
              <w:bottom w:val="single" w:sz="8" w:color="E7417A"/>
            </w:tcBorders>
            <w:gridSpan w:val="3"/>
          </w:tcPr>
          <w:p>
            <w:pPr>
              <w:jc w:val="right"/>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$ 16,370,820</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840" w:type="dxa"/>
            <w:vAlign w:val="bottom"/>
            <w:tcBorders>
              <w:bottom w:val="single" w:sz="8" w:color="E7417A"/>
            </w:tcBorders>
            <w:gridSpan w:val="3"/>
          </w:tcPr>
          <w:p>
            <w:pPr>
              <w:jc w:val="right"/>
              <w:spacing w:after="0" w:line="199" w:lineRule="exact"/>
              <w:rPr>
                <w:sz w:val="20"/>
                <w:szCs w:val="20"/>
                <w:color w:val="auto"/>
              </w:rPr>
            </w:pPr>
            <w:r>
              <w:rPr>
                <w:rFonts w:ascii="Arial" w:cs="Arial" w:eastAsia="Arial" w:hAnsi="Arial"/>
                <w:sz w:val="12"/>
                <w:szCs w:val="12"/>
                <w:color w:val="auto"/>
              </w:rPr>
              <w:t>3,141,452</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940" w:type="dxa"/>
            <w:vAlign w:val="bottom"/>
            <w:tcBorders>
              <w:bottom w:val="single" w:sz="8" w:color="E7417A"/>
            </w:tcBorders>
            <w:gridSpan w:val="4"/>
          </w:tcPr>
          <w:p>
            <w:pPr>
              <w:ind w:left="40"/>
              <w:spacing w:after="0" w:line="199" w:lineRule="exact"/>
              <w:rPr>
                <w:sz w:val="20"/>
                <w:szCs w:val="20"/>
                <w:color w:val="auto"/>
              </w:rPr>
            </w:pPr>
            <w:r>
              <w:rPr>
                <w:rFonts w:ascii="Arial" w:cs="Arial" w:eastAsia="Arial" w:hAnsi="Arial"/>
                <w:sz w:val="12"/>
                <w:szCs w:val="12"/>
                <w:color w:val="auto"/>
              </w:rPr>
              <w:t>1,915,427</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94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12"/>
                <w:szCs w:val="12"/>
                <w:color w:val="auto"/>
              </w:rPr>
              <w:t>749,998</w:t>
            </w:r>
            <w:r>
              <w:rPr>
                <w:rFonts w:ascii="Arial" w:cs="Arial" w:eastAsia="Arial" w:hAnsi="Arial"/>
                <w:sz w:val="22"/>
                <w:szCs w:val="22"/>
                <w:color w:val="auto"/>
                <w:vertAlign w:val="subscript"/>
              </w:rPr>
              <w:t>​​​</w:t>
            </w:r>
            <w:r>
              <w:rPr>
                <w:rFonts w:ascii="Arial" w:cs="Arial" w:eastAsia="Arial" w:hAnsi="Arial"/>
                <w:sz w:val="12"/>
                <w:szCs w:val="12"/>
                <w:color w:val="auto"/>
              </w:rPr>
              <w:t xml:space="preserve"> ​</w:t>
            </w:r>
          </w:p>
        </w:tc>
        <w:tc>
          <w:tcPr>
            <w:tcW w:w="72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60" w:type="dxa"/>
            <w:vAlign w:val="bottom"/>
            <w:tcBorders>
              <w:bottom w:val="single" w:sz="8" w:color="E7417A"/>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auto"/>
              </w:rPr>
              <w:t>Add Fair Value at Fiscal Year End of Outstanding</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700" w:type="dxa"/>
            <w:vAlign w:val="bottom"/>
            <w:tcBorders>
              <w:bottom w:val="single" w:sz="8" w:color="E7417A"/>
            </w:tcBorders>
            <w:gridSpan w:val="2"/>
          </w:tcPr>
          <w:p>
            <w:pPr>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and Unvested Stock Awards Granted in Fiscal Year</w:t>
            </w:r>
          </w:p>
        </w:tc>
        <w:tc>
          <w:tcPr>
            <w:tcW w:w="1180" w:type="dxa"/>
            <w:vAlign w:val="bottom"/>
            <w:tcBorders>
              <w:bottom w:val="single" w:sz="8" w:color="E7417A"/>
            </w:tcBorders>
            <w:gridSpan w:val="3"/>
          </w:tcPr>
          <w:p>
            <w:pPr>
              <w:jc w:val="right"/>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$ 12,868,460</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840" w:type="dxa"/>
            <w:vAlign w:val="bottom"/>
            <w:tcBorders>
              <w:bottom w:val="single" w:sz="8" w:color="E7417A"/>
            </w:tcBorders>
            <w:gridSpan w:val="3"/>
          </w:tcPr>
          <w:p>
            <w:pPr>
              <w:jc w:val="right"/>
              <w:spacing w:after="0" w:line="199" w:lineRule="exact"/>
              <w:rPr>
                <w:sz w:val="20"/>
                <w:szCs w:val="20"/>
                <w:color w:val="auto"/>
              </w:rPr>
            </w:pPr>
            <w:r>
              <w:rPr>
                <w:rFonts w:ascii="Arial" w:cs="Arial" w:eastAsia="Arial" w:hAnsi="Arial"/>
                <w:sz w:val="12"/>
                <w:szCs w:val="12"/>
                <w:color w:val="auto"/>
              </w:rPr>
              <w:t>3,796,248</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940" w:type="dxa"/>
            <w:vAlign w:val="bottom"/>
            <w:tcBorders>
              <w:bottom w:val="single" w:sz="8" w:color="E7417A"/>
            </w:tcBorders>
            <w:gridSpan w:val="4"/>
          </w:tcPr>
          <w:p>
            <w:pPr>
              <w:ind w:left="40"/>
              <w:spacing w:after="0" w:line="199" w:lineRule="exact"/>
              <w:rPr>
                <w:sz w:val="20"/>
                <w:szCs w:val="20"/>
                <w:color w:val="auto"/>
              </w:rPr>
            </w:pPr>
            <w:r>
              <w:rPr>
                <w:rFonts w:ascii="Arial" w:cs="Arial" w:eastAsia="Arial" w:hAnsi="Arial"/>
                <w:sz w:val="12"/>
                <w:szCs w:val="12"/>
                <w:color w:val="auto"/>
              </w:rPr>
              <w:t>2,036,865</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94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12"/>
                <w:szCs w:val="12"/>
                <w:color w:val="auto"/>
              </w:rPr>
              <w:t>672,828</w:t>
            </w:r>
            <w:r>
              <w:rPr>
                <w:rFonts w:ascii="Arial" w:cs="Arial" w:eastAsia="Arial" w:hAnsi="Arial"/>
                <w:sz w:val="22"/>
                <w:szCs w:val="22"/>
                <w:color w:val="auto"/>
                <w:vertAlign w:val="subscript"/>
              </w:rPr>
              <w:t>​​​</w:t>
            </w:r>
            <w:r>
              <w:rPr>
                <w:rFonts w:ascii="Arial" w:cs="Arial" w:eastAsia="Arial" w:hAnsi="Arial"/>
                <w:sz w:val="12"/>
                <w:szCs w:val="12"/>
                <w:color w:val="auto"/>
              </w:rPr>
              <w:t xml:space="preserve"> ​</w:t>
            </w:r>
          </w:p>
        </w:tc>
        <w:tc>
          <w:tcPr>
            <w:tcW w:w="72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60" w:type="dxa"/>
            <w:vAlign w:val="bottom"/>
            <w:tcBorders>
              <w:bottom w:val="single" w:sz="8" w:color="E7417A"/>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auto"/>
              </w:rPr>
              <w:t>Add Change in Fair Value of Outstanding and</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3660" w:type="dxa"/>
            <w:vAlign w:val="bottom"/>
          </w:tcPr>
          <w:p>
            <w:pPr>
              <w:ind w:left="60"/>
              <w:spacing w:after="0" w:line="145" w:lineRule="exact"/>
              <w:rPr>
                <w:sz w:val="20"/>
                <w:szCs w:val="20"/>
                <w:color w:val="auto"/>
              </w:rPr>
            </w:pPr>
            <w:r>
              <w:rPr>
                <w:rFonts w:ascii="Arial" w:cs="Arial" w:eastAsia="Arial" w:hAnsi="Arial"/>
                <w:sz w:val="14"/>
                <w:szCs w:val="14"/>
                <w:color w:val="auto"/>
              </w:rPr>
              <w:t>Unvested Stock Awards Granted in Prior Fiscal Years</w:t>
            </w:r>
          </w:p>
        </w:tc>
        <w:tc>
          <w:tcPr>
            <w:tcW w:w="300" w:type="dxa"/>
            <w:vAlign w:val="bottom"/>
          </w:tcPr>
          <w:p>
            <w:pPr>
              <w:jc w:val="right"/>
              <w:ind w:right="42"/>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(507,211) $</w:t>
            </w:r>
          </w:p>
        </w:tc>
        <w:tc>
          <w:tcPr>
            <w:tcW w:w="60" w:type="dxa"/>
            <w:vAlign w:val="bottom"/>
          </w:tcPr>
          <w:p>
            <w:pPr>
              <w:spacing w:after="0"/>
              <w:rPr>
                <w:sz w:val="12"/>
                <w:szCs w:val="12"/>
                <w:color w:val="auto"/>
              </w:rPr>
            </w:pPr>
          </w:p>
        </w:tc>
        <w:tc>
          <w:tcPr>
            <w:tcW w:w="580" w:type="dxa"/>
            <w:vAlign w:val="bottom"/>
          </w:tcPr>
          <w:p>
            <w:pPr>
              <w:jc w:val="right"/>
              <w:spacing w:after="0" w:line="145" w:lineRule="exact"/>
              <w:rPr>
                <w:sz w:val="20"/>
                <w:szCs w:val="20"/>
                <w:color w:val="auto"/>
              </w:rPr>
            </w:pPr>
            <w:r>
              <w:rPr>
                <w:rFonts w:ascii="Arial" w:cs="Arial" w:eastAsia="Arial" w:hAnsi="Arial"/>
                <w:sz w:val="14"/>
                <w:szCs w:val="14"/>
                <w:color w:val="auto"/>
              </w:rPr>
              <w:t>344,204</w:t>
            </w:r>
          </w:p>
        </w:tc>
        <w:tc>
          <w:tcPr>
            <w:tcW w:w="20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600" w:type="dxa"/>
            <w:vAlign w:val="bottom"/>
            <w:gridSpan w:val="8"/>
          </w:tcPr>
          <w:p>
            <w:pPr>
              <w:jc w:val="right"/>
              <w:spacing w:after="0" w:line="145" w:lineRule="exact"/>
              <w:rPr>
                <w:sz w:val="20"/>
                <w:szCs w:val="20"/>
                <w:color w:val="auto"/>
              </w:rPr>
            </w:pPr>
            <w:r>
              <w:rPr>
                <w:rFonts w:ascii="Arial" w:cs="Arial" w:eastAsia="Arial" w:hAnsi="Arial"/>
                <w:sz w:val="14"/>
                <w:szCs w:val="14"/>
                <w:color w:val="auto"/>
              </w:rPr>
              <w:t>(202,500) $ (7,961,667) $ (3,579,167)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Borders>
              <w:bottom w:val="single" w:sz="8" w:color="E7417A"/>
            </w:tcBorders>
            <w:vMerge w:val="continue"/>
          </w:tcPr>
          <w:p>
            <w:pPr>
              <w:spacing w:after="0"/>
              <w:rPr>
                <w:sz w:val="4"/>
                <w:szCs w:val="4"/>
                <w:color w:val="auto"/>
              </w:rPr>
            </w:pPr>
          </w:p>
        </w:tc>
        <w:tc>
          <w:tcPr>
            <w:tcW w:w="3660" w:type="dxa"/>
            <w:vAlign w:val="bottom"/>
            <w:tcBorders>
              <w:bottom w:val="single" w:sz="8" w:color="E7417A"/>
            </w:tcBorders>
          </w:tcPr>
          <w:p>
            <w:pPr>
              <w:spacing w:after="0"/>
              <w:rPr>
                <w:sz w:val="4"/>
                <w:szCs w:val="4"/>
                <w:color w:val="auto"/>
              </w:rPr>
            </w:pPr>
          </w:p>
        </w:tc>
        <w:tc>
          <w:tcPr>
            <w:tcW w:w="300" w:type="dxa"/>
            <w:vAlign w:val="bottom"/>
            <w:tcBorders>
              <w:bottom w:val="single" w:sz="8" w:color="E7417A"/>
            </w:tcBorders>
          </w:tcPr>
          <w:p>
            <w:pPr>
              <w:jc w:val="center"/>
              <w:ind w:right="82"/>
              <w:spacing w:after="0" w:line="54"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E7417A"/>
            </w:tcBorders>
          </w:tcPr>
          <w:p>
            <w:pPr>
              <w:spacing w:after="0"/>
              <w:rPr>
                <w:sz w:val="4"/>
                <w:szCs w:val="4"/>
                <w:color w:val="auto"/>
              </w:rPr>
            </w:pPr>
          </w:p>
        </w:tc>
        <w:tc>
          <w:tcPr>
            <w:tcW w:w="220" w:type="dxa"/>
            <w:vAlign w:val="bottom"/>
            <w:tcBorders>
              <w:bottom w:val="single" w:sz="8" w:color="E7417A"/>
            </w:tcBorders>
          </w:tcPr>
          <w:p>
            <w:pPr>
              <w:jc w:val="center"/>
              <w:ind w:right="9"/>
              <w:spacing w:after="0" w:line="54" w:lineRule="exact"/>
              <w:rPr>
                <w:sz w:val="20"/>
                <w:szCs w:val="20"/>
                <w:color w:val="auto"/>
              </w:rPr>
            </w:pPr>
            <w:r>
              <w:rPr>
                <w:rFonts w:ascii="Arial" w:cs="Arial" w:eastAsia="Arial" w:hAnsi="Arial"/>
                <w:sz w:val="6"/>
                <w:szCs w:val="6"/>
                <w:color w:val="auto"/>
              </w:rPr>
              <w:t>​​​</w:t>
            </w:r>
          </w:p>
        </w:tc>
        <w:tc>
          <w:tcPr>
            <w:tcW w:w="60" w:type="dxa"/>
            <w:vAlign w:val="bottom"/>
            <w:tcBorders>
              <w:bottom w:val="single" w:sz="8" w:color="E7417A"/>
            </w:tcBorders>
          </w:tcPr>
          <w:p>
            <w:pPr>
              <w:spacing w:after="0"/>
              <w:rPr>
                <w:sz w:val="4"/>
                <w:szCs w:val="4"/>
                <w:color w:val="auto"/>
              </w:rPr>
            </w:pPr>
          </w:p>
        </w:tc>
        <w:tc>
          <w:tcPr>
            <w:tcW w:w="580" w:type="dxa"/>
            <w:vAlign w:val="bottom"/>
            <w:tcBorders>
              <w:bottom w:val="single" w:sz="8" w:color="E7417A"/>
            </w:tcBorders>
          </w:tcPr>
          <w:p>
            <w:pPr>
              <w:spacing w:after="0"/>
              <w:rPr>
                <w:sz w:val="4"/>
                <w:szCs w:val="4"/>
                <w:color w:val="auto"/>
              </w:rPr>
            </w:pPr>
          </w:p>
        </w:tc>
        <w:tc>
          <w:tcPr>
            <w:tcW w:w="200" w:type="dxa"/>
            <w:vAlign w:val="bottom"/>
            <w:tcBorders>
              <w:bottom w:val="single" w:sz="8" w:color="E7417A"/>
            </w:tcBorders>
          </w:tcPr>
          <w:p>
            <w:pPr>
              <w:jc w:val="center"/>
              <w:spacing w:after="0" w:line="54" w:lineRule="exact"/>
              <w:rPr>
                <w:sz w:val="20"/>
                <w:szCs w:val="20"/>
                <w:color w:val="auto"/>
              </w:rPr>
            </w:pPr>
            <w:r>
              <w:rPr>
                <w:rFonts w:ascii="Arial" w:cs="Arial" w:eastAsia="Arial" w:hAnsi="Arial"/>
                <w:sz w:val="6"/>
                <w:szCs w:val="6"/>
                <w:color w:val="auto"/>
              </w:rPr>
              <w:t>​​​</w:t>
            </w:r>
          </w:p>
        </w:tc>
        <w:tc>
          <w:tcPr>
            <w:tcW w:w="50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tcPr>
          <w:p>
            <w:pPr>
              <w:jc w:val="center"/>
              <w:spacing w:after="0" w:line="54" w:lineRule="exact"/>
              <w:rPr>
                <w:sz w:val="20"/>
                <w:szCs w:val="20"/>
                <w:color w:val="auto"/>
              </w:rPr>
            </w:pPr>
            <w:r>
              <w:rPr>
                <w:rFonts w:ascii="Arial" w:cs="Arial" w:eastAsia="Arial" w:hAnsi="Arial"/>
                <w:sz w:val="6"/>
                <w:szCs w:val="6"/>
                <w:color w:val="auto"/>
              </w:rPr>
              <w:t>​​​</w:t>
            </w:r>
          </w:p>
        </w:tc>
        <w:tc>
          <w:tcPr>
            <w:tcW w:w="80" w:type="dxa"/>
            <w:vAlign w:val="bottom"/>
            <w:tcBorders>
              <w:bottom w:val="single" w:sz="8" w:color="E7417A"/>
            </w:tcBorders>
          </w:tcPr>
          <w:p>
            <w:pPr>
              <w:spacing w:after="0"/>
              <w:rPr>
                <w:sz w:val="4"/>
                <w:szCs w:val="4"/>
                <w:color w:val="auto"/>
              </w:rPr>
            </w:pPr>
          </w:p>
        </w:tc>
        <w:tc>
          <w:tcPr>
            <w:tcW w:w="660" w:type="dxa"/>
            <w:vAlign w:val="bottom"/>
            <w:tcBorders>
              <w:bottom w:val="single" w:sz="8" w:color="E7417A"/>
            </w:tcBorders>
          </w:tcPr>
          <w:p>
            <w:pPr>
              <w:spacing w:after="0"/>
              <w:rPr>
                <w:sz w:val="4"/>
                <w:szCs w:val="4"/>
                <w:color w:val="auto"/>
              </w:rPr>
            </w:pPr>
          </w:p>
        </w:tc>
        <w:tc>
          <w:tcPr>
            <w:tcW w:w="280" w:type="dxa"/>
            <w:vAlign w:val="bottom"/>
            <w:tcBorders>
              <w:bottom w:val="single" w:sz="8" w:color="E7417A"/>
            </w:tcBorders>
          </w:tcPr>
          <w:p>
            <w:pPr>
              <w:jc w:val="center"/>
              <w:ind w:right="69"/>
              <w:spacing w:after="0" w:line="54"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E7417A"/>
            </w:tcBorders>
          </w:tcPr>
          <w:p>
            <w:pPr>
              <w:spacing w:after="0"/>
              <w:rPr>
                <w:sz w:val="4"/>
                <w:szCs w:val="4"/>
                <w:color w:val="auto"/>
              </w:rPr>
            </w:pPr>
          </w:p>
        </w:tc>
        <w:tc>
          <w:tcPr>
            <w:tcW w:w="6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60" w:type="dxa"/>
            <w:vAlign w:val="bottom"/>
            <w:tcBorders>
              <w:bottom w:val="single" w:sz="8" w:color="E7417A"/>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auto"/>
              </w:rPr>
              <w:t>Add Fair Value at Vesting of Stock Awards Granted in</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00" w:type="dxa"/>
            <w:vAlign w:val="bottom"/>
            <w:tcBorders>
              <w:bottom w:val="single" w:sz="8" w:color="E7417A"/>
            </w:tcBorders>
            <w:gridSpan w:val="2"/>
          </w:tcPr>
          <w:p>
            <w:pPr>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Fiscal Year that Vested During Fiscal Year</w:t>
            </w:r>
          </w:p>
        </w:tc>
        <w:tc>
          <w:tcPr>
            <w:tcW w:w="300" w:type="dxa"/>
            <w:vAlign w:val="bottom"/>
            <w:tcBorders>
              <w:bottom w:val="single" w:sz="8" w:color="E7417A"/>
            </w:tcBorders>
          </w:tcPr>
          <w:p>
            <w:pPr>
              <w:jc w:val="right"/>
              <w:ind w:right="2"/>
              <w:spacing w:after="0" w:line="199"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color w:val="auto"/>
                <w:vertAlign w:val="superscript"/>
              </w:rPr>
              <w:t>​</w:t>
            </w:r>
          </w:p>
        </w:tc>
        <w:tc>
          <w:tcPr>
            <w:tcW w:w="940" w:type="dxa"/>
            <w:vAlign w:val="bottom"/>
            <w:tcBorders>
              <w:bottom w:val="single" w:sz="8" w:color="E7417A"/>
            </w:tcBorders>
            <w:gridSpan w:val="3"/>
          </w:tcPr>
          <w:p>
            <w:pPr>
              <w:ind w:left="520"/>
              <w:spacing w:after="0" w:line="19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r>
              <w:rPr>
                <w:rFonts w:ascii="Arial" w:cs="Arial" w:eastAsia="Arial" w:hAnsi="Arial"/>
                <w:sz w:val="22"/>
                <w:szCs w:val="22"/>
                <w:color w:val="auto"/>
                <w:vertAlign w:val="superscript"/>
              </w:rPr>
              <w:t>​</w:t>
            </w:r>
          </w:p>
        </w:tc>
        <w:tc>
          <w:tcPr>
            <w:tcW w:w="1280" w:type="dxa"/>
            <w:vAlign w:val="bottom"/>
            <w:tcBorders>
              <w:bottom w:val="single" w:sz="8" w:color="E7417A"/>
            </w:tcBorders>
            <w:gridSpan w:val="3"/>
          </w:tcPr>
          <w:p>
            <w:pPr>
              <w:jc w:val="right"/>
              <w:ind w:right="393"/>
              <w:spacing w:after="0" w:line="19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r>
              <w:rPr>
                <w:rFonts w:ascii="Arial" w:cs="Arial" w:eastAsia="Arial" w:hAnsi="Arial"/>
                <w:sz w:val="22"/>
                <w:szCs w:val="22"/>
                <w:color w:val="auto"/>
                <w:vertAlign w:val="superscript"/>
              </w:rPr>
              <w:t>​</w:t>
            </w:r>
          </w:p>
        </w:tc>
        <w:tc>
          <w:tcPr>
            <w:tcW w:w="440" w:type="dxa"/>
            <w:vAlign w:val="bottom"/>
            <w:tcBorders>
              <w:bottom w:val="single" w:sz="8" w:color="E7417A"/>
            </w:tcBorders>
            <w:gridSpan w:val="3"/>
          </w:tcPr>
          <w:p>
            <w:pPr>
              <w:jc w:val="right"/>
              <w:spacing w:after="0" w:line="19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r>
              <w:rPr>
                <w:rFonts w:ascii="Arial" w:cs="Arial" w:eastAsia="Arial" w:hAnsi="Arial"/>
                <w:sz w:val="22"/>
                <w:szCs w:val="22"/>
                <w:color w:val="auto"/>
                <w:vertAlign w:val="superscript"/>
              </w:rPr>
              <w:t>​</w:t>
            </w:r>
          </w:p>
        </w:tc>
        <w:tc>
          <w:tcPr>
            <w:tcW w:w="94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r>
              <w:rPr>
                <w:rFonts w:ascii="Arial" w:cs="Arial" w:eastAsia="Arial" w:hAnsi="Arial"/>
                <w:sz w:val="22"/>
                <w:szCs w:val="22"/>
                <w:color w:val="auto"/>
                <w:vertAlign w:val="superscript"/>
              </w:rPr>
              <w:t>​</w:t>
            </w:r>
          </w:p>
        </w:tc>
        <w:tc>
          <w:tcPr>
            <w:tcW w:w="72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12"/>
                <w:szCs w:val="12"/>
                <w:color w:val="auto"/>
              </w:rPr>
              <w:t>—</w:t>
            </w:r>
            <w:r>
              <w:rPr>
                <w:rFonts w:ascii="Arial" w:cs="Arial" w:eastAsia="Arial" w:hAnsi="Arial"/>
                <w:sz w:val="22"/>
                <w:szCs w:val="22"/>
                <w:color w:val="auto"/>
                <w:vertAlign w:val="subscript"/>
              </w:rPr>
              <w:t>​</w:t>
            </w:r>
          </w:p>
        </w:tc>
        <w:tc>
          <w:tcPr>
            <w:tcW w:w="60" w:type="dxa"/>
            <w:vAlign w:val="bottom"/>
            <w:tcBorders>
              <w:bottom w:val="single" w:sz="8" w:color="E7417A"/>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auto"/>
              </w:rPr>
              <w:t>Add Change in Fair Value as of Vesting Date of Stock</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auto"/>
              </w:rPr>
              <w:t>Awards Granted in Prior Fiscal Years for which</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auto"/>
              </w:rPr>
              <w:t>Applicable Vesting Conditions were Satisfied During</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3660" w:type="dxa"/>
            <w:vAlign w:val="bottom"/>
          </w:tcPr>
          <w:p>
            <w:pPr>
              <w:ind w:left="60"/>
              <w:spacing w:after="0" w:line="145" w:lineRule="exact"/>
              <w:rPr>
                <w:sz w:val="20"/>
                <w:szCs w:val="20"/>
                <w:color w:val="auto"/>
              </w:rPr>
            </w:pPr>
            <w:r>
              <w:rPr>
                <w:rFonts w:ascii="Arial" w:cs="Arial" w:eastAsia="Arial" w:hAnsi="Arial"/>
                <w:sz w:val="14"/>
                <w:szCs w:val="14"/>
                <w:color w:val="auto"/>
              </w:rPr>
              <w:t>Fiscal Year</w:t>
            </w:r>
          </w:p>
        </w:tc>
        <w:tc>
          <w:tcPr>
            <w:tcW w:w="300" w:type="dxa"/>
            <w:vAlign w:val="bottom"/>
          </w:tcPr>
          <w:p>
            <w:pPr>
              <w:jc w:val="right"/>
              <w:ind w:right="42"/>
              <w:spacing w:after="0" w:line="14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5" w:lineRule="exact"/>
              <w:rPr>
                <w:sz w:val="20"/>
                <w:szCs w:val="20"/>
                <w:color w:val="auto"/>
              </w:rPr>
            </w:pPr>
            <w:r>
              <w:rPr>
                <w:rFonts w:ascii="Arial" w:cs="Arial" w:eastAsia="Arial" w:hAnsi="Arial"/>
                <w:sz w:val="14"/>
                <w:szCs w:val="14"/>
                <w:color w:val="auto"/>
              </w:rPr>
              <w:t>(157,802) $</w:t>
            </w:r>
          </w:p>
        </w:tc>
        <w:tc>
          <w:tcPr>
            <w:tcW w:w="60" w:type="dxa"/>
            <w:vAlign w:val="bottom"/>
          </w:tcPr>
          <w:p>
            <w:pPr>
              <w:spacing w:after="0"/>
              <w:rPr>
                <w:sz w:val="12"/>
                <w:szCs w:val="12"/>
                <w:color w:val="auto"/>
              </w:rPr>
            </w:pPr>
          </w:p>
        </w:tc>
        <w:tc>
          <w:tcPr>
            <w:tcW w:w="780" w:type="dxa"/>
            <w:vAlign w:val="bottom"/>
            <w:gridSpan w:val="2"/>
          </w:tcPr>
          <w:p>
            <w:pPr>
              <w:jc w:val="right"/>
              <w:ind w:right="86"/>
              <w:spacing w:after="0" w:line="145" w:lineRule="exact"/>
              <w:rPr>
                <w:sz w:val="20"/>
                <w:szCs w:val="20"/>
                <w:color w:val="auto"/>
              </w:rPr>
            </w:pPr>
            <w:r>
              <w:rPr>
                <w:rFonts w:ascii="Arial" w:cs="Arial" w:eastAsia="Arial" w:hAnsi="Arial"/>
                <w:sz w:val="14"/>
                <w:szCs w:val="14"/>
                <w:color w:val="auto"/>
              </w:rPr>
              <w:t>(36,804)</w:t>
            </w:r>
          </w:p>
        </w:tc>
        <w:tc>
          <w:tcPr>
            <w:tcW w:w="500" w:type="dxa"/>
            <w:vAlign w:val="bottom"/>
          </w:tcPr>
          <w:p>
            <w:pPr>
              <w:jc w:val="right"/>
              <w:ind w:right="393"/>
              <w:spacing w:after="0" w:line="145"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180" w:type="dxa"/>
            <w:vAlign w:val="bottom"/>
            <w:vMerge w:val="restart"/>
          </w:tcPr>
          <w:p>
            <w:pPr>
              <w:jc w:val="center"/>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29"/>
              <w:spacing w:after="0" w:line="145"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5" w:lineRule="exact"/>
              <w:rPr>
                <w:sz w:val="20"/>
                <w:szCs w:val="20"/>
                <w:color w:val="auto"/>
              </w:rPr>
            </w:pPr>
            <w:r>
              <w:rPr>
                <w:rFonts w:ascii="Arial" w:cs="Arial" w:eastAsia="Arial" w:hAnsi="Arial"/>
                <w:sz w:val="14"/>
                <w:szCs w:val="14"/>
                <w:color w:val="auto"/>
              </w:rPr>
              <w:t>5,677,221</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Borders>
              <w:bottom w:val="single" w:sz="8" w:color="E7417A"/>
            </w:tcBorders>
            <w:vMerge w:val="continue"/>
          </w:tcPr>
          <w:p>
            <w:pPr>
              <w:spacing w:after="0"/>
              <w:rPr>
                <w:sz w:val="4"/>
                <w:szCs w:val="4"/>
                <w:color w:val="auto"/>
              </w:rPr>
            </w:pPr>
          </w:p>
        </w:tc>
        <w:tc>
          <w:tcPr>
            <w:tcW w:w="3660" w:type="dxa"/>
            <w:vAlign w:val="bottom"/>
            <w:tcBorders>
              <w:bottom w:val="single" w:sz="8" w:color="E7417A"/>
            </w:tcBorders>
          </w:tcPr>
          <w:p>
            <w:pPr>
              <w:spacing w:after="0"/>
              <w:rPr>
                <w:sz w:val="4"/>
                <w:szCs w:val="4"/>
                <w:color w:val="auto"/>
              </w:rPr>
            </w:pPr>
          </w:p>
        </w:tc>
        <w:tc>
          <w:tcPr>
            <w:tcW w:w="300" w:type="dxa"/>
            <w:vAlign w:val="bottom"/>
            <w:tcBorders>
              <w:bottom w:val="single" w:sz="8" w:color="E7417A"/>
            </w:tcBorders>
          </w:tcPr>
          <w:p>
            <w:pPr>
              <w:jc w:val="center"/>
              <w:ind w:right="82"/>
              <w:spacing w:after="0" w:line="54"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E7417A"/>
            </w:tcBorders>
          </w:tcPr>
          <w:p>
            <w:pPr>
              <w:spacing w:after="0"/>
              <w:rPr>
                <w:sz w:val="4"/>
                <w:szCs w:val="4"/>
                <w:color w:val="auto"/>
              </w:rPr>
            </w:pPr>
          </w:p>
        </w:tc>
        <w:tc>
          <w:tcPr>
            <w:tcW w:w="220" w:type="dxa"/>
            <w:vAlign w:val="bottom"/>
            <w:tcBorders>
              <w:bottom w:val="single" w:sz="8" w:color="E7417A"/>
            </w:tcBorders>
          </w:tcPr>
          <w:p>
            <w:pPr>
              <w:jc w:val="center"/>
              <w:ind w:right="9"/>
              <w:spacing w:after="0" w:line="54" w:lineRule="exact"/>
              <w:rPr>
                <w:sz w:val="20"/>
                <w:szCs w:val="20"/>
                <w:color w:val="auto"/>
              </w:rPr>
            </w:pPr>
            <w:r>
              <w:rPr>
                <w:rFonts w:ascii="Arial" w:cs="Arial" w:eastAsia="Arial" w:hAnsi="Arial"/>
                <w:sz w:val="6"/>
                <w:szCs w:val="6"/>
                <w:color w:val="auto"/>
              </w:rPr>
              <w:t>​​​</w:t>
            </w:r>
          </w:p>
        </w:tc>
        <w:tc>
          <w:tcPr>
            <w:tcW w:w="60" w:type="dxa"/>
            <w:vAlign w:val="bottom"/>
            <w:tcBorders>
              <w:bottom w:val="single" w:sz="8" w:color="E7417A"/>
            </w:tcBorders>
          </w:tcPr>
          <w:p>
            <w:pPr>
              <w:spacing w:after="0"/>
              <w:rPr>
                <w:sz w:val="4"/>
                <w:szCs w:val="4"/>
                <w:color w:val="auto"/>
              </w:rPr>
            </w:pPr>
          </w:p>
        </w:tc>
        <w:tc>
          <w:tcPr>
            <w:tcW w:w="580" w:type="dxa"/>
            <w:vAlign w:val="bottom"/>
            <w:tcBorders>
              <w:bottom w:val="single" w:sz="8" w:color="E7417A"/>
            </w:tcBorders>
          </w:tcPr>
          <w:p>
            <w:pPr>
              <w:spacing w:after="0"/>
              <w:rPr>
                <w:sz w:val="4"/>
                <w:szCs w:val="4"/>
                <w:color w:val="auto"/>
              </w:rPr>
            </w:pPr>
          </w:p>
        </w:tc>
        <w:tc>
          <w:tcPr>
            <w:tcW w:w="200" w:type="dxa"/>
            <w:vAlign w:val="bottom"/>
            <w:tcBorders>
              <w:bottom w:val="single" w:sz="8" w:color="E7417A"/>
            </w:tcBorders>
          </w:tcPr>
          <w:p>
            <w:pPr>
              <w:jc w:val="center"/>
              <w:spacing w:after="0" w:line="54" w:lineRule="exact"/>
              <w:rPr>
                <w:sz w:val="20"/>
                <w:szCs w:val="20"/>
                <w:color w:val="auto"/>
              </w:rPr>
            </w:pPr>
            <w:r>
              <w:rPr>
                <w:rFonts w:ascii="Arial" w:cs="Arial" w:eastAsia="Arial" w:hAnsi="Arial"/>
                <w:sz w:val="6"/>
                <w:szCs w:val="6"/>
                <w:color w:val="auto"/>
              </w:rPr>
              <w:t>​​​</w:t>
            </w:r>
          </w:p>
        </w:tc>
        <w:tc>
          <w:tcPr>
            <w:tcW w:w="50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tcPr>
          <w:p>
            <w:pPr>
              <w:spacing w:after="0"/>
              <w:rPr>
                <w:sz w:val="4"/>
                <w:szCs w:val="4"/>
                <w:color w:val="auto"/>
              </w:rPr>
            </w:pPr>
          </w:p>
        </w:tc>
        <w:tc>
          <w:tcPr>
            <w:tcW w:w="180" w:type="dxa"/>
            <w:vAlign w:val="bottom"/>
            <w:tcBorders>
              <w:bottom w:val="single" w:sz="8" w:color="E7417A"/>
            </w:tcBorders>
            <w:vMerge w:val="continue"/>
          </w:tcPr>
          <w:p>
            <w:pPr>
              <w:spacing w:after="0"/>
              <w:rPr>
                <w:sz w:val="4"/>
                <w:szCs w:val="4"/>
                <w:color w:val="auto"/>
              </w:rPr>
            </w:pPr>
          </w:p>
        </w:tc>
        <w:tc>
          <w:tcPr>
            <w:tcW w:w="80" w:type="dxa"/>
            <w:vAlign w:val="bottom"/>
            <w:tcBorders>
              <w:bottom w:val="single" w:sz="8" w:color="E7417A"/>
            </w:tcBorders>
          </w:tcPr>
          <w:p>
            <w:pPr>
              <w:spacing w:after="0"/>
              <w:rPr>
                <w:sz w:val="4"/>
                <w:szCs w:val="4"/>
                <w:color w:val="auto"/>
              </w:rPr>
            </w:pPr>
          </w:p>
        </w:tc>
        <w:tc>
          <w:tcPr>
            <w:tcW w:w="660" w:type="dxa"/>
            <w:vAlign w:val="bottom"/>
            <w:tcBorders>
              <w:bottom w:val="single" w:sz="8" w:color="E7417A"/>
            </w:tcBorders>
          </w:tcPr>
          <w:p>
            <w:pPr>
              <w:spacing w:after="0"/>
              <w:rPr>
                <w:sz w:val="4"/>
                <w:szCs w:val="4"/>
                <w:color w:val="auto"/>
              </w:rPr>
            </w:pPr>
          </w:p>
        </w:tc>
        <w:tc>
          <w:tcPr>
            <w:tcW w:w="280" w:type="dxa"/>
            <w:vAlign w:val="bottom"/>
            <w:tcBorders>
              <w:bottom w:val="single" w:sz="8" w:color="E7417A"/>
            </w:tcBorders>
          </w:tcPr>
          <w:p>
            <w:pPr>
              <w:jc w:val="center"/>
              <w:ind w:right="69"/>
              <w:spacing w:after="0" w:line="54"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E7417A"/>
            </w:tcBorders>
          </w:tcPr>
          <w:p>
            <w:pPr>
              <w:spacing w:after="0"/>
              <w:rPr>
                <w:sz w:val="4"/>
                <w:szCs w:val="4"/>
                <w:color w:val="auto"/>
              </w:rPr>
            </w:pPr>
          </w:p>
        </w:tc>
        <w:tc>
          <w:tcPr>
            <w:tcW w:w="60" w:type="dxa"/>
            <w:vAlign w:val="bottom"/>
            <w:tcBorders>
              <w:bottom w:val="single" w:sz="8" w:color="E7417A"/>
            </w:tcBorders>
            <w:vMerge w:val="continue"/>
          </w:tcPr>
          <w:p>
            <w:pPr>
              <w:spacing w:after="0"/>
              <w:rPr>
                <w:sz w:val="4"/>
                <w:szCs w:val="4"/>
                <w:color w:val="auto"/>
              </w:rPr>
            </w:pPr>
          </w:p>
        </w:tc>
        <w:tc>
          <w:tcPr>
            <w:tcW w:w="60" w:type="dxa"/>
            <w:vAlign w:val="bottom"/>
            <w:tcBorders>
              <w:bottom w:val="single" w:sz="8" w:color="E7417A"/>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auto"/>
              </w:rPr>
              <w:t>Deduct Fair Value as of Prior Fiscal Year End of Stock</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660" w:type="dxa"/>
            <w:vAlign w:val="bottom"/>
          </w:tcPr>
          <w:p>
            <w:pPr>
              <w:ind w:left="60"/>
              <w:spacing w:after="0"/>
              <w:rPr>
                <w:sz w:val="20"/>
                <w:szCs w:val="20"/>
                <w:color w:val="auto"/>
              </w:rPr>
            </w:pPr>
            <w:r>
              <w:rPr>
                <w:rFonts w:ascii="Arial" w:cs="Arial" w:eastAsia="Arial" w:hAnsi="Arial"/>
                <w:sz w:val="14"/>
                <w:szCs w:val="14"/>
                <w:color w:val="auto"/>
              </w:rPr>
              <w:t>Awards Granted in Prior Fiscal Years that Failed to</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000" w:type="dxa"/>
            <w:vAlign w:val="bottom"/>
            <w:tcBorders>
              <w:bottom w:val="single" w:sz="8" w:color="E7417A"/>
            </w:tcBorders>
            <w:gridSpan w:val="3"/>
          </w:tcPr>
          <w:p>
            <w:pPr>
              <w:spacing w:after="0" w:line="199"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2"/>
                <w:szCs w:val="12"/>
                <w:color w:val="auto"/>
              </w:rPr>
              <w:t xml:space="preserve"> Meet Applicable Vesting Conditions During Fiscal Year</w:t>
            </w:r>
            <w:r>
              <w:rPr>
                <w:rFonts w:ascii="Arial" w:cs="Arial" w:eastAsia="Arial" w:hAnsi="Arial"/>
                <w:sz w:val="22"/>
                <w:szCs w:val="22"/>
                <w:color w:val="auto"/>
                <w:vertAlign w:val="subscript"/>
              </w:rPr>
              <w:t>​​​</w:t>
            </w:r>
            <w:r>
              <w:rPr>
                <w:rFonts w:ascii="Arial" w:cs="Arial" w:eastAsia="Arial" w:hAnsi="Arial"/>
                <w:sz w:val="12"/>
                <w:szCs w:val="12"/>
                <w:color w:val="auto"/>
              </w:rPr>
              <w:t xml:space="preserve"> ​</w:t>
            </w:r>
          </w:p>
        </w:tc>
        <w:tc>
          <w:tcPr>
            <w:tcW w:w="88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r>
              <w:rPr>
                <w:rFonts w:ascii="Arial" w:cs="Arial" w:eastAsia="Arial" w:hAnsi="Arial"/>
                <w:sz w:val="22"/>
                <w:szCs w:val="22"/>
                <w:color w:val="auto"/>
                <w:vertAlign w:val="superscript"/>
              </w:rPr>
              <w:t>$</w:t>
            </w:r>
          </w:p>
        </w:tc>
        <w:tc>
          <w:tcPr>
            <w:tcW w:w="60" w:type="dxa"/>
            <w:vAlign w:val="bottom"/>
            <w:tcBorders>
              <w:bottom w:val="single" w:sz="8" w:color="E7417A"/>
            </w:tcBorders>
          </w:tcPr>
          <w:p>
            <w:pPr>
              <w:spacing w:after="0"/>
              <w:rPr>
                <w:sz w:val="17"/>
                <w:szCs w:val="17"/>
                <w:color w:val="auto"/>
              </w:rPr>
            </w:pPr>
          </w:p>
        </w:tc>
        <w:tc>
          <w:tcPr>
            <w:tcW w:w="78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12"/>
                <w:szCs w:val="12"/>
                <w:color w:val="auto"/>
              </w:rPr>
              <w:t>350,369</w:t>
            </w:r>
            <w:r>
              <w:rPr>
                <w:rFonts w:ascii="Arial" w:cs="Arial" w:eastAsia="Arial" w:hAnsi="Arial"/>
                <w:sz w:val="22"/>
                <w:szCs w:val="22"/>
                <w:color w:val="auto"/>
                <w:vertAlign w:val="subscript"/>
              </w:rPr>
              <w:t>​​​</w:t>
            </w:r>
            <w:r>
              <w:rPr>
                <w:rFonts w:ascii="Arial" w:cs="Arial" w:eastAsia="Arial" w:hAnsi="Arial"/>
                <w:sz w:val="12"/>
                <w:szCs w:val="12"/>
                <w:color w:val="auto"/>
              </w:rPr>
              <w:t>$</w:t>
            </w:r>
          </w:p>
        </w:tc>
        <w:tc>
          <w:tcPr>
            <w:tcW w:w="940" w:type="dxa"/>
            <w:vAlign w:val="bottom"/>
            <w:tcBorders>
              <w:bottom w:val="single" w:sz="8" w:color="E7417A"/>
            </w:tcBorders>
            <w:gridSpan w:val="4"/>
          </w:tcPr>
          <w:p>
            <w:pPr>
              <w:jc w:val="right"/>
              <w:spacing w:after="0" w:line="199" w:lineRule="exact"/>
              <w:rPr>
                <w:sz w:val="20"/>
                <w:szCs w:val="20"/>
                <w:color w:val="auto"/>
              </w:rPr>
            </w:pPr>
            <w:r>
              <w:rPr>
                <w:rFonts w:ascii="Arial" w:cs="Arial" w:eastAsia="Arial" w:hAnsi="Arial"/>
                <w:sz w:val="12"/>
                <w:szCs w:val="12"/>
                <w:color w:val="auto"/>
              </w:rPr>
              <w:t>672,828</w:t>
            </w:r>
            <w:r>
              <w:rPr>
                <w:rFonts w:ascii="Arial" w:cs="Arial" w:eastAsia="Arial" w:hAnsi="Arial"/>
                <w:sz w:val="22"/>
                <w:szCs w:val="22"/>
                <w:color w:val="auto"/>
                <w:vertAlign w:val="subscript"/>
              </w:rPr>
              <w:t>​​​</w:t>
            </w:r>
            <w:r>
              <w:rPr>
                <w:rFonts w:ascii="Arial" w:cs="Arial" w:eastAsia="Arial" w:hAnsi="Arial"/>
                <w:sz w:val="12"/>
                <w:szCs w:val="12"/>
                <w:color w:val="auto"/>
              </w:rPr>
              <w:t xml:space="preserve"> ​</w:t>
            </w:r>
          </w:p>
        </w:tc>
        <w:tc>
          <w:tcPr>
            <w:tcW w:w="94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r>
              <w:rPr>
                <w:rFonts w:ascii="Arial" w:cs="Arial" w:eastAsia="Arial" w:hAnsi="Arial"/>
                <w:sz w:val="22"/>
                <w:szCs w:val="22"/>
                <w:color w:val="auto"/>
                <w:vertAlign w:val="superscript"/>
              </w:rPr>
              <w:t>​</w:t>
            </w:r>
          </w:p>
        </w:tc>
        <w:tc>
          <w:tcPr>
            <w:tcW w:w="720" w:type="dxa"/>
            <w:vAlign w:val="bottom"/>
            <w:tcBorders>
              <w:bottom w:val="single" w:sz="8" w:color="E7417A"/>
            </w:tcBorders>
            <w:gridSpan w:val="2"/>
          </w:tcPr>
          <w:p>
            <w:pPr>
              <w:jc w:val="right"/>
              <w:spacing w:after="0" w:line="199"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2"/>
                <w:szCs w:val="12"/>
                <w:color w:val="auto"/>
              </w:rPr>
              <w:t>​</w:t>
            </w:r>
          </w:p>
        </w:tc>
        <w:tc>
          <w:tcPr>
            <w:tcW w:w="60" w:type="dxa"/>
            <w:vAlign w:val="bottom"/>
            <w:tcBorders>
              <w:bottom w:val="single" w:sz="8" w:color="E7417A"/>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vMerge w:val="restart"/>
          </w:tcPr>
          <w:p>
            <w:pPr>
              <w:spacing w:after="0"/>
              <w:rPr>
                <w:sz w:val="20"/>
                <w:szCs w:val="20"/>
                <w:color w:val="auto"/>
              </w:rPr>
            </w:pPr>
            <w:r>
              <w:rPr>
                <w:rFonts w:ascii="Arial" w:cs="Arial" w:eastAsia="Arial" w:hAnsi="Arial"/>
                <w:sz w:val="14"/>
                <w:szCs w:val="14"/>
                <w:color w:val="auto"/>
              </w:rPr>
              <w:t>​</w:t>
            </w:r>
          </w:p>
        </w:tc>
        <w:tc>
          <w:tcPr>
            <w:tcW w:w="3660" w:type="dxa"/>
            <w:vAlign w:val="bottom"/>
          </w:tcPr>
          <w:p>
            <w:pPr>
              <w:ind w:left="60"/>
              <w:spacing w:after="0"/>
              <w:rPr>
                <w:sz w:val="20"/>
                <w:szCs w:val="20"/>
                <w:color w:val="auto"/>
              </w:rPr>
            </w:pPr>
            <w:r>
              <w:rPr>
                <w:rFonts w:ascii="Arial" w:cs="Arial" w:eastAsia="Arial" w:hAnsi="Arial"/>
                <w:sz w:val="14"/>
                <w:szCs w:val="14"/>
                <w:color w:val="auto"/>
              </w:rPr>
              <w:t>Compensation Actually Paid</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$ 13,290,302</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w w:val="99"/>
              </w:rPr>
              <w:t>5,064,828</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40"/>
              <w:spacing w:after="0"/>
              <w:rPr>
                <w:sz w:val="20"/>
                <w:szCs w:val="20"/>
                <w:color w:val="auto"/>
              </w:rPr>
            </w:pPr>
            <w:r>
              <w:rPr>
                <w:rFonts w:ascii="Arial" w:cs="Arial" w:eastAsia="Arial" w:hAnsi="Arial"/>
                <w:sz w:val="14"/>
                <w:szCs w:val="14"/>
                <w:color w:val="auto"/>
                <w:w w:val="99"/>
              </w:rPr>
              <w:t>1,944,504</w:t>
            </w:r>
          </w:p>
        </w:tc>
        <w:tc>
          <w:tcPr>
            <w:tcW w:w="1200" w:type="dxa"/>
            <w:vAlign w:val="bottom"/>
            <w:gridSpan w:val="4"/>
          </w:tcPr>
          <w:p>
            <w:pPr>
              <w:jc w:val="right"/>
              <w:ind w:right="29"/>
              <w:spacing w:after="0"/>
              <w:rPr>
                <w:sz w:val="20"/>
                <w:szCs w:val="20"/>
                <w:color w:val="auto"/>
              </w:rPr>
            </w:pPr>
            <w:r>
              <w:rPr>
                <w:rFonts w:ascii="Arial" w:cs="Arial" w:eastAsia="Arial" w:hAnsi="Arial"/>
                <w:sz w:val="14"/>
                <w:szCs w:val="14"/>
                <w:color w:val="auto"/>
              </w:rPr>
              <w:t>$ (6,504,331) $</w:t>
            </w:r>
          </w:p>
        </w:tc>
        <w:tc>
          <w:tcPr>
            <w:tcW w:w="660" w:type="dxa"/>
            <w:vAlign w:val="bottom"/>
          </w:tcPr>
          <w:p>
            <w:pPr>
              <w:jc w:val="right"/>
              <w:spacing w:after="0"/>
              <w:rPr>
                <w:sz w:val="20"/>
                <w:szCs w:val="20"/>
                <w:color w:val="auto"/>
              </w:rPr>
            </w:pPr>
            <w:r>
              <w:rPr>
                <w:rFonts w:ascii="Arial" w:cs="Arial" w:eastAsia="Arial" w:hAnsi="Arial"/>
                <w:sz w:val="14"/>
                <w:szCs w:val="14"/>
                <w:color w:val="auto"/>
              </w:rPr>
              <w:t>2,879,477</w:t>
            </w:r>
          </w:p>
        </w:tc>
        <w:tc>
          <w:tcPr>
            <w:tcW w:w="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40" w:type="dxa"/>
            <w:vAlign w:val="bottom"/>
            <w:tcBorders>
              <w:bottom w:val="single" w:sz="8" w:color="62259D"/>
            </w:tcBorders>
            <w:vMerge w:val="continue"/>
          </w:tcPr>
          <w:p>
            <w:pPr>
              <w:spacing w:after="0"/>
              <w:rPr>
                <w:sz w:val="4"/>
                <w:szCs w:val="4"/>
                <w:color w:val="auto"/>
              </w:rPr>
            </w:pPr>
          </w:p>
        </w:tc>
        <w:tc>
          <w:tcPr>
            <w:tcW w:w="3660" w:type="dxa"/>
            <w:vAlign w:val="bottom"/>
            <w:tcBorders>
              <w:bottom w:val="single" w:sz="8" w:color="62259D"/>
            </w:tcBorders>
          </w:tcPr>
          <w:p>
            <w:pPr>
              <w:spacing w:after="0"/>
              <w:rPr>
                <w:sz w:val="4"/>
                <w:szCs w:val="4"/>
                <w:color w:val="auto"/>
              </w:rPr>
            </w:pPr>
          </w:p>
        </w:tc>
        <w:tc>
          <w:tcPr>
            <w:tcW w:w="300" w:type="dxa"/>
            <w:vAlign w:val="bottom"/>
            <w:tcBorders>
              <w:bottom w:val="single" w:sz="8" w:color="62259D"/>
            </w:tcBorders>
          </w:tcPr>
          <w:p>
            <w:pPr>
              <w:jc w:val="center"/>
              <w:ind w:right="82"/>
              <w:spacing w:after="0" w:line="54"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62259D"/>
            </w:tcBorders>
          </w:tcPr>
          <w:p>
            <w:pPr>
              <w:spacing w:after="0"/>
              <w:rPr>
                <w:sz w:val="4"/>
                <w:szCs w:val="4"/>
                <w:color w:val="auto"/>
              </w:rPr>
            </w:pPr>
          </w:p>
        </w:tc>
        <w:tc>
          <w:tcPr>
            <w:tcW w:w="220" w:type="dxa"/>
            <w:vAlign w:val="bottom"/>
            <w:tcBorders>
              <w:bottom w:val="single" w:sz="8" w:color="62259D"/>
            </w:tcBorders>
          </w:tcPr>
          <w:p>
            <w:pPr>
              <w:jc w:val="center"/>
              <w:ind w:right="9"/>
              <w:spacing w:after="0" w:line="54" w:lineRule="exact"/>
              <w:rPr>
                <w:sz w:val="20"/>
                <w:szCs w:val="20"/>
                <w:color w:val="auto"/>
              </w:rPr>
            </w:pPr>
            <w:r>
              <w:rPr>
                <w:rFonts w:ascii="Arial" w:cs="Arial" w:eastAsia="Arial" w:hAnsi="Arial"/>
                <w:sz w:val="6"/>
                <w:szCs w:val="6"/>
                <w:color w:val="auto"/>
              </w:rPr>
              <w:t>​​​</w:t>
            </w:r>
          </w:p>
        </w:tc>
        <w:tc>
          <w:tcPr>
            <w:tcW w:w="60" w:type="dxa"/>
            <w:vAlign w:val="bottom"/>
            <w:tcBorders>
              <w:bottom w:val="single" w:sz="8" w:color="62259D"/>
            </w:tcBorders>
          </w:tcPr>
          <w:p>
            <w:pPr>
              <w:spacing w:after="0"/>
              <w:rPr>
                <w:sz w:val="4"/>
                <w:szCs w:val="4"/>
                <w:color w:val="auto"/>
              </w:rPr>
            </w:pPr>
          </w:p>
        </w:tc>
        <w:tc>
          <w:tcPr>
            <w:tcW w:w="580" w:type="dxa"/>
            <w:vAlign w:val="bottom"/>
            <w:tcBorders>
              <w:bottom w:val="single" w:sz="8" w:color="62259D"/>
            </w:tcBorders>
          </w:tcPr>
          <w:p>
            <w:pPr>
              <w:spacing w:after="0"/>
              <w:rPr>
                <w:sz w:val="4"/>
                <w:szCs w:val="4"/>
                <w:color w:val="auto"/>
              </w:rPr>
            </w:pPr>
          </w:p>
        </w:tc>
        <w:tc>
          <w:tcPr>
            <w:tcW w:w="200" w:type="dxa"/>
            <w:vAlign w:val="bottom"/>
            <w:tcBorders>
              <w:bottom w:val="single" w:sz="8" w:color="62259D"/>
            </w:tcBorders>
          </w:tcPr>
          <w:p>
            <w:pPr>
              <w:jc w:val="center"/>
              <w:spacing w:after="0" w:line="54" w:lineRule="exact"/>
              <w:rPr>
                <w:sz w:val="20"/>
                <w:szCs w:val="20"/>
                <w:color w:val="auto"/>
              </w:rPr>
            </w:pPr>
            <w:r>
              <w:rPr>
                <w:rFonts w:ascii="Arial" w:cs="Arial" w:eastAsia="Arial" w:hAnsi="Arial"/>
                <w:sz w:val="6"/>
                <w:szCs w:val="6"/>
                <w:color w:val="auto"/>
              </w:rPr>
              <w:t>​​​</w:t>
            </w:r>
          </w:p>
        </w:tc>
        <w:tc>
          <w:tcPr>
            <w:tcW w:w="500" w:type="dxa"/>
            <w:vAlign w:val="bottom"/>
            <w:tcBorders>
              <w:bottom w:val="single" w:sz="8" w:color="62259D"/>
            </w:tcBorders>
          </w:tcPr>
          <w:p>
            <w:pPr>
              <w:spacing w:after="0"/>
              <w:rPr>
                <w:sz w:val="4"/>
                <w:szCs w:val="4"/>
                <w:color w:val="auto"/>
              </w:rPr>
            </w:pPr>
          </w:p>
        </w:tc>
        <w:tc>
          <w:tcPr>
            <w:tcW w:w="180" w:type="dxa"/>
            <w:vAlign w:val="bottom"/>
            <w:tcBorders>
              <w:bottom w:val="single" w:sz="8" w:color="62259D"/>
            </w:tcBorders>
          </w:tcPr>
          <w:p>
            <w:pPr>
              <w:spacing w:after="0"/>
              <w:rPr>
                <w:sz w:val="4"/>
                <w:szCs w:val="4"/>
                <w:color w:val="auto"/>
              </w:rPr>
            </w:pPr>
          </w:p>
        </w:tc>
        <w:tc>
          <w:tcPr>
            <w:tcW w:w="180" w:type="dxa"/>
            <w:vAlign w:val="bottom"/>
            <w:tcBorders>
              <w:bottom w:val="single" w:sz="8" w:color="62259D"/>
            </w:tcBorders>
          </w:tcPr>
          <w:p>
            <w:pPr>
              <w:jc w:val="center"/>
              <w:spacing w:after="0" w:line="54" w:lineRule="exact"/>
              <w:rPr>
                <w:sz w:val="20"/>
                <w:szCs w:val="20"/>
                <w:color w:val="auto"/>
              </w:rPr>
            </w:pPr>
            <w:r>
              <w:rPr>
                <w:rFonts w:ascii="Arial" w:cs="Arial" w:eastAsia="Arial" w:hAnsi="Arial"/>
                <w:sz w:val="6"/>
                <w:szCs w:val="6"/>
                <w:color w:val="auto"/>
              </w:rPr>
              <w:t>​​​</w:t>
            </w:r>
          </w:p>
        </w:tc>
        <w:tc>
          <w:tcPr>
            <w:tcW w:w="80" w:type="dxa"/>
            <w:vAlign w:val="bottom"/>
            <w:tcBorders>
              <w:bottom w:val="single" w:sz="8" w:color="62259D"/>
            </w:tcBorders>
          </w:tcPr>
          <w:p>
            <w:pPr>
              <w:spacing w:after="0"/>
              <w:rPr>
                <w:sz w:val="4"/>
                <w:szCs w:val="4"/>
                <w:color w:val="auto"/>
              </w:rPr>
            </w:pPr>
          </w:p>
        </w:tc>
        <w:tc>
          <w:tcPr>
            <w:tcW w:w="660" w:type="dxa"/>
            <w:vAlign w:val="bottom"/>
            <w:tcBorders>
              <w:bottom w:val="single" w:sz="8" w:color="62259D"/>
            </w:tcBorders>
          </w:tcPr>
          <w:p>
            <w:pPr>
              <w:spacing w:after="0"/>
              <w:rPr>
                <w:sz w:val="4"/>
                <w:szCs w:val="4"/>
                <w:color w:val="auto"/>
              </w:rPr>
            </w:pPr>
          </w:p>
        </w:tc>
        <w:tc>
          <w:tcPr>
            <w:tcW w:w="280" w:type="dxa"/>
            <w:vAlign w:val="bottom"/>
            <w:tcBorders>
              <w:bottom w:val="single" w:sz="8" w:color="62259D"/>
            </w:tcBorders>
          </w:tcPr>
          <w:p>
            <w:pPr>
              <w:jc w:val="center"/>
              <w:ind w:right="69"/>
              <w:spacing w:after="0" w:line="54" w:lineRule="exact"/>
              <w:rPr>
                <w:sz w:val="20"/>
                <w:szCs w:val="20"/>
                <w:color w:val="auto"/>
              </w:rPr>
            </w:pPr>
            <w:r>
              <w:rPr>
                <w:rFonts w:ascii="Arial" w:cs="Arial" w:eastAsia="Arial" w:hAnsi="Arial"/>
                <w:sz w:val="6"/>
                <w:szCs w:val="6"/>
                <w:color w:val="auto"/>
              </w:rPr>
              <w:t>​​​</w:t>
            </w:r>
          </w:p>
        </w:tc>
        <w:tc>
          <w:tcPr>
            <w:tcW w:w="660" w:type="dxa"/>
            <w:vAlign w:val="bottom"/>
            <w:tcBorders>
              <w:bottom w:val="single" w:sz="8" w:color="62259D"/>
            </w:tcBorders>
          </w:tcPr>
          <w:p>
            <w:pPr>
              <w:spacing w:after="0"/>
              <w:rPr>
                <w:sz w:val="4"/>
                <w:szCs w:val="4"/>
                <w:color w:val="auto"/>
              </w:rPr>
            </w:pPr>
          </w:p>
        </w:tc>
        <w:tc>
          <w:tcPr>
            <w:tcW w:w="60" w:type="dxa"/>
            <w:vAlign w:val="bottom"/>
            <w:tcBorders>
              <w:bottom w:val="single" w:sz="8" w:color="62259D"/>
            </w:tcBorders>
            <w:vMerge w:val="continue"/>
          </w:tcPr>
          <w:p>
            <w:pPr>
              <w:spacing w:after="0"/>
              <w:rPr>
                <w:sz w:val="4"/>
                <w:szCs w:val="4"/>
                <w:color w:val="auto"/>
              </w:rPr>
            </w:pPr>
          </w:p>
        </w:tc>
        <w:tc>
          <w:tcPr>
            <w:tcW w:w="60" w:type="dxa"/>
            <w:vAlign w:val="bottom"/>
            <w:tcBorders>
              <w:bottom w:val="single" w:sz="8" w:color="62259D"/>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400" w:hanging="368"/>
        <w:spacing w:after="0"/>
        <w:tabs>
          <w:tab w:leader="none" w:pos="140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The following tables detail the applicable adjustments made, per SEC rules, to the amounts reflected in the total</w:t>
      </w:r>
    </w:p>
    <w:p>
      <w:pPr>
        <w:spacing w:after="0" w:line="207"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40"/>
          </w:cols>
          <w:pgMar w:left="580" w:top="97" w:right="1079" w:bottom="1440" w:gutter="0" w:footer="0" w:header="0"/>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63" w:lineRule="exact"/>
        <w:rPr>
          <w:sz w:val="20"/>
          <w:szCs w:val="20"/>
          <w:color w:val="auto"/>
        </w:rPr>
      </w:pPr>
    </w:p>
    <w:p>
      <w:pPr>
        <w:ind w:left="1400" w:right="259"/>
        <w:spacing w:after="0" w:line="305" w:lineRule="auto"/>
        <w:rPr>
          <w:sz w:val="20"/>
          <w:szCs w:val="20"/>
          <w:color w:val="auto"/>
        </w:rPr>
      </w:pPr>
      <w:r>
        <w:rPr>
          <w:rFonts w:ascii="Arial" w:cs="Arial" w:eastAsia="Arial" w:hAnsi="Arial"/>
          <w:sz w:val="14"/>
          <w:szCs w:val="14"/>
          <w:color w:val="auto"/>
        </w:rPr>
        <w:t>column of the “Summary Compensation Table” for the Other NEOs as a group to determine the “Compensation Actually Paid for the Other NEOs as a group.</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243"/>
        </w:trPr>
        <w:tc>
          <w:tcPr>
            <w:tcW w:w="60" w:type="dxa"/>
            <w:vAlign w:val="bottom"/>
            <w:shd w:val="clear" w:color="auto" w:fill="62259D"/>
          </w:tcPr>
          <w:p>
            <w:pPr>
              <w:spacing w:after="0"/>
              <w:rPr>
                <w:sz w:val="21"/>
                <w:szCs w:val="21"/>
                <w:color w:val="auto"/>
              </w:rPr>
            </w:pPr>
          </w:p>
        </w:tc>
        <w:tc>
          <w:tcPr>
            <w:tcW w:w="3800" w:type="dxa"/>
            <w:vAlign w:val="bottom"/>
            <w:shd w:val="clear" w:color="auto" w:fill="62259D"/>
          </w:tcPr>
          <w:p>
            <w:pPr>
              <w:spacing w:after="0"/>
              <w:rPr>
                <w:sz w:val="20"/>
                <w:szCs w:val="20"/>
                <w:color w:val="auto"/>
              </w:rPr>
            </w:pPr>
            <w:r>
              <w:rPr>
                <w:rFonts w:ascii="Arial" w:cs="Arial" w:eastAsia="Arial" w:hAnsi="Arial"/>
                <w:sz w:val="14"/>
                <w:szCs w:val="14"/>
                <w:b w:val="1"/>
                <w:bCs w:val="1"/>
                <w:color w:val="FEFEFE"/>
              </w:rPr>
              <w:t>​​</w:t>
            </w:r>
          </w:p>
        </w:tc>
        <w:tc>
          <w:tcPr>
            <w:tcW w:w="440" w:type="dxa"/>
            <w:vAlign w:val="bottom"/>
            <w:shd w:val="clear" w:color="auto" w:fill="62259D"/>
          </w:tcPr>
          <w:p>
            <w:pPr>
              <w:jc w:val="center"/>
              <w:ind w:left="1"/>
              <w:spacing w:after="0"/>
              <w:rPr>
                <w:sz w:val="20"/>
                <w:szCs w:val="20"/>
                <w:color w:val="auto"/>
              </w:rPr>
            </w:pPr>
            <w:r>
              <w:rPr>
                <w:rFonts w:ascii="Arial" w:cs="Arial" w:eastAsia="Arial" w:hAnsi="Arial"/>
                <w:sz w:val="14"/>
                <w:szCs w:val="14"/>
                <w:b w:val="1"/>
                <w:bCs w:val="1"/>
                <w:color w:val="FEFEFE"/>
              </w:rPr>
              <w:t>​ ​</w:t>
            </w:r>
          </w:p>
        </w:tc>
        <w:tc>
          <w:tcPr>
            <w:tcW w:w="700" w:type="dxa"/>
            <w:vAlign w:val="bottom"/>
            <w:shd w:val="clear" w:color="auto" w:fill="62259D"/>
          </w:tcPr>
          <w:p>
            <w:pPr>
              <w:jc w:val="right"/>
              <w:ind w:right="201"/>
              <w:spacing w:after="0"/>
              <w:rPr>
                <w:sz w:val="20"/>
                <w:szCs w:val="20"/>
                <w:color w:val="auto"/>
              </w:rPr>
            </w:pPr>
            <w:r>
              <w:rPr>
                <w:rFonts w:ascii="Arial" w:cs="Arial" w:eastAsia="Arial" w:hAnsi="Arial"/>
                <w:sz w:val="14"/>
                <w:szCs w:val="14"/>
                <w:b w:val="1"/>
                <w:bCs w:val="1"/>
                <w:color w:val="FEFEFE"/>
              </w:rPr>
              <w:t>2025</w:t>
            </w:r>
          </w:p>
        </w:tc>
        <w:tc>
          <w:tcPr>
            <w:tcW w:w="300" w:type="dxa"/>
            <w:vAlign w:val="bottom"/>
            <w:shd w:val="clear" w:color="auto" w:fill="62259D"/>
          </w:tcPr>
          <w:p>
            <w:pPr>
              <w:jc w:val="center"/>
              <w:ind w:right="108"/>
              <w:spacing w:after="0"/>
              <w:rPr>
                <w:sz w:val="20"/>
                <w:szCs w:val="20"/>
                <w:color w:val="auto"/>
              </w:rPr>
            </w:pPr>
            <w:r>
              <w:rPr>
                <w:rFonts w:ascii="Arial" w:cs="Arial" w:eastAsia="Arial" w:hAnsi="Arial"/>
                <w:sz w:val="14"/>
                <w:szCs w:val="14"/>
                <w:b w:val="1"/>
                <w:bCs w:val="1"/>
                <w:color w:val="FEFEFE"/>
              </w:rPr>
              <w:t>​ ​</w:t>
            </w:r>
          </w:p>
        </w:tc>
        <w:tc>
          <w:tcPr>
            <w:tcW w:w="660" w:type="dxa"/>
            <w:vAlign w:val="bottom"/>
            <w:shd w:val="clear" w:color="auto" w:fill="62259D"/>
          </w:tcPr>
          <w:p>
            <w:pPr>
              <w:jc w:val="right"/>
              <w:ind w:right="223"/>
              <w:spacing w:after="0"/>
              <w:rPr>
                <w:sz w:val="20"/>
                <w:szCs w:val="20"/>
                <w:color w:val="auto"/>
              </w:rPr>
            </w:pPr>
            <w:r>
              <w:rPr>
                <w:rFonts w:ascii="Arial" w:cs="Arial" w:eastAsia="Arial" w:hAnsi="Arial"/>
                <w:sz w:val="14"/>
                <w:szCs w:val="14"/>
                <w:b w:val="1"/>
                <w:bCs w:val="1"/>
                <w:color w:val="FEFEFE"/>
              </w:rPr>
              <w:t>2024</w:t>
            </w:r>
          </w:p>
        </w:tc>
        <w:tc>
          <w:tcPr>
            <w:tcW w:w="220" w:type="dxa"/>
            <w:vAlign w:val="bottom"/>
            <w:shd w:val="clear" w:color="auto" w:fill="62259D"/>
          </w:tcPr>
          <w:p>
            <w:pPr>
              <w:jc w:val="center"/>
              <w:ind w:right="28"/>
              <w:spacing w:after="0"/>
              <w:rPr>
                <w:sz w:val="20"/>
                <w:szCs w:val="20"/>
                <w:color w:val="auto"/>
              </w:rPr>
            </w:pPr>
            <w:r>
              <w:rPr>
                <w:rFonts w:ascii="Arial" w:cs="Arial" w:eastAsia="Arial" w:hAnsi="Arial"/>
                <w:sz w:val="14"/>
                <w:szCs w:val="14"/>
                <w:b w:val="1"/>
                <w:bCs w:val="1"/>
                <w:color w:val="FEFEFE"/>
              </w:rPr>
              <w:t>​ ​</w:t>
            </w:r>
          </w:p>
        </w:tc>
        <w:tc>
          <w:tcPr>
            <w:tcW w:w="80" w:type="dxa"/>
            <w:vAlign w:val="bottom"/>
            <w:shd w:val="clear" w:color="auto" w:fill="62259D"/>
          </w:tcPr>
          <w:p>
            <w:pPr>
              <w:spacing w:after="0"/>
              <w:rPr>
                <w:sz w:val="21"/>
                <w:szCs w:val="21"/>
                <w:color w:val="auto"/>
              </w:rPr>
            </w:pPr>
          </w:p>
        </w:tc>
        <w:tc>
          <w:tcPr>
            <w:tcW w:w="600" w:type="dxa"/>
            <w:vAlign w:val="bottom"/>
            <w:shd w:val="clear" w:color="auto" w:fill="62259D"/>
          </w:tcPr>
          <w:p>
            <w:pPr>
              <w:jc w:val="right"/>
              <w:ind w:right="149"/>
              <w:spacing w:after="0"/>
              <w:rPr>
                <w:sz w:val="20"/>
                <w:szCs w:val="20"/>
                <w:color w:val="auto"/>
              </w:rPr>
            </w:pPr>
            <w:r>
              <w:rPr>
                <w:rFonts w:ascii="Arial" w:cs="Arial" w:eastAsia="Arial" w:hAnsi="Arial"/>
                <w:sz w:val="14"/>
                <w:szCs w:val="14"/>
                <w:b w:val="1"/>
                <w:bCs w:val="1"/>
                <w:color w:val="FEFEFE"/>
              </w:rPr>
              <w:t>2023</w:t>
            </w:r>
          </w:p>
        </w:tc>
        <w:tc>
          <w:tcPr>
            <w:tcW w:w="340" w:type="dxa"/>
            <w:vAlign w:val="bottom"/>
            <w:shd w:val="clear" w:color="auto" w:fill="62259D"/>
          </w:tcPr>
          <w:p>
            <w:pPr>
              <w:jc w:val="center"/>
              <w:ind w:right="86"/>
              <w:spacing w:after="0"/>
              <w:rPr>
                <w:sz w:val="20"/>
                <w:szCs w:val="20"/>
                <w:color w:val="auto"/>
              </w:rPr>
            </w:pPr>
            <w:r>
              <w:rPr>
                <w:rFonts w:ascii="Arial" w:cs="Arial" w:eastAsia="Arial" w:hAnsi="Arial"/>
                <w:sz w:val="14"/>
                <w:szCs w:val="14"/>
                <w:b w:val="1"/>
                <w:bCs w:val="1"/>
                <w:color w:val="FEFEFE"/>
              </w:rPr>
              <w:t>​ ​</w:t>
            </w:r>
          </w:p>
        </w:tc>
        <w:tc>
          <w:tcPr>
            <w:tcW w:w="420" w:type="dxa"/>
            <w:vAlign w:val="bottom"/>
            <w:shd w:val="clear" w:color="auto" w:fill="62259D"/>
          </w:tcPr>
          <w:p>
            <w:pPr>
              <w:jc w:val="right"/>
              <w:spacing w:after="0"/>
              <w:rPr>
                <w:sz w:val="20"/>
                <w:szCs w:val="20"/>
                <w:color w:val="auto"/>
              </w:rPr>
            </w:pPr>
            <w:r>
              <w:rPr>
                <w:rFonts w:ascii="Arial" w:cs="Arial" w:eastAsia="Arial" w:hAnsi="Arial"/>
                <w:sz w:val="14"/>
                <w:szCs w:val="14"/>
                <w:b w:val="1"/>
                <w:bCs w:val="1"/>
                <w:color w:val="FEFEFE"/>
              </w:rPr>
              <w:t>2022</w:t>
            </w:r>
          </w:p>
        </w:tc>
        <w:tc>
          <w:tcPr>
            <w:tcW w:w="340" w:type="dxa"/>
            <w:vAlign w:val="bottom"/>
            <w:shd w:val="clear" w:color="auto" w:fill="62259D"/>
          </w:tcPr>
          <w:p>
            <w:pPr>
              <w:jc w:val="center"/>
              <w:ind w:left="174"/>
              <w:spacing w:after="0"/>
              <w:rPr>
                <w:sz w:val="20"/>
                <w:szCs w:val="20"/>
                <w:color w:val="auto"/>
              </w:rPr>
            </w:pPr>
            <w:r>
              <w:rPr>
                <w:rFonts w:ascii="Arial" w:cs="Arial" w:eastAsia="Arial" w:hAnsi="Arial"/>
                <w:sz w:val="14"/>
                <w:szCs w:val="14"/>
                <w:b w:val="1"/>
                <w:bCs w:val="1"/>
                <w:color w:val="FEFEFE"/>
              </w:rPr>
              <w:t>​ ​</w:t>
            </w:r>
          </w:p>
        </w:tc>
        <w:tc>
          <w:tcPr>
            <w:tcW w:w="100" w:type="dxa"/>
            <w:vAlign w:val="bottom"/>
            <w:shd w:val="clear" w:color="auto" w:fill="62259D"/>
          </w:tcPr>
          <w:p>
            <w:pPr>
              <w:spacing w:after="0"/>
              <w:rPr>
                <w:sz w:val="21"/>
                <w:szCs w:val="21"/>
                <w:color w:val="auto"/>
              </w:rPr>
            </w:pPr>
          </w:p>
        </w:tc>
        <w:tc>
          <w:tcPr>
            <w:tcW w:w="80" w:type="dxa"/>
            <w:vAlign w:val="bottom"/>
            <w:shd w:val="clear" w:color="auto" w:fill="62259D"/>
          </w:tcPr>
          <w:p>
            <w:pPr>
              <w:spacing w:after="0"/>
              <w:rPr>
                <w:sz w:val="21"/>
                <w:szCs w:val="21"/>
                <w:color w:val="auto"/>
              </w:rPr>
            </w:pPr>
          </w:p>
        </w:tc>
        <w:tc>
          <w:tcPr>
            <w:tcW w:w="620" w:type="dxa"/>
            <w:vAlign w:val="bottom"/>
            <w:shd w:val="clear" w:color="auto" w:fill="62259D"/>
          </w:tcPr>
          <w:p>
            <w:pPr>
              <w:jc w:val="right"/>
              <w:ind w:right="170"/>
              <w:spacing w:after="0"/>
              <w:rPr>
                <w:sz w:val="20"/>
                <w:szCs w:val="20"/>
                <w:color w:val="auto"/>
              </w:rPr>
            </w:pPr>
            <w:r>
              <w:rPr>
                <w:rFonts w:ascii="Arial" w:cs="Arial" w:eastAsia="Arial" w:hAnsi="Arial"/>
                <w:sz w:val="14"/>
                <w:szCs w:val="14"/>
                <w:b w:val="1"/>
                <w:bCs w:val="1"/>
                <w:color w:val="FEFEFE"/>
              </w:rPr>
              <w:t>2021</w:t>
            </w:r>
          </w:p>
        </w:tc>
        <w:tc>
          <w:tcPr>
            <w:tcW w:w="40" w:type="dxa"/>
            <w:vAlign w:val="bottom"/>
            <w:shd w:val="clear" w:color="auto" w:fill="62259D"/>
          </w:tcPr>
          <w:p>
            <w:pPr>
              <w:spacing w:after="0"/>
              <w:rPr>
                <w:sz w:val="21"/>
                <w:szCs w:val="21"/>
                <w:color w:val="auto"/>
              </w:rPr>
            </w:pPr>
          </w:p>
        </w:tc>
        <w:tc>
          <w:tcPr>
            <w:tcW w:w="60" w:type="dxa"/>
            <w:vAlign w:val="bottom"/>
            <w:shd w:val="clear" w:color="auto" w:fill="62259D"/>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43"/>
        </w:trPr>
        <w:tc>
          <w:tcPr>
            <w:tcW w:w="3860" w:type="dxa"/>
            <w:vAlign w:val="bottom"/>
            <w:tcBorders>
              <w:bottom w:val="single" w:sz="8" w:color="E7417A"/>
            </w:tcBorders>
            <w:gridSpan w:val="2"/>
          </w:tcPr>
          <w:p>
            <w:pPr>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Summary Compensation Table — Total Compensation</w:t>
            </w:r>
          </w:p>
        </w:tc>
        <w:tc>
          <w:tcPr>
            <w:tcW w:w="440" w:type="dxa"/>
            <w:vAlign w:val="bottom"/>
            <w:tcBorders>
              <w:bottom w:val="single" w:sz="8" w:color="E7417A"/>
            </w:tcBorders>
          </w:tcPr>
          <w:p>
            <w:pPr>
              <w:jc w:val="right"/>
              <w:spacing w:after="0" w:line="243" w:lineRule="exact"/>
              <w:rPr>
                <w:sz w:val="20"/>
                <w:szCs w:val="20"/>
                <w:color w:val="auto"/>
              </w:rPr>
            </w:pPr>
            <w:r>
              <w:rPr>
                <w:rFonts w:ascii="Arial" w:cs="Arial" w:eastAsia="Arial" w:hAnsi="Arial"/>
                <w:sz w:val="14"/>
                <w:szCs w:val="14"/>
                <w:color w:val="auto"/>
              </w:rPr>
              <w:t>​ ​ ​</w:t>
            </w:r>
            <w:r>
              <w:rPr>
                <w:rFonts w:ascii="Arial" w:cs="Arial" w:eastAsia="Arial" w:hAnsi="Arial"/>
                <w:sz w:val="28"/>
                <w:szCs w:val="28"/>
                <w:color w:val="auto"/>
                <w:vertAlign w:val="superscript"/>
              </w:rPr>
              <w:t>$</w:t>
            </w:r>
          </w:p>
        </w:tc>
        <w:tc>
          <w:tcPr>
            <w:tcW w:w="4500" w:type="dxa"/>
            <w:vAlign w:val="bottom"/>
            <w:tcBorders>
              <w:bottom w:val="single" w:sz="8" w:color="E7417A"/>
            </w:tcBorders>
            <w:gridSpan w:val="13"/>
          </w:tcPr>
          <w:p>
            <w:pPr>
              <w:jc w:val="right"/>
              <w:spacing w:after="0" w:line="243" w:lineRule="exact"/>
              <w:rPr>
                <w:sz w:val="20"/>
                <w:szCs w:val="20"/>
                <w:color w:val="auto"/>
              </w:rPr>
            </w:pPr>
            <w:r>
              <w:rPr>
                <w:rFonts w:ascii="Arial" w:cs="Arial" w:eastAsia="Arial" w:hAnsi="Arial"/>
                <w:sz w:val="14"/>
                <w:szCs w:val="14"/>
                <w:color w:val="auto"/>
              </w:rPr>
              <w:t>2,163,686</w:t>
            </w:r>
            <w:r>
              <w:rPr>
                <w:rFonts w:ascii="Arial" w:cs="Arial" w:eastAsia="Arial" w:hAnsi="Arial"/>
                <w:sz w:val="28"/>
                <w:szCs w:val="28"/>
                <w:color w:val="auto"/>
                <w:vertAlign w:val="subscript"/>
              </w:rPr>
              <w:t>​ ​ ​</w:t>
            </w:r>
            <w:r>
              <w:rPr>
                <w:rFonts w:ascii="Arial" w:cs="Arial" w:eastAsia="Arial" w:hAnsi="Arial"/>
                <w:sz w:val="14"/>
                <w:szCs w:val="14"/>
                <w:color w:val="auto"/>
              </w:rPr>
              <w:t>$ 1,472,252</w:t>
            </w:r>
            <w:r>
              <w:rPr>
                <w:rFonts w:ascii="Arial" w:cs="Arial" w:eastAsia="Arial" w:hAnsi="Arial"/>
                <w:sz w:val="28"/>
                <w:szCs w:val="28"/>
                <w:color w:val="auto"/>
                <w:vertAlign w:val="subscript"/>
              </w:rPr>
              <w:t>​ ​ ​</w:t>
            </w:r>
            <w:r>
              <w:rPr>
                <w:rFonts w:ascii="Arial" w:cs="Arial" w:eastAsia="Arial" w:hAnsi="Arial"/>
                <w:sz w:val="14"/>
                <w:szCs w:val="14"/>
                <w:color w:val="auto"/>
              </w:rPr>
              <w:t>$ 1,666,851</w:t>
            </w:r>
            <w:r>
              <w:rPr>
                <w:rFonts w:ascii="Arial" w:cs="Arial" w:eastAsia="Arial" w:hAnsi="Arial"/>
                <w:sz w:val="28"/>
                <w:szCs w:val="28"/>
                <w:color w:val="auto"/>
                <w:vertAlign w:val="subscript"/>
              </w:rPr>
              <w:t>​ ​ ​</w:t>
            </w:r>
            <w:r>
              <w:rPr>
                <w:rFonts w:ascii="Arial" w:cs="Arial" w:eastAsia="Arial" w:hAnsi="Arial"/>
                <w:sz w:val="14"/>
                <w:szCs w:val="14"/>
                <w:color w:val="auto"/>
              </w:rPr>
              <w:t>$ 1,759,789</w:t>
            </w:r>
            <w:r>
              <w:rPr>
                <w:rFonts w:ascii="Arial" w:cs="Arial" w:eastAsia="Arial" w:hAnsi="Arial"/>
                <w:sz w:val="28"/>
                <w:szCs w:val="28"/>
                <w:color w:val="auto"/>
                <w:vertAlign w:val="subscript"/>
              </w:rPr>
              <w:t>​ ​ ​</w:t>
            </w:r>
            <w:r>
              <w:rPr>
                <w:rFonts w:ascii="Arial" w:cs="Arial" w:eastAsia="Arial" w:hAnsi="Arial"/>
                <w:sz w:val="14"/>
                <w:szCs w:val="14"/>
                <w:color w:val="auto"/>
              </w:rPr>
              <w:t>$ 1,667,845</w:t>
            </w:r>
            <w:r>
              <w:rPr>
                <w:rFonts w:ascii="Arial" w:cs="Arial" w:eastAsia="Arial" w:hAnsi="Arial"/>
                <w:sz w:val="28"/>
                <w:szCs w:val="28"/>
                <w:color w:val="auto"/>
                <w:vertAlign w:val="subscript"/>
              </w:rPr>
              <w:t>​</w:t>
            </w:r>
          </w:p>
        </w:tc>
        <w:tc>
          <w:tcPr>
            <w:tcW w:w="60" w:type="dxa"/>
            <w:vAlign w:val="bottom"/>
            <w:tcBorders>
              <w:bottom w:val="single" w:sz="8" w:color="E7417A"/>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800" w:type="dxa"/>
            <w:vAlign w:val="bottom"/>
          </w:tcPr>
          <w:p>
            <w:pPr>
              <w:ind w:left="60"/>
              <w:spacing w:after="0"/>
              <w:rPr>
                <w:sz w:val="20"/>
                <w:szCs w:val="20"/>
                <w:color w:val="auto"/>
              </w:rPr>
            </w:pPr>
            <w:r>
              <w:rPr>
                <w:rFonts w:ascii="Arial" w:cs="Arial" w:eastAsia="Arial" w:hAnsi="Arial"/>
                <w:sz w:val="14"/>
                <w:szCs w:val="14"/>
                <w:color w:val="auto"/>
              </w:rPr>
              <w:t>Deduct Grant Date Fair Value of Stock Awards</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860" w:type="dxa"/>
            <w:vAlign w:val="bottom"/>
            <w:tcBorders>
              <w:bottom w:val="single" w:sz="8" w:color="E7417A"/>
            </w:tcBorders>
            <w:gridSpan w:val="2"/>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Granted in Fiscal Year</w:t>
            </w:r>
          </w:p>
        </w:tc>
        <w:tc>
          <w:tcPr>
            <w:tcW w:w="440" w:type="dxa"/>
            <w:vAlign w:val="bottom"/>
            <w:tcBorders>
              <w:bottom w:val="single" w:sz="8" w:color="E7417A"/>
            </w:tcBorders>
          </w:tcPr>
          <w:p>
            <w:pPr>
              <w:jc w:val="right"/>
              <w:spacing w:after="0" w:line="212"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1000" w:type="dxa"/>
            <w:vAlign w:val="bottom"/>
            <w:tcBorders>
              <w:bottom w:val="single" w:sz="8" w:color="E7417A"/>
            </w:tcBorders>
            <w:gridSpan w:val="2"/>
          </w:tcPr>
          <w:p>
            <w:pPr>
              <w:jc w:val="right"/>
              <w:ind w:right="8"/>
              <w:spacing w:after="0" w:line="212" w:lineRule="exact"/>
              <w:rPr>
                <w:sz w:val="20"/>
                <w:szCs w:val="20"/>
                <w:color w:val="auto"/>
              </w:rPr>
            </w:pPr>
            <w:r>
              <w:rPr>
                <w:rFonts w:ascii="Arial" w:cs="Arial" w:eastAsia="Arial" w:hAnsi="Arial"/>
                <w:sz w:val="13"/>
                <w:szCs w:val="13"/>
                <w:color w:val="auto"/>
              </w:rPr>
              <w:t>1,627,549</w:t>
            </w:r>
            <w:r>
              <w:rPr>
                <w:rFonts w:ascii="Arial" w:cs="Arial" w:eastAsia="Arial" w:hAnsi="Arial"/>
                <w:sz w:val="24"/>
                <w:szCs w:val="24"/>
                <w:color w:val="auto"/>
                <w:vertAlign w:val="subscript"/>
              </w:rPr>
              <w:t>​ ​ ​</w:t>
            </w:r>
            <w:r>
              <w:rPr>
                <w:rFonts w:ascii="Arial" w:cs="Arial" w:eastAsia="Arial" w:hAnsi="Arial"/>
                <w:sz w:val="13"/>
                <w:szCs w:val="13"/>
                <w:color w:val="auto"/>
              </w:rPr>
              <w:t>$</w:t>
            </w:r>
          </w:p>
        </w:tc>
        <w:tc>
          <w:tcPr>
            <w:tcW w:w="3500" w:type="dxa"/>
            <w:vAlign w:val="bottom"/>
            <w:tcBorders>
              <w:bottom w:val="single" w:sz="8" w:color="E7417A"/>
            </w:tcBorders>
            <w:gridSpan w:val="11"/>
          </w:tcPr>
          <w:p>
            <w:pPr>
              <w:jc w:val="right"/>
              <w:spacing w:after="0" w:line="212" w:lineRule="exact"/>
              <w:rPr>
                <w:sz w:val="20"/>
                <w:szCs w:val="20"/>
                <w:color w:val="auto"/>
              </w:rPr>
            </w:pPr>
            <w:r>
              <w:rPr>
                <w:rFonts w:ascii="Arial" w:cs="Arial" w:eastAsia="Arial" w:hAnsi="Arial"/>
                <w:sz w:val="13"/>
                <w:szCs w:val="13"/>
                <w:color w:val="auto"/>
              </w:rPr>
              <w:t>884,203</w:t>
            </w:r>
            <w:r>
              <w:rPr>
                <w:rFonts w:ascii="Arial" w:cs="Arial" w:eastAsia="Arial" w:hAnsi="Arial"/>
                <w:sz w:val="24"/>
                <w:szCs w:val="24"/>
                <w:color w:val="auto"/>
                <w:vertAlign w:val="subscript"/>
              </w:rPr>
              <w:t>​ ​ ​</w:t>
            </w:r>
            <w:r>
              <w:rPr>
                <w:rFonts w:ascii="Arial" w:cs="Arial" w:eastAsia="Arial" w:hAnsi="Arial"/>
                <w:sz w:val="13"/>
                <w:szCs w:val="13"/>
                <w:color w:val="auto"/>
              </w:rPr>
              <w:t>$ 1,154,753</w:t>
            </w:r>
            <w:r>
              <w:rPr>
                <w:rFonts w:ascii="Arial" w:cs="Arial" w:eastAsia="Arial" w:hAnsi="Arial"/>
                <w:sz w:val="24"/>
                <w:szCs w:val="24"/>
                <w:color w:val="auto"/>
                <w:vertAlign w:val="subscript"/>
              </w:rPr>
              <w:t>​ ​ ​</w:t>
            </w:r>
            <w:r>
              <w:rPr>
                <w:rFonts w:ascii="Arial" w:cs="Arial" w:eastAsia="Arial" w:hAnsi="Arial"/>
                <w:sz w:val="13"/>
                <w:szCs w:val="13"/>
                <w:color w:val="auto"/>
              </w:rPr>
              <w:t>$ 1,264,365</w:t>
            </w:r>
            <w:r>
              <w:rPr>
                <w:rFonts w:ascii="Arial" w:cs="Arial" w:eastAsia="Arial" w:hAnsi="Arial"/>
                <w:sz w:val="24"/>
                <w:szCs w:val="24"/>
                <w:color w:val="auto"/>
                <w:vertAlign w:val="subscript"/>
              </w:rPr>
              <w:t>​ ​ ​</w:t>
            </w:r>
            <w:r>
              <w:rPr>
                <w:rFonts w:ascii="Arial" w:cs="Arial" w:eastAsia="Arial" w:hAnsi="Arial"/>
                <w:sz w:val="13"/>
                <w:szCs w:val="13"/>
                <w:color w:val="auto"/>
              </w:rPr>
              <w:t>$ 1,145,961</w:t>
            </w:r>
            <w:r>
              <w:rPr>
                <w:rFonts w:ascii="Arial" w:cs="Arial" w:eastAsia="Arial" w:hAnsi="Arial"/>
                <w:sz w:val="24"/>
                <w:szCs w:val="24"/>
                <w:color w:val="auto"/>
                <w:vertAlign w:val="subscript"/>
              </w:rPr>
              <w:t>​</w:t>
            </w:r>
          </w:p>
        </w:tc>
        <w:tc>
          <w:tcPr>
            <w:tcW w:w="60" w:type="dxa"/>
            <w:vAlign w:val="bottom"/>
            <w:tcBorders>
              <w:bottom w:val="single" w:sz="8" w:color="E7417A"/>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800" w:type="dxa"/>
            <w:vAlign w:val="bottom"/>
          </w:tcPr>
          <w:p>
            <w:pPr>
              <w:ind w:left="60"/>
              <w:spacing w:after="0"/>
              <w:rPr>
                <w:sz w:val="20"/>
                <w:szCs w:val="20"/>
                <w:color w:val="auto"/>
              </w:rPr>
            </w:pPr>
            <w:r>
              <w:rPr>
                <w:rFonts w:ascii="Arial" w:cs="Arial" w:eastAsia="Arial" w:hAnsi="Arial"/>
                <w:sz w:val="14"/>
                <w:szCs w:val="14"/>
                <w:color w:val="auto"/>
              </w:rPr>
              <w:t>Add Fair Value at Fiscal Year End of Outstanding</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860" w:type="dxa"/>
            <w:vAlign w:val="bottom"/>
            <w:tcBorders>
              <w:bottom w:val="single" w:sz="8" w:color="E7417A"/>
            </w:tcBorders>
            <w:gridSpan w:val="2"/>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and Unvested Stock Awards Granted in Fiscal Year</w:t>
            </w:r>
          </w:p>
        </w:tc>
        <w:tc>
          <w:tcPr>
            <w:tcW w:w="440" w:type="dxa"/>
            <w:vAlign w:val="bottom"/>
            <w:tcBorders>
              <w:bottom w:val="single" w:sz="8" w:color="E7417A"/>
            </w:tcBorders>
          </w:tcPr>
          <w:p>
            <w:pPr>
              <w:jc w:val="right"/>
              <w:spacing w:after="0" w:line="212"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3760" w:type="dxa"/>
            <w:vAlign w:val="bottom"/>
            <w:tcBorders>
              <w:bottom w:val="single" w:sz="8" w:color="E7417A"/>
            </w:tcBorders>
            <w:gridSpan w:val="10"/>
          </w:tcPr>
          <w:p>
            <w:pPr>
              <w:jc w:val="right"/>
              <w:spacing w:after="0" w:line="212" w:lineRule="exact"/>
              <w:rPr>
                <w:sz w:val="20"/>
                <w:szCs w:val="20"/>
                <w:color w:val="auto"/>
              </w:rPr>
            </w:pPr>
            <w:r>
              <w:rPr>
                <w:rFonts w:ascii="Arial" w:cs="Arial" w:eastAsia="Arial" w:hAnsi="Arial"/>
                <w:sz w:val="13"/>
                <w:szCs w:val="13"/>
                <w:color w:val="auto"/>
              </w:rPr>
              <w:t>2,322,789</w:t>
            </w:r>
            <w:r>
              <w:rPr>
                <w:rFonts w:ascii="Arial" w:cs="Arial" w:eastAsia="Arial" w:hAnsi="Arial"/>
                <w:sz w:val="24"/>
                <w:szCs w:val="24"/>
                <w:color w:val="auto"/>
                <w:vertAlign w:val="subscript"/>
              </w:rPr>
              <w:t>​ ​ ​</w:t>
            </w:r>
            <w:r>
              <w:rPr>
                <w:rFonts w:ascii="Arial" w:cs="Arial" w:eastAsia="Arial" w:hAnsi="Arial"/>
                <w:sz w:val="13"/>
                <w:szCs w:val="13"/>
                <w:color w:val="auto"/>
              </w:rPr>
              <w:t>$ 1,638,074</w:t>
            </w:r>
            <w:r>
              <w:rPr>
                <w:rFonts w:ascii="Arial" w:cs="Arial" w:eastAsia="Arial" w:hAnsi="Arial"/>
                <w:sz w:val="24"/>
                <w:szCs w:val="24"/>
                <w:color w:val="auto"/>
                <w:vertAlign w:val="subscript"/>
              </w:rPr>
              <w:t>​ ​ ​</w:t>
            </w:r>
            <w:r>
              <w:rPr>
                <w:rFonts w:ascii="Arial" w:cs="Arial" w:eastAsia="Arial" w:hAnsi="Arial"/>
                <w:sz w:val="13"/>
                <w:szCs w:val="13"/>
                <w:color w:val="auto"/>
              </w:rPr>
              <w:t>$ 1,214,357</w:t>
            </w:r>
            <w:r>
              <w:rPr>
                <w:rFonts w:ascii="Arial" w:cs="Arial" w:eastAsia="Arial" w:hAnsi="Arial"/>
                <w:sz w:val="24"/>
                <w:szCs w:val="24"/>
                <w:color w:val="auto"/>
                <w:vertAlign w:val="subscript"/>
              </w:rPr>
              <w:t>​ ​ ​</w:t>
            </w:r>
            <w:r>
              <w:rPr>
                <w:rFonts w:ascii="Arial" w:cs="Arial" w:eastAsia="Arial" w:hAnsi="Arial"/>
                <w:sz w:val="13"/>
                <w:szCs w:val="13"/>
                <w:color w:val="auto"/>
              </w:rPr>
              <w:t>$ 1,101,631</w:t>
            </w:r>
            <w:r>
              <w:rPr>
                <w:rFonts w:ascii="Arial" w:cs="Arial" w:eastAsia="Arial" w:hAnsi="Arial"/>
                <w:sz w:val="24"/>
                <w:szCs w:val="24"/>
                <w:color w:val="auto"/>
                <w:vertAlign w:val="subscript"/>
              </w:rPr>
              <w:t>​ ​ ​</w:t>
            </w:r>
            <w:r>
              <w:rPr>
                <w:rFonts w:ascii="Arial" w:cs="Arial" w:eastAsia="Arial" w:hAnsi="Arial"/>
                <w:sz w:val="13"/>
                <w:szCs w:val="13"/>
                <w:color w:val="auto"/>
              </w:rPr>
              <w:t>$</w:t>
            </w:r>
          </w:p>
        </w:tc>
        <w:tc>
          <w:tcPr>
            <w:tcW w:w="80" w:type="dxa"/>
            <w:vAlign w:val="bottom"/>
            <w:tcBorders>
              <w:bottom w:val="single" w:sz="8" w:color="E7417A"/>
            </w:tcBorders>
          </w:tcPr>
          <w:p>
            <w:pPr>
              <w:spacing w:after="0"/>
              <w:rPr>
                <w:sz w:val="18"/>
                <w:szCs w:val="18"/>
                <w:color w:val="auto"/>
              </w:rPr>
            </w:pPr>
          </w:p>
        </w:tc>
        <w:tc>
          <w:tcPr>
            <w:tcW w:w="66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816,603</w:t>
            </w:r>
            <w:r>
              <w:rPr>
                <w:rFonts w:ascii="Arial" w:cs="Arial" w:eastAsia="Arial" w:hAnsi="Arial"/>
                <w:sz w:val="24"/>
                <w:szCs w:val="24"/>
                <w:color w:val="auto"/>
                <w:vertAlign w:val="subscript"/>
              </w:rPr>
              <w:t>​</w:t>
            </w:r>
          </w:p>
        </w:tc>
        <w:tc>
          <w:tcPr>
            <w:tcW w:w="60" w:type="dxa"/>
            <w:vAlign w:val="bottom"/>
            <w:tcBorders>
              <w:bottom w:val="single" w:sz="8" w:color="E7417A"/>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800" w:type="dxa"/>
            <w:vAlign w:val="bottom"/>
          </w:tcPr>
          <w:p>
            <w:pPr>
              <w:ind w:left="60"/>
              <w:spacing w:after="0"/>
              <w:rPr>
                <w:sz w:val="20"/>
                <w:szCs w:val="20"/>
                <w:color w:val="auto"/>
              </w:rPr>
            </w:pPr>
            <w:r>
              <w:rPr>
                <w:rFonts w:ascii="Arial" w:cs="Arial" w:eastAsia="Arial" w:hAnsi="Arial"/>
                <w:sz w:val="14"/>
                <w:szCs w:val="14"/>
                <w:color w:val="auto"/>
              </w:rPr>
              <w:t>Add Change in Fair Value of Outstanding and</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3800" w:type="dxa"/>
            <w:vAlign w:val="bottom"/>
          </w:tcPr>
          <w:p>
            <w:pPr>
              <w:ind w:left="60"/>
              <w:spacing w:after="0" w:line="158" w:lineRule="exact"/>
              <w:rPr>
                <w:sz w:val="20"/>
                <w:szCs w:val="20"/>
                <w:color w:val="auto"/>
              </w:rPr>
            </w:pPr>
            <w:r>
              <w:rPr>
                <w:rFonts w:ascii="Arial" w:cs="Arial" w:eastAsia="Arial" w:hAnsi="Arial"/>
                <w:sz w:val="14"/>
                <w:szCs w:val="14"/>
                <w:color w:val="auto"/>
              </w:rPr>
              <w:t>Unvested Stock Awards Granted in Prior Fiscal Years</w:t>
            </w: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(826,216)</w:t>
            </w:r>
          </w:p>
        </w:tc>
        <w:tc>
          <w:tcPr>
            <w:tcW w:w="300" w:type="dxa"/>
            <w:vAlign w:val="bottom"/>
          </w:tcPr>
          <w:p>
            <w:pPr>
              <w:jc w:val="right"/>
              <w:ind w:right="8"/>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(181,847)</w:t>
            </w:r>
          </w:p>
        </w:tc>
        <w:tc>
          <w:tcPr>
            <w:tcW w:w="220" w:type="dxa"/>
            <w:vAlign w:val="bottom"/>
          </w:tcPr>
          <w:p>
            <w:pPr>
              <w:spacing w:after="0"/>
              <w:rPr>
                <w:sz w:val="13"/>
                <w:szCs w:val="13"/>
                <w:color w:val="auto"/>
              </w:rPr>
            </w:pPr>
          </w:p>
        </w:tc>
        <w:tc>
          <w:tcPr>
            <w:tcW w:w="8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46,199</w:t>
            </w:r>
          </w:p>
        </w:tc>
        <w:tc>
          <w:tcPr>
            <w:tcW w:w="340" w:type="dxa"/>
            <w:vAlign w:val="bottom"/>
          </w:tcPr>
          <w:p>
            <w:pPr>
              <w:jc w:val="right"/>
              <w:ind w:right="26"/>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74"/>
              <w:spacing w:after="0" w:line="158" w:lineRule="exact"/>
              <w:rPr>
                <w:sz w:val="20"/>
                <w:szCs w:val="20"/>
                <w:color w:val="auto"/>
              </w:rPr>
            </w:pPr>
            <w:r>
              <w:rPr>
                <w:rFonts w:ascii="Arial" w:cs="Arial" w:eastAsia="Arial" w:hAnsi="Arial"/>
                <w:sz w:val="14"/>
                <w:szCs w:val="14"/>
                <w:color w:val="auto"/>
              </w:rPr>
              <w:t>(869,989)</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(84,956)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60" w:type="dxa"/>
            <w:vAlign w:val="bottom"/>
            <w:tcBorders>
              <w:bottom w:val="single" w:sz="8" w:color="E7417A"/>
            </w:tcBorders>
            <w:vMerge w:val="continue"/>
          </w:tcPr>
          <w:p>
            <w:pPr>
              <w:spacing w:after="0"/>
              <w:rPr>
                <w:sz w:val="4"/>
                <w:szCs w:val="4"/>
                <w:color w:val="auto"/>
              </w:rPr>
            </w:pPr>
          </w:p>
        </w:tc>
        <w:tc>
          <w:tcPr>
            <w:tcW w:w="3800" w:type="dxa"/>
            <w:vAlign w:val="bottom"/>
            <w:tcBorders>
              <w:bottom w:val="single" w:sz="8" w:color="E7417A"/>
            </w:tcBorders>
          </w:tcPr>
          <w:p>
            <w:pPr>
              <w:spacing w:after="0"/>
              <w:rPr>
                <w:sz w:val="4"/>
                <w:szCs w:val="4"/>
                <w:color w:val="auto"/>
              </w:rPr>
            </w:pPr>
          </w:p>
        </w:tc>
        <w:tc>
          <w:tcPr>
            <w:tcW w:w="440" w:type="dxa"/>
            <w:vAlign w:val="bottom"/>
            <w:tcBorders>
              <w:bottom w:val="single" w:sz="8" w:color="E7417A"/>
            </w:tcBorders>
          </w:tcPr>
          <w:p>
            <w:pPr>
              <w:jc w:val="center"/>
              <w:ind w:left="1"/>
              <w:spacing w:after="0" w:line="54" w:lineRule="exact"/>
              <w:rPr>
                <w:sz w:val="20"/>
                <w:szCs w:val="20"/>
                <w:color w:val="auto"/>
              </w:rPr>
            </w:pPr>
            <w:r>
              <w:rPr>
                <w:rFonts w:ascii="Arial" w:cs="Arial" w:eastAsia="Arial" w:hAnsi="Arial"/>
                <w:sz w:val="6"/>
                <w:szCs w:val="6"/>
                <w:color w:val="auto"/>
              </w:rPr>
              <w:t>​ ​ ​</w:t>
            </w:r>
          </w:p>
        </w:tc>
        <w:tc>
          <w:tcPr>
            <w:tcW w:w="1000" w:type="dxa"/>
            <w:vAlign w:val="bottom"/>
            <w:tcBorders>
              <w:bottom w:val="single" w:sz="8" w:color="E7417A"/>
            </w:tcBorders>
            <w:gridSpan w:val="2"/>
          </w:tcPr>
          <w:p>
            <w:pPr>
              <w:jc w:val="center"/>
              <w:ind w:left="461"/>
              <w:spacing w:after="0" w:line="54" w:lineRule="exact"/>
              <w:rPr>
                <w:sz w:val="20"/>
                <w:szCs w:val="20"/>
                <w:color w:val="auto"/>
              </w:rPr>
            </w:pPr>
            <w:r>
              <w:rPr>
                <w:rFonts w:ascii="Arial" w:cs="Arial" w:eastAsia="Arial" w:hAnsi="Arial"/>
                <w:sz w:val="6"/>
                <w:szCs w:val="6"/>
                <w:color w:val="auto"/>
              </w:rPr>
              <w:t>​ ​ ​</w:t>
            </w:r>
          </w:p>
        </w:tc>
        <w:tc>
          <w:tcPr>
            <w:tcW w:w="880" w:type="dxa"/>
            <w:vAlign w:val="bottom"/>
            <w:tcBorders>
              <w:bottom w:val="single" w:sz="8" w:color="E7417A"/>
            </w:tcBorders>
            <w:gridSpan w:val="2"/>
          </w:tcPr>
          <w:p>
            <w:pPr>
              <w:jc w:val="center"/>
              <w:ind w:left="503"/>
              <w:spacing w:after="0" w:line="54" w:lineRule="exact"/>
              <w:rPr>
                <w:sz w:val="20"/>
                <w:szCs w:val="20"/>
                <w:color w:val="auto"/>
              </w:rPr>
            </w:pPr>
            <w:r>
              <w:rPr>
                <w:rFonts w:ascii="Arial" w:cs="Arial" w:eastAsia="Arial" w:hAnsi="Arial"/>
                <w:sz w:val="6"/>
                <w:szCs w:val="6"/>
                <w:color w:val="auto"/>
              </w:rPr>
              <w:t>​ ​ ​</w:t>
            </w:r>
          </w:p>
        </w:tc>
        <w:tc>
          <w:tcPr>
            <w:tcW w:w="80" w:type="dxa"/>
            <w:vAlign w:val="bottom"/>
            <w:tcBorders>
              <w:bottom w:val="single" w:sz="8" w:color="E7417A"/>
            </w:tcBorders>
          </w:tcPr>
          <w:p>
            <w:pPr>
              <w:spacing w:after="0"/>
              <w:rPr>
                <w:sz w:val="4"/>
                <w:szCs w:val="4"/>
                <w:color w:val="auto"/>
              </w:rPr>
            </w:pPr>
          </w:p>
        </w:tc>
        <w:tc>
          <w:tcPr>
            <w:tcW w:w="600" w:type="dxa"/>
            <w:vAlign w:val="bottom"/>
            <w:tcBorders>
              <w:bottom w:val="single" w:sz="8" w:color="E7417A"/>
            </w:tcBorders>
          </w:tcPr>
          <w:p>
            <w:pPr>
              <w:spacing w:after="0"/>
              <w:rPr>
                <w:sz w:val="4"/>
                <w:szCs w:val="4"/>
                <w:color w:val="auto"/>
              </w:rPr>
            </w:pPr>
          </w:p>
        </w:tc>
        <w:tc>
          <w:tcPr>
            <w:tcW w:w="340" w:type="dxa"/>
            <w:vAlign w:val="bottom"/>
            <w:tcBorders>
              <w:bottom w:val="single" w:sz="8" w:color="E7417A"/>
            </w:tcBorders>
          </w:tcPr>
          <w:p>
            <w:pPr>
              <w:jc w:val="center"/>
              <w:ind w:right="86"/>
              <w:spacing w:after="0" w:line="54" w:lineRule="exact"/>
              <w:rPr>
                <w:sz w:val="20"/>
                <w:szCs w:val="20"/>
                <w:color w:val="auto"/>
              </w:rPr>
            </w:pPr>
            <w:r>
              <w:rPr>
                <w:rFonts w:ascii="Arial" w:cs="Arial" w:eastAsia="Arial" w:hAnsi="Arial"/>
                <w:sz w:val="6"/>
                <w:szCs w:val="6"/>
                <w:color w:val="auto"/>
              </w:rPr>
              <w:t>​ ​ ​</w:t>
            </w:r>
          </w:p>
        </w:tc>
        <w:tc>
          <w:tcPr>
            <w:tcW w:w="420" w:type="dxa"/>
            <w:vAlign w:val="bottom"/>
            <w:tcBorders>
              <w:bottom w:val="single" w:sz="8" w:color="E7417A"/>
            </w:tcBorders>
          </w:tcPr>
          <w:p>
            <w:pPr>
              <w:spacing w:after="0"/>
              <w:rPr>
                <w:sz w:val="4"/>
                <w:szCs w:val="4"/>
                <w:color w:val="auto"/>
              </w:rPr>
            </w:pPr>
          </w:p>
        </w:tc>
        <w:tc>
          <w:tcPr>
            <w:tcW w:w="440" w:type="dxa"/>
            <w:vAlign w:val="bottom"/>
            <w:tcBorders>
              <w:bottom w:val="single" w:sz="8" w:color="E7417A"/>
            </w:tcBorders>
            <w:gridSpan w:val="2"/>
          </w:tcPr>
          <w:p>
            <w:pPr>
              <w:jc w:val="center"/>
              <w:ind w:left="74"/>
              <w:spacing w:after="0" w:line="54" w:lineRule="exact"/>
              <w:rPr>
                <w:sz w:val="20"/>
                <w:szCs w:val="20"/>
                <w:color w:val="auto"/>
              </w:rPr>
            </w:pPr>
            <w:r>
              <w:rPr>
                <w:rFonts w:ascii="Arial" w:cs="Arial" w:eastAsia="Arial" w:hAnsi="Arial"/>
                <w:sz w:val="6"/>
                <w:szCs w:val="6"/>
                <w:color w:val="auto"/>
              </w:rPr>
              <w:t>​ ​ ​</w:t>
            </w:r>
          </w:p>
        </w:tc>
        <w:tc>
          <w:tcPr>
            <w:tcW w:w="80" w:type="dxa"/>
            <w:vAlign w:val="bottom"/>
            <w:tcBorders>
              <w:bottom w:val="single" w:sz="8" w:color="E7417A"/>
            </w:tcBorders>
          </w:tcPr>
          <w:p>
            <w:pPr>
              <w:spacing w:after="0"/>
              <w:rPr>
                <w:sz w:val="4"/>
                <w:szCs w:val="4"/>
                <w:color w:val="auto"/>
              </w:rPr>
            </w:pPr>
          </w:p>
        </w:tc>
        <w:tc>
          <w:tcPr>
            <w:tcW w:w="620" w:type="dxa"/>
            <w:vAlign w:val="bottom"/>
            <w:tcBorders>
              <w:bottom w:val="single" w:sz="8" w:color="E7417A"/>
            </w:tcBorders>
          </w:tcPr>
          <w:p>
            <w:pPr>
              <w:spacing w:after="0"/>
              <w:rPr>
                <w:sz w:val="4"/>
                <w:szCs w:val="4"/>
                <w:color w:val="auto"/>
              </w:rPr>
            </w:pPr>
          </w:p>
        </w:tc>
        <w:tc>
          <w:tcPr>
            <w:tcW w:w="40" w:type="dxa"/>
            <w:vAlign w:val="bottom"/>
            <w:tcBorders>
              <w:bottom w:val="single" w:sz="8" w:color="E7417A"/>
            </w:tcBorders>
          </w:tcPr>
          <w:p>
            <w:pPr>
              <w:jc w:val="right"/>
              <w:spacing w:after="0" w:line="54" w:lineRule="exact"/>
              <w:rPr>
                <w:sz w:val="20"/>
                <w:szCs w:val="20"/>
                <w:color w:val="auto"/>
              </w:rPr>
            </w:pPr>
            <w:r>
              <w:rPr>
                <w:rFonts w:ascii="Arial" w:cs="Arial" w:eastAsia="Arial" w:hAnsi="Arial"/>
                <w:sz w:val="6"/>
                <w:szCs w:val="6"/>
                <w:color w:val="auto"/>
              </w:rPr>
              <w:t>​</w:t>
            </w:r>
          </w:p>
        </w:tc>
        <w:tc>
          <w:tcPr>
            <w:tcW w:w="60" w:type="dxa"/>
            <w:vAlign w:val="bottom"/>
            <w:tcBorders>
              <w:bottom w:val="single" w:sz="8" w:color="E7417A"/>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800" w:type="dxa"/>
            <w:vAlign w:val="bottom"/>
          </w:tcPr>
          <w:p>
            <w:pPr>
              <w:ind w:left="60"/>
              <w:spacing w:after="0"/>
              <w:rPr>
                <w:sz w:val="20"/>
                <w:szCs w:val="20"/>
                <w:color w:val="auto"/>
              </w:rPr>
            </w:pPr>
            <w:r>
              <w:rPr>
                <w:rFonts w:ascii="Arial" w:cs="Arial" w:eastAsia="Arial" w:hAnsi="Arial"/>
                <w:sz w:val="14"/>
                <w:szCs w:val="14"/>
                <w:color w:val="auto"/>
              </w:rPr>
              <w:t>Add Fair Value at Vesting of Stock Awards Granted in</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860" w:type="dxa"/>
            <w:vAlign w:val="bottom"/>
            <w:tcBorders>
              <w:bottom w:val="single" w:sz="8" w:color="E7417A"/>
            </w:tcBorders>
            <w:gridSpan w:val="2"/>
          </w:tcPr>
          <w:p>
            <w:pPr>
              <w:spacing w:after="0" w:line="212"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3"/>
                <w:szCs w:val="13"/>
                <w:color w:val="auto"/>
              </w:rPr>
              <w:t xml:space="preserve"> Fiscal Year that Vested During Fiscal Year</w:t>
            </w:r>
          </w:p>
        </w:tc>
        <w:tc>
          <w:tcPr>
            <w:tcW w:w="440" w:type="dxa"/>
            <w:vAlign w:val="bottom"/>
            <w:tcBorders>
              <w:bottom w:val="single" w:sz="8" w:color="E7417A"/>
            </w:tcBorders>
          </w:tcPr>
          <w:p>
            <w:pPr>
              <w:jc w:val="right"/>
              <w:spacing w:after="0" w:line="212" w:lineRule="exact"/>
              <w:rPr>
                <w:sz w:val="20"/>
                <w:szCs w:val="20"/>
                <w:color w:val="auto"/>
              </w:rPr>
            </w:pPr>
            <w:r>
              <w:rPr>
                <w:rFonts w:ascii="Arial" w:cs="Arial" w:eastAsia="Arial" w:hAnsi="Arial"/>
                <w:sz w:val="13"/>
                <w:szCs w:val="13"/>
                <w:color w:val="auto"/>
              </w:rPr>
              <w:t>​ ​ ​</w:t>
            </w:r>
            <w:r>
              <w:rPr>
                <w:rFonts w:ascii="Arial" w:cs="Arial" w:eastAsia="Arial" w:hAnsi="Arial"/>
                <w:sz w:val="24"/>
                <w:szCs w:val="24"/>
                <w:color w:val="auto"/>
                <w:vertAlign w:val="superscript"/>
              </w:rPr>
              <w:t>$</w:t>
            </w:r>
          </w:p>
        </w:tc>
        <w:tc>
          <w:tcPr>
            <w:tcW w:w="100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60,568</w:t>
            </w:r>
            <w:r>
              <w:rPr>
                <w:rFonts w:ascii="Arial" w:cs="Arial" w:eastAsia="Arial" w:hAnsi="Arial"/>
                <w:sz w:val="24"/>
                <w:szCs w:val="24"/>
                <w:color w:val="auto"/>
                <w:vertAlign w:val="subscript"/>
              </w:rPr>
              <w:t>​ ​ ​</w:t>
            </w:r>
            <w:r>
              <w:rPr>
                <w:rFonts w:ascii="Arial" w:cs="Arial" w:eastAsia="Arial" w:hAnsi="Arial"/>
                <w:sz w:val="13"/>
                <w:szCs w:val="13"/>
                <w:color w:val="auto"/>
              </w:rPr>
              <w:t xml:space="preserve"> ​</w:t>
            </w:r>
          </w:p>
        </w:tc>
        <w:tc>
          <w:tcPr>
            <w:tcW w:w="960" w:type="dxa"/>
            <w:vAlign w:val="bottom"/>
            <w:tcBorders>
              <w:bottom w:val="single" w:sz="8" w:color="E7417A"/>
            </w:tcBorders>
            <w:gridSpan w:val="3"/>
          </w:tcPr>
          <w:p>
            <w:pPr>
              <w:jc w:val="right"/>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 ​ </w:t>
            </w:r>
            <w:r>
              <w:rPr>
                <w:rFonts w:ascii="Arial" w:cs="Arial" w:eastAsia="Arial" w:hAnsi="Arial"/>
                <w:sz w:val="24"/>
                <w:szCs w:val="24"/>
                <w:color w:val="auto"/>
                <w:vertAlign w:val="superscript"/>
              </w:rPr>
              <w:t>​</w:t>
            </w:r>
          </w:p>
        </w:tc>
        <w:tc>
          <w:tcPr>
            <w:tcW w:w="94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 ​ </w:t>
            </w:r>
            <w:r>
              <w:rPr>
                <w:rFonts w:ascii="Arial" w:cs="Arial" w:eastAsia="Arial" w:hAnsi="Arial"/>
                <w:sz w:val="24"/>
                <w:szCs w:val="24"/>
                <w:color w:val="auto"/>
                <w:vertAlign w:val="superscript"/>
              </w:rPr>
              <w:t>​</w:t>
            </w:r>
          </w:p>
        </w:tc>
        <w:tc>
          <w:tcPr>
            <w:tcW w:w="420" w:type="dxa"/>
            <w:vAlign w:val="bottom"/>
            <w:tcBorders>
              <w:bottom w:val="single" w:sz="8" w:color="E7417A"/>
            </w:tcBorders>
          </w:tcPr>
          <w:p>
            <w:pPr>
              <w:spacing w:after="0"/>
              <w:rPr>
                <w:sz w:val="18"/>
                <w:szCs w:val="18"/>
                <w:color w:val="auto"/>
              </w:rPr>
            </w:pPr>
          </w:p>
        </w:tc>
        <w:tc>
          <w:tcPr>
            <w:tcW w:w="520" w:type="dxa"/>
            <w:vAlign w:val="bottom"/>
            <w:tcBorders>
              <w:bottom w:val="single" w:sz="8" w:color="E7417A"/>
            </w:tcBorders>
            <w:gridSpan w:val="3"/>
          </w:tcPr>
          <w:p>
            <w:pPr>
              <w:jc w:val="right"/>
              <w:spacing w:after="0" w:line="212"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3"/>
                <w:szCs w:val="13"/>
                <w:color w:val="auto"/>
              </w:rPr>
              <w:t xml:space="preserve">​ ​ ​ </w:t>
            </w:r>
            <w:r>
              <w:rPr>
                <w:rFonts w:ascii="Arial" w:cs="Arial" w:eastAsia="Arial" w:hAnsi="Arial"/>
                <w:sz w:val="24"/>
                <w:szCs w:val="24"/>
                <w:color w:val="auto"/>
                <w:vertAlign w:val="superscript"/>
              </w:rPr>
              <w:t>​</w:t>
            </w:r>
          </w:p>
        </w:tc>
        <w:tc>
          <w:tcPr>
            <w:tcW w:w="660" w:type="dxa"/>
            <w:vAlign w:val="bottom"/>
            <w:tcBorders>
              <w:bottom w:val="single" w:sz="8" w:color="E7417A"/>
            </w:tcBorders>
            <w:gridSpan w:val="2"/>
          </w:tcPr>
          <w:p>
            <w:pPr>
              <w:jc w:val="right"/>
              <w:spacing w:after="0" w:line="212" w:lineRule="exact"/>
              <w:rPr>
                <w:sz w:val="20"/>
                <w:szCs w:val="20"/>
                <w:color w:val="auto"/>
              </w:rPr>
            </w:pPr>
            <w:r>
              <w:rPr>
                <w:rFonts w:ascii="Arial" w:cs="Arial" w:eastAsia="Arial" w:hAnsi="Arial"/>
                <w:sz w:val="13"/>
                <w:szCs w:val="13"/>
                <w:color w:val="auto"/>
              </w:rPr>
              <w:t>—</w:t>
            </w:r>
            <w:r>
              <w:rPr>
                <w:rFonts w:ascii="Arial" w:cs="Arial" w:eastAsia="Arial" w:hAnsi="Arial"/>
                <w:sz w:val="24"/>
                <w:szCs w:val="24"/>
                <w:color w:val="auto"/>
                <w:vertAlign w:val="subscript"/>
              </w:rPr>
              <w:t>​</w:t>
            </w:r>
          </w:p>
        </w:tc>
        <w:tc>
          <w:tcPr>
            <w:tcW w:w="60" w:type="dxa"/>
            <w:vAlign w:val="bottom"/>
            <w:tcBorders>
              <w:bottom w:val="single" w:sz="8" w:color="E7417A"/>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800" w:type="dxa"/>
            <w:vAlign w:val="bottom"/>
          </w:tcPr>
          <w:p>
            <w:pPr>
              <w:ind w:left="60"/>
              <w:spacing w:after="0"/>
              <w:rPr>
                <w:sz w:val="20"/>
                <w:szCs w:val="20"/>
                <w:color w:val="auto"/>
              </w:rPr>
            </w:pPr>
            <w:r>
              <w:rPr>
                <w:rFonts w:ascii="Arial" w:cs="Arial" w:eastAsia="Arial" w:hAnsi="Arial"/>
                <w:sz w:val="14"/>
                <w:szCs w:val="14"/>
                <w:color w:val="auto"/>
              </w:rPr>
              <w:t>Add Change in Fair Value as of Vesting Date of Stock</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800" w:type="dxa"/>
            <w:vAlign w:val="bottom"/>
          </w:tcPr>
          <w:p>
            <w:pPr>
              <w:ind w:left="60"/>
              <w:spacing w:after="0"/>
              <w:rPr>
                <w:sz w:val="20"/>
                <w:szCs w:val="20"/>
                <w:color w:val="auto"/>
              </w:rPr>
            </w:pPr>
            <w:r>
              <w:rPr>
                <w:rFonts w:ascii="Arial" w:cs="Arial" w:eastAsia="Arial" w:hAnsi="Arial"/>
                <w:sz w:val="14"/>
                <w:szCs w:val="14"/>
                <w:color w:val="auto"/>
              </w:rPr>
              <w:t>Awards Granted in Prior Fiscal Years for which</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3800" w:type="dxa"/>
            <w:vAlign w:val="bottom"/>
          </w:tcPr>
          <w:p>
            <w:pPr>
              <w:ind w:left="60"/>
              <w:spacing w:after="0"/>
              <w:rPr>
                <w:sz w:val="20"/>
                <w:szCs w:val="20"/>
                <w:color w:val="auto"/>
              </w:rPr>
            </w:pPr>
            <w:r>
              <w:rPr>
                <w:rFonts w:ascii="Arial" w:cs="Arial" w:eastAsia="Arial" w:hAnsi="Arial"/>
                <w:sz w:val="14"/>
                <w:szCs w:val="14"/>
                <w:color w:val="auto"/>
              </w:rPr>
              <w:t>Applicable Vesting Conditions were Satisfied During</w:t>
            </w: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3800" w:type="dxa"/>
            <w:vAlign w:val="bottom"/>
          </w:tcPr>
          <w:p>
            <w:pPr>
              <w:ind w:left="60"/>
              <w:spacing w:after="0" w:line="158" w:lineRule="exact"/>
              <w:rPr>
                <w:sz w:val="20"/>
                <w:szCs w:val="20"/>
                <w:color w:val="auto"/>
              </w:rPr>
            </w:pPr>
            <w:r>
              <w:rPr>
                <w:rFonts w:ascii="Arial" w:cs="Arial" w:eastAsia="Arial" w:hAnsi="Arial"/>
                <w:sz w:val="14"/>
                <w:szCs w:val="14"/>
                <w:color w:val="auto"/>
              </w:rPr>
              <w:t>Fiscal Year</w:t>
            </w:r>
          </w:p>
        </w:tc>
        <w:tc>
          <w:tcPr>
            <w:tcW w:w="44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58" w:lineRule="exact"/>
              <w:rPr>
                <w:sz w:val="20"/>
                <w:szCs w:val="20"/>
                <w:color w:val="auto"/>
              </w:rPr>
            </w:pPr>
            <w:r>
              <w:rPr>
                <w:rFonts w:ascii="Arial" w:cs="Arial" w:eastAsia="Arial" w:hAnsi="Arial"/>
                <w:sz w:val="14"/>
                <w:szCs w:val="14"/>
                <w:color w:val="auto"/>
              </w:rPr>
              <w:t>(86,014)</w:t>
            </w:r>
          </w:p>
        </w:tc>
        <w:tc>
          <w:tcPr>
            <w:tcW w:w="300" w:type="dxa"/>
            <w:vAlign w:val="bottom"/>
          </w:tcPr>
          <w:p>
            <w:pPr>
              <w:jc w:val="right"/>
              <w:ind w:right="8"/>
              <w:spacing w:after="0" w:line="158"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8" w:lineRule="exact"/>
              <w:rPr>
                <w:sz w:val="20"/>
                <w:szCs w:val="20"/>
                <w:color w:val="auto"/>
              </w:rPr>
            </w:pPr>
            <w:r>
              <w:rPr>
                <w:rFonts w:ascii="Arial" w:cs="Arial" w:eastAsia="Arial" w:hAnsi="Arial"/>
                <w:sz w:val="14"/>
                <w:szCs w:val="14"/>
                <w:color w:val="auto"/>
              </w:rPr>
              <w:t>(155,977)</w:t>
            </w:r>
          </w:p>
        </w:tc>
        <w:tc>
          <w:tcPr>
            <w:tcW w:w="22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color w:val="auto"/>
              </w:rPr>
              <w:t>173,781</w:t>
            </w:r>
          </w:p>
        </w:tc>
        <w:tc>
          <w:tcPr>
            <w:tcW w:w="340" w:type="dxa"/>
            <w:vAlign w:val="bottom"/>
          </w:tcPr>
          <w:p>
            <w:pPr>
              <w:jc w:val="right"/>
              <w:ind w:right="26"/>
              <w:spacing w:after="0" w:line="15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74"/>
              <w:spacing w:after="0" w:line="158" w:lineRule="exact"/>
              <w:rPr>
                <w:sz w:val="20"/>
                <w:szCs w:val="20"/>
                <w:color w:val="auto"/>
              </w:rPr>
            </w:pPr>
            <w:r>
              <w:rPr>
                <w:rFonts w:ascii="Arial" w:cs="Arial" w:eastAsia="Arial" w:hAnsi="Arial"/>
                <w:sz w:val="14"/>
                <w:szCs w:val="14"/>
                <w:color w:val="auto"/>
              </w:rPr>
              <w:t>(256,703)</w:t>
            </w:r>
          </w:p>
        </w:tc>
        <w:tc>
          <w:tcPr>
            <w:tcW w:w="100" w:type="dxa"/>
            <w:vAlign w:val="bottom"/>
          </w:tcPr>
          <w:p>
            <w:pPr>
              <w:jc w:val="right"/>
              <w:spacing w:after="0" w:line="15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color w:val="auto"/>
              </w:rPr>
              <w:t>207,877</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60" w:type="dxa"/>
            <w:vAlign w:val="bottom"/>
            <w:tcBorders>
              <w:bottom w:val="single" w:sz="8" w:color="E7417A"/>
            </w:tcBorders>
            <w:vMerge w:val="continue"/>
          </w:tcPr>
          <w:p>
            <w:pPr>
              <w:spacing w:after="0"/>
              <w:rPr>
                <w:sz w:val="4"/>
                <w:szCs w:val="4"/>
                <w:color w:val="auto"/>
              </w:rPr>
            </w:pPr>
          </w:p>
        </w:tc>
        <w:tc>
          <w:tcPr>
            <w:tcW w:w="3800" w:type="dxa"/>
            <w:vAlign w:val="bottom"/>
            <w:tcBorders>
              <w:bottom w:val="single" w:sz="8" w:color="E7417A"/>
            </w:tcBorders>
          </w:tcPr>
          <w:p>
            <w:pPr>
              <w:spacing w:after="0"/>
              <w:rPr>
                <w:sz w:val="4"/>
                <w:szCs w:val="4"/>
                <w:color w:val="auto"/>
              </w:rPr>
            </w:pPr>
          </w:p>
        </w:tc>
        <w:tc>
          <w:tcPr>
            <w:tcW w:w="440" w:type="dxa"/>
            <w:vAlign w:val="bottom"/>
            <w:tcBorders>
              <w:bottom w:val="single" w:sz="8" w:color="E7417A"/>
            </w:tcBorders>
          </w:tcPr>
          <w:p>
            <w:pPr>
              <w:jc w:val="center"/>
              <w:ind w:left="1"/>
              <w:spacing w:after="0" w:line="54" w:lineRule="exact"/>
              <w:rPr>
                <w:sz w:val="20"/>
                <w:szCs w:val="20"/>
                <w:color w:val="auto"/>
              </w:rPr>
            </w:pPr>
            <w:r>
              <w:rPr>
                <w:rFonts w:ascii="Arial" w:cs="Arial" w:eastAsia="Arial" w:hAnsi="Arial"/>
                <w:sz w:val="6"/>
                <w:szCs w:val="6"/>
                <w:color w:val="auto"/>
              </w:rPr>
              <w:t>​ ​ ​</w:t>
            </w:r>
          </w:p>
        </w:tc>
        <w:tc>
          <w:tcPr>
            <w:tcW w:w="1000" w:type="dxa"/>
            <w:vAlign w:val="bottom"/>
            <w:tcBorders>
              <w:bottom w:val="single" w:sz="8" w:color="E7417A"/>
            </w:tcBorders>
            <w:gridSpan w:val="2"/>
          </w:tcPr>
          <w:p>
            <w:pPr>
              <w:jc w:val="center"/>
              <w:ind w:left="461"/>
              <w:spacing w:after="0" w:line="54" w:lineRule="exact"/>
              <w:rPr>
                <w:sz w:val="20"/>
                <w:szCs w:val="20"/>
                <w:color w:val="auto"/>
              </w:rPr>
            </w:pPr>
            <w:r>
              <w:rPr>
                <w:rFonts w:ascii="Arial" w:cs="Arial" w:eastAsia="Arial" w:hAnsi="Arial"/>
                <w:sz w:val="6"/>
                <w:szCs w:val="6"/>
                <w:color w:val="auto"/>
              </w:rPr>
              <w:t>​ ​ ​</w:t>
            </w:r>
          </w:p>
        </w:tc>
        <w:tc>
          <w:tcPr>
            <w:tcW w:w="880" w:type="dxa"/>
            <w:vAlign w:val="bottom"/>
            <w:tcBorders>
              <w:bottom w:val="single" w:sz="8" w:color="E7417A"/>
            </w:tcBorders>
            <w:gridSpan w:val="2"/>
          </w:tcPr>
          <w:p>
            <w:pPr>
              <w:jc w:val="center"/>
              <w:ind w:left="503"/>
              <w:spacing w:after="0" w:line="54" w:lineRule="exact"/>
              <w:rPr>
                <w:sz w:val="20"/>
                <w:szCs w:val="20"/>
                <w:color w:val="auto"/>
              </w:rPr>
            </w:pPr>
            <w:r>
              <w:rPr>
                <w:rFonts w:ascii="Arial" w:cs="Arial" w:eastAsia="Arial" w:hAnsi="Arial"/>
                <w:sz w:val="6"/>
                <w:szCs w:val="6"/>
                <w:color w:val="auto"/>
              </w:rPr>
              <w:t>​ ​ ​</w:t>
            </w:r>
          </w:p>
        </w:tc>
        <w:tc>
          <w:tcPr>
            <w:tcW w:w="80" w:type="dxa"/>
            <w:vAlign w:val="bottom"/>
            <w:tcBorders>
              <w:bottom w:val="single" w:sz="8" w:color="E7417A"/>
            </w:tcBorders>
          </w:tcPr>
          <w:p>
            <w:pPr>
              <w:spacing w:after="0"/>
              <w:rPr>
                <w:sz w:val="4"/>
                <w:szCs w:val="4"/>
                <w:color w:val="auto"/>
              </w:rPr>
            </w:pPr>
          </w:p>
        </w:tc>
        <w:tc>
          <w:tcPr>
            <w:tcW w:w="600" w:type="dxa"/>
            <w:vAlign w:val="bottom"/>
            <w:tcBorders>
              <w:bottom w:val="single" w:sz="8" w:color="E7417A"/>
            </w:tcBorders>
          </w:tcPr>
          <w:p>
            <w:pPr>
              <w:spacing w:after="0"/>
              <w:rPr>
                <w:sz w:val="4"/>
                <w:szCs w:val="4"/>
                <w:color w:val="auto"/>
              </w:rPr>
            </w:pPr>
          </w:p>
        </w:tc>
        <w:tc>
          <w:tcPr>
            <w:tcW w:w="340" w:type="dxa"/>
            <w:vAlign w:val="bottom"/>
            <w:tcBorders>
              <w:bottom w:val="single" w:sz="8" w:color="E7417A"/>
            </w:tcBorders>
          </w:tcPr>
          <w:p>
            <w:pPr>
              <w:jc w:val="center"/>
              <w:ind w:right="86"/>
              <w:spacing w:after="0" w:line="54" w:lineRule="exact"/>
              <w:rPr>
                <w:sz w:val="20"/>
                <w:szCs w:val="20"/>
                <w:color w:val="auto"/>
              </w:rPr>
            </w:pPr>
            <w:r>
              <w:rPr>
                <w:rFonts w:ascii="Arial" w:cs="Arial" w:eastAsia="Arial" w:hAnsi="Arial"/>
                <w:sz w:val="6"/>
                <w:szCs w:val="6"/>
                <w:color w:val="auto"/>
              </w:rPr>
              <w:t>​ ​ ​</w:t>
            </w:r>
          </w:p>
        </w:tc>
        <w:tc>
          <w:tcPr>
            <w:tcW w:w="420" w:type="dxa"/>
            <w:vAlign w:val="bottom"/>
            <w:tcBorders>
              <w:bottom w:val="single" w:sz="8" w:color="E7417A"/>
            </w:tcBorders>
          </w:tcPr>
          <w:p>
            <w:pPr>
              <w:spacing w:after="0"/>
              <w:rPr>
                <w:sz w:val="4"/>
                <w:szCs w:val="4"/>
                <w:color w:val="auto"/>
              </w:rPr>
            </w:pPr>
          </w:p>
        </w:tc>
        <w:tc>
          <w:tcPr>
            <w:tcW w:w="440" w:type="dxa"/>
            <w:vAlign w:val="bottom"/>
            <w:tcBorders>
              <w:bottom w:val="single" w:sz="8" w:color="E7417A"/>
            </w:tcBorders>
            <w:gridSpan w:val="2"/>
          </w:tcPr>
          <w:p>
            <w:pPr>
              <w:jc w:val="center"/>
              <w:ind w:left="74"/>
              <w:spacing w:after="0" w:line="54" w:lineRule="exact"/>
              <w:rPr>
                <w:sz w:val="20"/>
                <w:szCs w:val="20"/>
                <w:color w:val="auto"/>
              </w:rPr>
            </w:pPr>
            <w:r>
              <w:rPr>
                <w:rFonts w:ascii="Arial" w:cs="Arial" w:eastAsia="Arial" w:hAnsi="Arial"/>
                <w:sz w:val="6"/>
                <w:szCs w:val="6"/>
                <w:color w:val="auto"/>
              </w:rPr>
              <w:t>​ ​ ​</w:t>
            </w:r>
          </w:p>
        </w:tc>
        <w:tc>
          <w:tcPr>
            <w:tcW w:w="80" w:type="dxa"/>
            <w:vAlign w:val="bottom"/>
            <w:tcBorders>
              <w:bottom w:val="single" w:sz="8" w:color="E7417A"/>
            </w:tcBorders>
          </w:tcPr>
          <w:p>
            <w:pPr>
              <w:spacing w:after="0"/>
              <w:rPr>
                <w:sz w:val="4"/>
                <w:szCs w:val="4"/>
                <w:color w:val="auto"/>
              </w:rPr>
            </w:pPr>
          </w:p>
        </w:tc>
        <w:tc>
          <w:tcPr>
            <w:tcW w:w="620" w:type="dxa"/>
            <w:vAlign w:val="bottom"/>
            <w:tcBorders>
              <w:bottom w:val="single" w:sz="8" w:color="E7417A"/>
            </w:tcBorders>
          </w:tcPr>
          <w:p>
            <w:pPr>
              <w:spacing w:after="0"/>
              <w:rPr>
                <w:sz w:val="4"/>
                <w:szCs w:val="4"/>
                <w:color w:val="auto"/>
              </w:rPr>
            </w:pPr>
          </w:p>
        </w:tc>
        <w:tc>
          <w:tcPr>
            <w:tcW w:w="40" w:type="dxa"/>
            <w:vAlign w:val="bottom"/>
            <w:tcBorders>
              <w:bottom w:val="single" w:sz="8" w:color="E7417A"/>
            </w:tcBorders>
            <w:vMerge w:val="continue"/>
          </w:tcPr>
          <w:p>
            <w:pPr>
              <w:spacing w:after="0"/>
              <w:rPr>
                <w:sz w:val="4"/>
                <w:szCs w:val="4"/>
                <w:color w:val="auto"/>
              </w:rPr>
            </w:pPr>
          </w:p>
        </w:tc>
        <w:tc>
          <w:tcPr>
            <w:tcW w:w="60" w:type="dxa"/>
            <w:vAlign w:val="bottom"/>
            <w:tcBorders>
              <w:bottom w:val="single" w:sz="8" w:color="E7417A"/>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3800" w:type="dxa"/>
            <w:vAlign w:val="bottom"/>
          </w:tcPr>
          <w:p>
            <w:pPr>
              <w:ind w:left="60"/>
              <w:spacing w:after="0"/>
              <w:rPr>
                <w:sz w:val="20"/>
                <w:szCs w:val="20"/>
                <w:color w:val="auto"/>
              </w:rPr>
            </w:pPr>
            <w:r>
              <w:rPr>
                <w:rFonts w:ascii="Arial" w:cs="Arial" w:eastAsia="Arial" w:hAnsi="Arial"/>
                <w:sz w:val="14"/>
                <w:szCs w:val="14"/>
                <w:color w:val="auto"/>
              </w:rPr>
              <w:t>Deduct Fair Value as of Prior Fiscal Year End of Stock</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800" w:type="dxa"/>
            <w:vAlign w:val="bottom"/>
          </w:tcPr>
          <w:p>
            <w:pPr>
              <w:ind w:left="60"/>
              <w:spacing w:after="0"/>
              <w:rPr>
                <w:sz w:val="20"/>
                <w:szCs w:val="20"/>
                <w:color w:val="auto"/>
              </w:rPr>
            </w:pPr>
            <w:r>
              <w:rPr>
                <w:rFonts w:ascii="Arial" w:cs="Arial" w:eastAsia="Arial" w:hAnsi="Arial"/>
                <w:sz w:val="14"/>
                <w:szCs w:val="14"/>
                <w:color w:val="auto"/>
              </w:rPr>
              <w:t>Awards Granted in Prior Fiscal Years that Failed to</w:t>
            </w: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60" w:type="dxa"/>
            <w:vAlign w:val="bottom"/>
            <w:vMerge w:val="restart"/>
          </w:tcPr>
          <w:p>
            <w:pPr>
              <w:spacing w:after="0"/>
              <w:rPr>
                <w:sz w:val="20"/>
                <w:szCs w:val="20"/>
                <w:color w:val="auto"/>
              </w:rPr>
            </w:pPr>
            <w:r>
              <w:rPr>
                <w:rFonts w:ascii="Arial" w:cs="Arial" w:eastAsia="Arial" w:hAnsi="Arial"/>
                <w:sz w:val="14"/>
                <w:szCs w:val="14"/>
                <w:color w:val="auto"/>
              </w:rPr>
              <w:t>​</w:t>
            </w:r>
          </w:p>
        </w:tc>
        <w:tc>
          <w:tcPr>
            <w:tcW w:w="3800" w:type="dxa"/>
            <w:vAlign w:val="bottom"/>
          </w:tcPr>
          <w:p>
            <w:pPr>
              <w:ind w:left="60"/>
              <w:spacing w:after="0" w:line="145" w:lineRule="exact"/>
              <w:rPr>
                <w:sz w:val="20"/>
                <w:szCs w:val="20"/>
                <w:color w:val="auto"/>
              </w:rPr>
            </w:pPr>
            <w:r>
              <w:rPr>
                <w:rFonts w:ascii="Arial" w:cs="Arial" w:eastAsia="Arial" w:hAnsi="Arial"/>
                <w:sz w:val="14"/>
                <w:szCs w:val="14"/>
                <w:color w:val="auto"/>
              </w:rPr>
              <w:t>Meet Applicable Vesting Conditions During Fiscal Year</w:t>
            </w:r>
          </w:p>
        </w:tc>
        <w:tc>
          <w:tcPr>
            <w:tcW w:w="44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5" w:lineRule="exact"/>
              <w:rPr>
                <w:sz w:val="20"/>
                <w:szCs w:val="20"/>
                <w:color w:val="auto"/>
              </w:rPr>
            </w:pPr>
            <w:r>
              <w:rPr>
                <w:rFonts w:ascii="Arial" w:cs="Arial" w:eastAsia="Arial" w:hAnsi="Arial"/>
                <w:sz w:val="14"/>
                <w:szCs w:val="14"/>
                <w:color w:val="auto"/>
              </w:rPr>
              <w:t>(85,758)</w:t>
            </w:r>
          </w:p>
        </w:tc>
        <w:tc>
          <w:tcPr>
            <w:tcW w:w="300" w:type="dxa"/>
            <w:vAlign w:val="bottom"/>
          </w:tcPr>
          <w:p>
            <w:pPr>
              <w:jc w:val="right"/>
              <w:ind w:right="8"/>
              <w:spacing w:after="0" w:line="14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3"/>
              <w:spacing w:after="0" w:line="145" w:lineRule="exact"/>
              <w:rPr>
                <w:sz w:val="20"/>
                <w:szCs w:val="20"/>
                <w:color w:val="auto"/>
              </w:rPr>
            </w:pPr>
            <w:r>
              <w:rPr>
                <w:rFonts w:ascii="Arial" w:cs="Arial" w:eastAsia="Arial" w:hAnsi="Arial"/>
                <w:sz w:val="14"/>
                <w:szCs w:val="14"/>
                <w:color w:val="auto"/>
              </w:rPr>
              <w:t>474,633</w:t>
            </w:r>
          </w:p>
        </w:tc>
        <w:tc>
          <w:tcPr>
            <w:tcW w:w="2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Arial" w:cs="Arial" w:eastAsia="Arial" w:hAnsi="Arial"/>
                <w:sz w:val="14"/>
                <w:szCs w:val="14"/>
                <w:color w:val="auto"/>
              </w:rPr>
              <w:t>906,048</w:t>
            </w:r>
          </w:p>
        </w:tc>
        <w:tc>
          <w:tcPr>
            <w:tcW w:w="340" w:type="dxa"/>
            <w:vAlign w:val="bottom"/>
          </w:tcPr>
          <w:p>
            <w:pPr>
              <w:jc w:val="right"/>
              <w:ind w:right="26"/>
              <w:spacing w:after="0" w:line="145"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74"/>
              <w:spacing w:after="0" w:line="145" w:lineRule="exact"/>
              <w:rPr>
                <w:sz w:val="20"/>
                <w:szCs w:val="20"/>
                <w:color w:val="auto"/>
              </w:rPr>
            </w:pPr>
            <w:r>
              <w:rPr>
                <w:rFonts w:ascii="Arial" w:cs="Arial" w:eastAsia="Arial" w:hAnsi="Arial"/>
                <w:sz w:val="14"/>
                <w:szCs w:val="14"/>
                <w:color w:val="auto"/>
              </w:rPr>
              <w:t>(118,110)</w:t>
            </w:r>
          </w:p>
        </w:tc>
        <w:tc>
          <w:tcPr>
            <w:tcW w:w="100" w:type="dxa"/>
            <w:vAlign w:val="bottom"/>
          </w:tcPr>
          <w:p>
            <w:pPr>
              <w:spacing w:after="0"/>
              <w:rPr>
                <w:sz w:val="12"/>
                <w:szCs w:val="12"/>
                <w:color w:val="auto"/>
              </w:rPr>
            </w:pPr>
          </w:p>
        </w:tc>
        <w:tc>
          <w:tcPr>
            <w:tcW w:w="8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5" w:lineRule="exact"/>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60" w:type="dxa"/>
            <w:vAlign w:val="bottom"/>
            <w:tcBorders>
              <w:bottom w:val="single" w:sz="8" w:color="E7417A"/>
            </w:tcBorders>
            <w:vMerge w:val="continue"/>
          </w:tcPr>
          <w:p>
            <w:pPr>
              <w:spacing w:after="0"/>
              <w:rPr>
                <w:sz w:val="4"/>
                <w:szCs w:val="4"/>
                <w:color w:val="auto"/>
              </w:rPr>
            </w:pPr>
          </w:p>
        </w:tc>
        <w:tc>
          <w:tcPr>
            <w:tcW w:w="3800" w:type="dxa"/>
            <w:vAlign w:val="bottom"/>
            <w:tcBorders>
              <w:bottom w:val="single" w:sz="8" w:color="E7417A"/>
            </w:tcBorders>
          </w:tcPr>
          <w:p>
            <w:pPr>
              <w:spacing w:after="0"/>
              <w:rPr>
                <w:sz w:val="4"/>
                <w:szCs w:val="4"/>
                <w:color w:val="auto"/>
              </w:rPr>
            </w:pPr>
          </w:p>
        </w:tc>
        <w:tc>
          <w:tcPr>
            <w:tcW w:w="440" w:type="dxa"/>
            <w:vAlign w:val="bottom"/>
            <w:tcBorders>
              <w:bottom w:val="single" w:sz="8" w:color="E7417A"/>
            </w:tcBorders>
          </w:tcPr>
          <w:p>
            <w:pPr>
              <w:jc w:val="center"/>
              <w:ind w:left="1"/>
              <w:spacing w:after="0" w:line="54" w:lineRule="exact"/>
              <w:rPr>
                <w:sz w:val="20"/>
                <w:szCs w:val="20"/>
                <w:color w:val="auto"/>
              </w:rPr>
            </w:pPr>
            <w:r>
              <w:rPr>
                <w:rFonts w:ascii="Arial" w:cs="Arial" w:eastAsia="Arial" w:hAnsi="Arial"/>
                <w:sz w:val="6"/>
                <w:szCs w:val="6"/>
                <w:color w:val="auto"/>
              </w:rPr>
              <w:t>​ ​ ​</w:t>
            </w:r>
          </w:p>
        </w:tc>
        <w:tc>
          <w:tcPr>
            <w:tcW w:w="1000" w:type="dxa"/>
            <w:vAlign w:val="bottom"/>
            <w:tcBorders>
              <w:bottom w:val="single" w:sz="8" w:color="E7417A"/>
            </w:tcBorders>
            <w:gridSpan w:val="2"/>
          </w:tcPr>
          <w:p>
            <w:pPr>
              <w:jc w:val="center"/>
              <w:ind w:left="461"/>
              <w:spacing w:after="0" w:line="54" w:lineRule="exact"/>
              <w:rPr>
                <w:sz w:val="20"/>
                <w:szCs w:val="20"/>
                <w:color w:val="auto"/>
              </w:rPr>
            </w:pPr>
            <w:r>
              <w:rPr>
                <w:rFonts w:ascii="Arial" w:cs="Arial" w:eastAsia="Arial" w:hAnsi="Arial"/>
                <w:sz w:val="6"/>
                <w:szCs w:val="6"/>
                <w:color w:val="auto"/>
              </w:rPr>
              <w:t>​ ​ ​</w:t>
            </w:r>
          </w:p>
        </w:tc>
        <w:tc>
          <w:tcPr>
            <w:tcW w:w="880" w:type="dxa"/>
            <w:vAlign w:val="bottom"/>
            <w:tcBorders>
              <w:bottom w:val="single" w:sz="8" w:color="E7417A"/>
            </w:tcBorders>
            <w:gridSpan w:val="2"/>
          </w:tcPr>
          <w:p>
            <w:pPr>
              <w:jc w:val="center"/>
              <w:ind w:left="503"/>
              <w:spacing w:after="0" w:line="54" w:lineRule="exact"/>
              <w:rPr>
                <w:sz w:val="20"/>
                <w:szCs w:val="20"/>
                <w:color w:val="auto"/>
              </w:rPr>
            </w:pPr>
            <w:r>
              <w:rPr>
                <w:rFonts w:ascii="Arial" w:cs="Arial" w:eastAsia="Arial" w:hAnsi="Arial"/>
                <w:sz w:val="6"/>
                <w:szCs w:val="6"/>
                <w:color w:val="auto"/>
              </w:rPr>
              <w:t>​ ​ ​</w:t>
            </w:r>
          </w:p>
        </w:tc>
        <w:tc>
          <w:tcPr>
            <w:tcW w:w="80" w:type="dxa"/>
            <w:vAlign w:val="bottom"/>
            <w:tcBorders>
              <w:bottom w:val="single" w:sz="8" w:color="E7417A"/>
            </w:tcBorders>
          </w:tcPr>
          <w:p>
            <w:pPr>
              <w:spacing w:after="0"/>
              <w:rPr>
                <w:sz w:val="4"/>
                <w:szCs w:val="4"/>
                <w:color w:val="auto"/>
              </w:rPr>
            </w:pPr>
          </w:p>
        </w:tc>
        <w:tc>
          <w:tcPr>
            <w:tcW w:w="600" w:type="dxa"/>
            <w:vAlign w:val="bottom"/>
            <w:tcBorders>
              <w:bottom w:val="single" w:sz="8" w:color="E7417A"/>
            </w:tcBorders>
          </w:tcPr>
          <w:p>
            <w:pPr>
              <w:spacing w:after="0"/>
              <w:rPr>
                <w:sz w:val="4"/>
                <w:szCs w:val="4"/>
                <w:color w:val="auto"/>
              </w:rPr>
            </w:pPr>
          </w:p>
        </w:tc>
        <w:tc>
          <w:tcPr>
            <w:tcW w:w="340" w:type="dxa"/>
            <w:vAlign w:val="bottom"/>
            <w:tcBorders>
              <w:bottom w:val="single" w:sz="8" w:color="E7417A"/>
            </w:tcBorders>
          </w:tcPr>
          <w:p>
            <w:pPr>
              <w:jc w:val="center"/>
              <w:ind w:right="86"/>
              <w:spacing w:after="0" w:line="54" w:lineRule="exact"/>
              <w:rPr>
                <w:sz w:val="20"/>
                <w:szCs w:val="20"/>
                <w:color w:val="auto"/>
              </w:rPr>
            </w:pPr>
            <w:r>
              <w:rPr>
                <w:rFonts w:ascii="Arial" w:cs="Arial" w:eastAsia="Arial" w:hAnsi="Arial"/>
                <w:sz w:val="6"/>
                <w:szCs w:val="6"/>
                <w:color w:val="auto"/>
              </w:rPr>
              <w:t>​ ​ ​</w:t>
            </w:r>
          </w:p>
        </w:tc>
        <w:tc>
          <w:tcPr>
            <w:tcW w:w="420" w:type="dxa"/>
            <w:vAlign w:val="bottom"/>
            <w:tcBorders>
              <w:bottom w:val="single" w:sz="8" w:color="E7417A"/>
            </w:tcBorders>
          </w:tcPr>
          <w:p>
            <w:pPr>
              <w:spacing w:after="0"/>
              <w:rPr>
                <w:sz w:val="4"/>
                <w:szCs w:val="4"/>
                <w:color w:val="auto"/>
              </w:rPr>
            </w:pPr>
          </w:p>
        </w:tc>
        <w:tc>
          <w:tcPr>
            <w:tcW w:w="440" w:type="dxa"/>
            <w:vAlign w:val="bottom"/>
            <w:tcBorders>
              <w:bottom w:val="single" w:sz="8" w:color="E7417A"/>
            </w:tcBorders>
            <w:gridSpan w:val="2"/>
          </w:tcPr>
          <w:p>
            <w:pPr>
              <w:jc w:val="center"/>
              <w:ind w:left="74"/>
              <w:spacing w:after="0" w:line="54" w:lineRule="exact"/>
              <w:rPr>
                <w:sz w:val="20"/>
                <w:szCs w:val="20"/>
                <w:color w:val="auto"/>
              </w:rPr>
            </w:pPr>
            <w:r>
              <w:rPr>
                <w:rFonts w:ascii="Arial" w:cs="Arial" w:eastAsia="Arial" w:hAnsi="Arial"/>
                <w:sz w:val="6"/>
                <w:szCs w:val="6"/>
                <w:color w:val="auto"/>
              </w:rPr>
              <w:t>​ ​ ​</w:t>
            </w:r>
          </w:p>
        </w:tc>
        <w:tc>
          <w:tcPr>
            <w:tcW w:w="80" w:type="dxa"/>
            <w:vAlign w:val="bottom"/>
            <w:tcBorders>
              <w:bottom w:val="single" w:sz="8" w:color="E7417A"/>
            </w:tcBorders>
          </w:tcPr>
          <w:p>
            <w:pPr>
              <w:spacing w:after="0"/>
              <w:rPr>
                <w:sz w:val="4"/>
                <w:szCs w:val="4"/>
                <w:color w:val="auto"/>
              </w:rPr>
            </w:pPr>
          </w:p>
        </w:tc>
        <w:tc>
          <w:tcPr>
            <w:tcW w:w="620" w:type="dxa"/>
            <w:vAlign w:val="bottom"/>
            <w:tcBorders>
              <w:bottom w:val="single" w:sz="8" w:color="E7417A"/>
            </w:tcBorders>
          </w:tcPr>
          <w:p>
            <w:pPr>
              <w:spacing w:after="0"/>
              <w:rPr>
                <w:sz w:val="4"/>
                <w:szCs w:val="4"/>
                <w:color w:val="auto"/>
              </w:rPr>
            </w:pPr>
          </w:p>
        </w:tc>
        <w:tc>
          <w:tcPr>
            <w:tcW w:w="40" w:type="dxa"/>
            <w:vAlign w:val="bottom"/>
            <w:tcBorders>
              <w:bottom w:val="single" w:sz="8" w:color="E7417A"/>
            </w:tcBorders>
            <w:vMerge w:val="continue"/>
          </w:tcPr>
          <w:p>
            <w:pPr>
              <w:spacing w:after="0"/>
              <w:rPr>
                <w:sz w:val="4"/>
                <w:szCs w:val="4"/>
                <w:color w:val="auto"/>
              </w:rPr>
            </w:pPr>
          </w:p>
        </w:tc>
        <w:tc>
          <w:tcPr>
            <w:tcW w:w="60" w:type="dxa"/>
            <w:vAlign w:val="bottom"/>
            <w:tcBorders>
              <w:bottom w:val="single" w:sz="8" w:color="E7417A"/>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62259D"/>
            </w:tcBorders>
            <w:gridSpan w:val="2"/>
          </w:tcPr>
          <w:p>
            <w:pPr>
              <w:spacing w:after="0" w:line="223"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 xml:space="preserve"> Compensation Actually Paid</w:t>
            </w:r>
          </w:p>
        </w:tc>
        <w:tc>
          <w:tcPr>
            <w:tcW w:w="440" w:type="dxa"/>
            <w:vAlign w:val="bottom"/>
            <w:tcBorders>
              <w:bottom w:val="single" w:sz="8" w:color="62259D"/>
            </w:tcBorders>
          </w:tcPr>
          <w:p>
            <w:pPr>
              <w:jc w:val="right"/>
              <w:spacing w:after="0" w:line="223" w:lineRule="exact"/>
              <w:rPr>
                <w:sz w:val="20"/>
                <w:szCs w:val="20"/>
                <w:color w:val="auto"/>
              </w:rPr>
            </w:pPr>
            <w:r>
              <w:rPr>
                <w:rFonts w:ascii="Arial" w:cs="Arial" w:eastAsia="Arial" w:hAnsi="Arial"/>
                <w:sz w:val="13"/>
                <w:szCs w:val="13"/>
                <w:color w:val="auto"/>
              </w:rPr>
              <w:t>​ ​ ​</w:t>
            </w:r>
            <w:r>
              <w:rPr>
                <w:rFonts w:ascii="Arial" w:cs="Arial" w:eastAsia="Arial" w:hAnsi="Arial"/>
                <w:sz w:val="25"/>
                <w:szCs w:val="25"/>
                <w:color w:val="auto"/>
                <w:vertAlign w:val="superscript"/>
              </w:rPr>
              <w:t>$</w:t>
            </w:r>
          </w:p>
        </w:tc>
        <w:tc>
          <w:tcPr>
            <w:tcW w:w="2900" w:type="dxa"/>
            <w:vAlign w:val="bottom"/>
            <w:tcBorders>
              <w:bottom w:val="single" w:sz="8" w:color="62259D"/>
            </w:tcBorders>
            <w:gridSpan w:val="7"/>
          </w:tcPr>
          <w:p>
            <w:pPr>
              <w:jc w:val="right"/>
              <w:ind w:right="26"/>
              <w:spacing w:after="0" w:line="223" w:lineRule="exact"/>
              <w:rPr>
                <w:sz w:val="20"/>
                <w:szCs w:val="20"/>
                <w:color w:val="auto"/>
              </w:rPr>
            </w:pPr>
            <w:r>
              <w:rPr>
                <w:rFonts w:ascii="Arial" w:cs="Arial" w:eastAsia="Arial" w:hAnsi="Arial"/>
                <w:sz w:val="13"/>
                <w:szCs w:val="13"/>
                <w:color w:val="auto"/>
              </w:rPr>
              <w:t>1,921,506</w:t>
            </w:r>
            <w:r>
              <w:rPr>
                <w:rFonts w:ascii="Arial" w:cs="Arial" w:eastAsia="Arial" w:hAnsi="Arial"/>
                <w:sz w:val="25"/>
                <w:szCs w:val="25"/>
                <w:color w:val="auto"/>
                <w:vertAlign w:val="subscript"/>
              </w:rPr>
              <w:t>​ ​ ​</w:t>
            </w:r>
            <w:r>
              <w:rPr>
                <w:rFonts w:ascii="Arial" w:cs="Arial" w:eastAsia="Arial" w:hAnsi="Arial"/>
                <w:sz w:val="13"/>
                <w:szCs w:val="13"/>
                <w:color w:val="auto"/>
              </w:rPr>
              <w:t>$ 1,413,665</w:t>
            </w:r>
            <w:r>
              <w:rPr>
                <w:rFonts w:ascii="Arial" w:cs="Arial" w:eastAsia="Arial" w:hAnsi="Arial"/>
                <w:sz w:val="25"/>
                <w:szCs w:val="25"/>
                <w:color w:val="auto"/>
                <w:vertAlign w:val="subscript"/>
              </w:rPr>
              <w:t>​ ​ ​</w:t>
            </w:r>
            <w:r>
              <w:rPr>
                <w:rFonts w:ascii="Arial" w:cs="Arial" w:eastAsia="Arial" w:hAnsi="Arial"/>
                <w:sz w:val="13"/>
                <w:szCs w:val="13"/>
                <w:color w:val="auto"/>
              </w:rPr>
              <w:t>$ 1,040,387</w:t>
            </w:r>
            <w:r>
              <w:rPr>
                <w:rFonts w:ascii="Arial" w:cs="Arial" w:eastAsia="Arial" w:hAnsi="Arial"/>
                <w:sz w:val="25"/>
                <w:szCs w:val="25"/>
                <w:color w:val="auto"/>
                <w:vertAlign w:val="subscript"/>
              </w:rPr>
              <w:t>​ ​ ​</w:t>
            </w:r>
            <w:r>
              <w:rPr>
                <w:rFonts w:ascii="Arial" w:cs="Arial" w:eastAsia="Arial" w:hAnsi="Arial"/>
                <w:sz w:val="13"/>
                <w:szCs w:val="13"/>
                <w:color w:val="auto"/>
              </w:rPr>
              <w:t>$</w:t>
            </w:r>
          </w:p>
        </w:tc>
        <w:tc>
          <w:tcPr>
            <w:tcW w:w="1600" w:type="dxa"/>
            <w:vAlign w:val="bottom"/>
            <w:tcBorders>
              <w:bottom w:val="single" w:sz="8" w:color="62259D"/>
            </w:tcBorders>
            <w:gridSpan w:val="6"/>
          </w:tcPr>
          <w:p>
            <w:pPr>
              <w:jc w:val="right"/>
              <w:spacing w:after="0" w:line="223" w:lineRule="exact"/>
              <w:rPr>
                <w:sz w:val="20"/>
                <w:szCs w:val="20"/>
                <w:color w:val="auto"/>
              </w:rPr>
            </w:pPr>
            <w:r>
              <w:rPr>
                <w:rFonts w:ascii="Arial" w:cs="Arial" w:eastAsia="Arial" w:hAnsi="Arial"/>
                <w:sz w:val="13"/>
                <w:szCs w:val="13"/>
                <w:color w:val="auto"/>
              </w:rPr>
              <w:t>352,253</w:t>
            </w:r>
            <w:r>
              <w:rPr>
                <w:rFonts w:ascii="Arial" w:cs="Arial" w:eastAsia="Arial" w:hAnsi="Arial"/>
                <w:sz w:val="25"/>
                <w:szCs w:val="25"/>
                <w:color w:val="auto"/>
                <w:vertAlign w:val="subscript"/>
              </w:rPr>
              <w:t>​ ​ ​</w:t>
            </w:r>
            <w:r>
              <w:rPr>
                <w:rFonts w:ascii="Arial" w:cs="Arial" w:eastAsia="Arial" w:hAnsi="Arial"/>
                <w:sz w:val="13"/>
                <w:szCs w:val="13"/>
                <w:color w:val="auto"/>
              </w:rPr>
              <w:t>$ 1,461,408</w:t>
            </w:r>
            <w:r>
              <w:rPr>
                <w:rFonts w:ascii="Arial" w:cs="Arial" w:eastAsia="Arial" w:hAnsi="Arial"/>
                <w:sz w:val="25"/>
                <w:szCs w:val="25"/>
                <w:color w:val="auto"/>
                <w:vertAlign w:val="subscript"/>
              </w:rPr>
              <w:t>​</w:t>
            </w:r>
          </w:p>
        </w:tc>
        <w:tc>
          <w:tcPr>
            <w:tcW w:w="60" w:type="dxa"/>
            <w:vAlign w:val="bottom"/>
            <w:tcBorders>
              <w:bottom w:val="single" w:sz="8" w:color="62259D"/>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400" w:right="179" w:hanging="368"/>
        <w:spacing w:after="0" w:line="273" w:lineRule="auto"/>
        <w:tabs>
          <w:tab w:leader="none" w:pos="14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Represents the Company’s common stock cumulative TSR on a fixed investment of $100 over the fiscal year starting from the market close on the last trading day of fiscal 2019 through the end of each applicable fiscal year in the table, assuming reinvestment of any dividends.</w:t>
      </w:r>
    </w:p>
    <w:p>
      <w:pPr>
        <w:spacing w:after="0" w:line="31" w:lineRule="exact"/>
        <w:rPr>
          <w:rFonts w:ascii="Arial" w:cs="Arial" w:eastAsia="Arial" w:hAnsi="Arial"/>
          <w:sz w:val="14"/>
          <w:szCs w:val="14"/>
          <w:color w:val="auto"/>
        </w:rPr>
      </w:pPr>
    </w:p>
    <w:p>
      <w:pPr>
        <w:ind w:left="1400" w:right="259" w:hanging="368"/>
        <w:spacing w:after="0" w:line="269" w:lineRule="auto"/>
        <w:tabs>
          <w:tab w:leader="none" w:pos="140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Represents the cumulative TSR of the Nasdaq Telecommunications Index, the Company’s peer group for this Pay Versus Performance disclosure, on a fixed investment of $100 over the fiscal year starting from the market close on the last trading day of fiscal 2019 through the end of each applicable fiscal year in the table. This is the same peer group the Company uses for its disclosure under Item 201(e) of Regulation S-K.</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Financial Performance Measures</w:t>
      </w:r>
    </w:p>
    <w:p>
      <w:pPr>
        <w:spacing w:after="0" w:line="142" w:lineRule="exact"/>
        <w:rPr>
          <w:sz w:val="20"/>
          <w:szCs w:val="20"/>
          <w:color w:val="auto"/>
        </w:rPr>
      </w:pPr>
    </w:p>
    <w:p>
      <w:pPr>
        <w:ind w:left="920" w:right="179"/>
        <w:spacing w:after="0" w:line="245" w:lineRule="auto"/>
        <w:rPr>
          <w:sz w:val="20"/>
          <w:szCs w:val="20"/>
          <w:color w:val="auto"/>
        </w:rPr>
      </w:pPr>
      <w:r>
        <w:rPr>
          <w:rFonts w:ascii="Arial" w:cs="Arial" w:eastAsia="Arial" w:hAnsi="Arial"/>
          <w:sz w:val="18"/>
          <w:szCs w:val="18"/>
          <w:color w:val="auto"/>
        </w:rPr>
        <w:t>As described in greater detail in “Executive Compensation —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stockholders. The most important financial performance measures used by the Company to link executive compensation</w:t>
      </w:r>
    </w:p>
    <w:p>
      <w:pPr>
        <w:sectPr>
          <w:pgSz w:w="11900" w:h="16838" w:orient="portrait"/>
          <w:cols w:equalWidth="0" w:num="1">
            <w:col w:w="9879"/>
          </w:cols>
          <w:pgMar w:left="580" w:top="97" w:right="1440" w:bottom="1440" w:gutter="0" w:footer="0" w:header="0"/>
        </w:sectPr>
      </w:pPr>
    </w:p>
    <w:p>
      <w:pPr>
        <w:spacing w:after="0" w:line="1" w:lineRule="exact"/>
        <w:rPr>
          <w:sz w:val="20"/>
          <w:szCs w:val="20"/>
          <w:color w:val="auto"/>
        </w:rPr>
      </w:pPr>
    </w:p>
    <w:p>
      <w:pPr>
        <w:ind w:left="920"/>
        <w:spacing w:after="0" w:line="242" w:lineRule="auto"/>
        <w:rPr>
          <w:sz w:val="20"/>
          <w:szCs w:val="20"/>
          <w:color w:val="auto"/>
        </w:rPr>
      </w:pPr>
      <w:r>
        <w:rPr>
          <w:rFonts w:ascii="Arial" w:cs="Arial" w:eastAsia="Arial" w:hAnsi="Arial"/>
          <w:sz w:val="18"/>
          <w:szCs w:val="18"/>
          <w:color w:val="auto"/>
        </w:rPr>
        <w:t>actually paid to the Company’s NEOs, for the most recently completed fiscal year, to the Company’s performance are as follows (the performance measures included in this table are not ranked by relative importance):</w:t>
      </w:r>
    </w:p>
    <w:p>
      <w:pPr>
        <w:spacing w:after="0" w:line="89" w:lineRule="exact"/>
        <w:rPr>
          <w:sz w:val="20"/>
          <w:szCs w:val="20"/>
          <w:color w:val="auto"/>
        </w:rPr>
      </w:pPr>
    </w:p>
    <w:p>
      <w:pPr>
        <w:ind w:left="920"/>
        <w:spacing w:after="0"/>
        <w:tabs>
          <w:tab w:leader="none" w:pos="522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color w:val="62259D"/>
        </w:rPr>
        <w:t xml:space="preserve"> ■ </w:t>
      </w:r>
      <w:r>
        <w:rPr>
          <w:rFonts w:ascii="Arial" w:cs="Arial" w:eastAsia="Arial" w:hAnsi="Arial"/>
          <w:sz w:val="16"/>
          <w:szCs w:val="16"/>
          <w:color w:val="000000"/>
        </w:rPr>
        <w:t>Revenue</w:t>
      </w:r>
      <w:r>
        <w:rPr>
          <w:sz w:val="20"/>
          <w:szCs w:val="20"/>
          <w:color w:val="auto"/>
        </w:rPr>
        <w:tab/>
      </w:r>
      <w:r>
        <w:rPr>
          <w:rFonts w:ascii="Arial" w:cs="Arial" w:eastAsia="Arial" w:hAnsi="Arial"/>
          <w:sz w:val="32"/>
          <w:szCs w:val="32"/>
          <w:color w:val="auto"/>
          <w:vertAlign w:val="superscript"/>
        </w:rPr>
        <w:t xml:space="preserve">​ ​ </w:t>
      </w:r>
      <w:r>
        <w:rPr>
          <w:rFonts w:ascii="Arial" w:cs="Arial" w:eastAsia="Arial" w:hAnsi="Arial"/>
          <w:sz w:val="32"/>
          <w:szCs w:val="32"/>
          <w:color w:val="62259D"/>
        </w:rPr>
        <w:t>■</w:t>
      </w:r>
      <w:r>
        <w:rPr>
          <w:rFonts w:ascii="Arial" w:cs="Arial" w:eastAsia="Arial" w:hAnsi="Arial"/>
          <w:sz w:val="32"/>
          <w:szCs w:val="32"/>
          <w:color w:val="auto"/>
        </w:rPr>
        <w:t xml:space="preserve"> </w:t>
      </w: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-189230</wp:posOffset>
            </wp:positionV>
            <wp:extent cx="56235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62356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-8890</wp:posOffset>
            </wp:positionV>
            <wp:extent cx="562356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ind w:left="1200" w:right="2520" w:hanging="276"/>
        <w:spacing w:after="0" w:line="187" w:lineRule="auto"/>
        <w:tabs>
          <w:tab w:leader="none" w:pos="1038" w:val="left"/>
        </w:tabs>
        <w:numPr>
          <w:ilvl w:val="0"/>
          <w:numId w:val="136"/>
        </w:numPr>
        <w:rPr>
          <w:rFonts w:ascii="Arial" w:cs="Arial" w:eastAsia="Arial" w:hAnsi="Arial"/>
          <w:sz w:val="32"/>
          <w:szCs w:val="32"/>
          <w:color w:val="auto"/>
          <w:vertAlign w:val="superscript"/>
        </w:rPr>
      </w:pPr>
      <w:r>
        <w:rPr>
          <w:rFonts w:ascii="Arial" w:cs="Arial" w:eastAsia="Arial" w:hAnsi="Arial"/>
          <w:sz w:val="16"/>
          <w:szCs w:val="16"/>
          <w:color w:val="62259D"/>
        </w:rPr>
        <w:t xml:space="preserve">■ </w:t>
      </w:r>
      <w:r>
        <w:rPr>
          <w:rFonts w:ascii="Arial" w:cs="Arial" w:eastAsia="Arial" w:hAnsi="Arial"/>
          <w:sz w:val="16"/>
          <w:szCs w:val="16"/>
          <w:color w:val="000000"/>
        </w:rPr>
        <w:t>Relative TSR (the Company’s TSR as compared to a</w:t>
      </w:r>
      <w:r>
        <w:rPr>
          <w:rFonts w:ascii="Arial" w:cs="Arial" w:eastAsia="Arial" w:hAnsi="Arial"/>
          <w:sz w:val="16"/>
          <w:szCs w:val="16"/>
          <w:color w:val="62259D"/>
        </w:rPr>
        <w:t xml:space="preserve"> </w:t>
      </w:r>
      <w:r>
        <w:rPr>
          <w:rFonts w:ascii="Arial" w:cs="Arial" w:eastAsia="Arial" w:hAnsi="Arial"/>
          <w:sz w:val="32"/>
          <w:szCs w:val="32"/>
          <w:color w:val="000000"/>
          <w:vertAlign w:val="superscript"/>
        </w:rPr>
        <w:t>​ ​</w:t>
      </w:r>
      <w:r>
        <w:rPr>
          <w:rFonts w:ascii="Arial" w:cs="Arial" w:eastAsia="Arial" w:hAnsi="Arial"/>
          <w:sz w:val="16"/>
          <w:szCs w:val="16"/>
          <w:color w:val="62259D"/>
        </w:rPr>
        <w:t xml:space="preserve"> ■ </w:t>
      </w:r>
      <w:r>
        <w:rPr>
          <w:rFonts w:ascii="Arial" w:cs="Arial" w:eastAsia="Arial" w:hAnsi="Arial"/>
          <w:sz w:val="16"/>
          <w:szCs w:val="16"/>
          <w:color w:val="000000"/>
        </w:rPr>
        <w:t>Adjusted EBITDA</w:t>
      </w:r>
      <w:r>
        <w:rPr>
          <w:rFonts w:ascii="Arial" w:cs="Arial" w:eastAsia="Arial" w:hAnsi="Arial"/>
          <w:sz w:val="16"/>
          <w:szCs w:val="16"/>
          <w:color w:val="62259D"/>
        </w:rPr>
        <w:t xml:space="preserve"> </w:t>
      </w:r>
      <w:r>
        <w:rPr>
          <w:rFonts w:ascii="Arial" w:cs="Arial" w:eastAsia="Arial" w:hAnsi="Arial"/>
          <w:sz w:val="16"/>
          <w:szCs w:val="16"/>
          <w:color w:val="000000"/>
        </w:rPr>
        <w:t>peer group established by the Compensation</w:t>
      </w:r>
    </w:p>
    <w:p>
      <w:pPr>
        <w:spacing w:after="0" w:line="1" w:lineRule="exact"/>
        <w:rPr>
          <w:rFonts w:ascii="Arial" w:cs="Arial" w:eastAsia="Arial" w:hAnsi="Arial"/>
          <w:sz w:val="32"/>
          <w:szCs w:val="32"/>
          <w:color w:val="auto"/>
          <w:vertAlign w:val="superscript"/>
        </w:rPr>
      </w:pPr>
    </w:p>
    <w:p>
      <w:pPr>
        <w:ind w:left="1200"/>
        <w:spacing w:after="0"/>
        <w:rPr>
          <w:rFonts w:ascii="Arial" w:cs="Arial" w:eastAsia="Arial" w:hAnsi="Arial"/>
          <w:sz w:val="32"/>
          <w:szCs w:val="32"/>
          <w:color w:val="auto"/>
          <w:vertAlign w:val="superscript"/>
        </w:rPr>
      </w:pPr>
      <w:r>
        <w:rPr>
          <w:rFonts w:ascii="Arial" w:cs="Arial" w:eastAsia="Arial" w:hAnsi="Arial"/>
          <w:sz w:val="16"/>
          <w:szCs w:val="16"/>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19050</wp:posOffset>
            </wp:positionV>
            <wp:extent cx="56235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647" w:lineRule="exact"/>
        <w:rPr>
          <w:sz w:val="20"/>
          <w:szCs w:val="20"/>
          <w:color w:val="auto"/>
        </w:rPr>
      </w:pPr>
    </w:p>
    <w:p>
      <w:pPr>
        <w:sectPr>
          <w:pgSz w:w="11900" w:h="16838" w:orient="portrait"/>
          <w:cols w:equalWidth="0" w:num="2">
            <w:col w:w="9440" w:space="240"/>
            <w:col w:w="19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Analysis</w:t>
      </w:r>
    </w:p>
    <w:p>
      <w:pPr>
        <w:spacing w:after="0" w:line="142" w:lineRule="exact"/>
        <w:rPr>
          <w:sz w:val="20"/>
          <w:szCs w:val="20"/>
          <w:color w:val="auto"/>
        </w:rPr>
      </w:pPr>
    </w:p>
    <w:p>
      <w:pPr>
        <w:jc w:val="both"/>
        <w:ind w:left="920" w:right="159"/>
        <w:spacing w:after="0" w:line="268" w:lineRule="auto"/>
        <w:rPr>
          <w:sz w:val="20"/>
          <w:szCs w:val="20"/>
          <w:color w:val="auto"/>
        </w:rPr>
      </w:pPr>
      <w:r>
        <w:rPr>
          <w:rFonts w:ascii="Arial" w:cs="Arial" w:eastAsia="Arial" w:hAnsi="Arial"/>
          <w:sz w:val="18"/>
          <w:szCs w:val="18"/>
          <w:color w:val="auto"/>
        </w:rPr>
        <w:t>The graph below provides a comparison between the compensation actually paid to each of our PEOs and our average compensation actually paid to our Other NEOs against the Company TSR and the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224155</wp:posOffset>
            </wp:positionV>
            <wp:extent cx="4568825" cy="2434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56882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20" w:right="339"/>
        <w:spacing w:after="0" w:line="253" w:lineRule="auto"/>
        <w:rPr>
          <w:sz w:val="20"/>
          <w:szCs w:val="20"/>
          <w:color w:val="auto"/>
        </w:rPr>
      </w:pPr>
      <w:r>
        <w:rPr>
          <w:rFonts w:ascii="Arial" w:cs="Arial" w:eastAsia="Arial" w:hAnsi="Arial"/>
          <w:sz w:val="18"/>
          <w:szCs w:val="18"/>
          <w:color w:val="auto"/>
        </w:rPr>
        <w:t>The graph below demonstrates the correlation between compensation actually paid to each of our PEOs and average compensation actually paid to our Other NEOs against the Company’s net income for</w:t>
      </w:r>
    </w:p>
    <w:p>
      <w:pPr>
        <w:ind w:left="920"/>
        <w:spacing w:after="0"/>
        <w:rPr>
          <w:sz w:val="20"/>
          <w:szCs w:val="20"/>
          <w:color w:val="auto"/>
        </w:rPr>
      </w:pPr>
      <w:r>
        <w:rPr>
          <w:rFonts w:ascii="Arial" w:cs="Arial" w:eastAsia="Arial" w:hAnsi="Arial"/>
          <w:sz w:val="18"/>
          <w:szCs w:val="18"/>
          <w:color w:val="auto"/>
        </w:rPr>
        <w:t>the years ended December 31, 2025, 2024, 2023,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109220</wp:posOffset>
            </wp:positionV>
            <wp:extent cx="4568825" cy="2434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568825" cy="24345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E7417A"/>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9166BA"/>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9166BA"/>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139"/>
        <w:spacing w:after="0" w:line="246" w:lineRule="auto"/>
        <w:rPr>
          <w:sz w:val="20"/>
          <w:szCs w:val="20"/>
          <w:color w:val="auto"/>
        </w:rPr>
      </w:pPr>
      <w:r>
        <w:rPr>
          <w:rFonts w:ascii="Arial" w:cs="Arial" w:eastAsia="Arial" w:hAnsi="Arial"/>
          <w:sz w:val="18"/>
          <w:szCs w:val="18"/>
          <w:color w:val="auto"/>
        </w:rPr>
        <w:t>As demonstrated in the graph below, the amount of compensation actually paid to the PEOs and the average amount of compensation actually paid to the Other NEOs (as a group). While the Company uses numerous financial and non-financial performance measures for the purpose of evaluating performance for the Company’s compensation programs, the Company has determined that revenue is the financial performance measure that, in the Company’s assessment, represents the most important performance measure (that is not otherwise required to be disclosed in the table) used by the Company to link compensation actually paid to the company’s NEOs, for the periods presented,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97790</wp:posOffset>
            </wp:positionV>
            <wp:extent cx="4568825" cy="2434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568825" cy="24345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9166BA"/>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STOCK INFORMATION</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Beneficial Ownership of Our Common Stock</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information regarding beneficial ownership of our common stock as of</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March 20, 2026 by:</w:t>
      </w:r>
    </w:p>
    <w:p>
      <w:pPr>
        <w:spacing w:after="0" w:line="126" w:lineRule="exact"/>
        <w:rPr>
          <w:sz w:val="20"/>
          <w:szCs w:val="20"/>
          <w:color w:val="auto"/>
        </w:rPr>
      </w:pPr>
    </w:p>
    <w:p>
      <w:pPr>
        <w:ind w:left="1280" w:right="439" w:hanging="356"/>
        <w:spacing w:after="0" w:line="271" w:lineRule="auto"/>
        <w:tabs>
          <w:tab w:leader="none" w:pos="1280" w:val="left"/>
        </w:tabs>
        <w:numPr>
          <w:ilvl w:val="0"/>
          <w:numId w:val="137"/>
        </w:numPr>
        <w:rPr>
          <w:rFonts w:ascii="Arial" w:cs="Arial" w:eastAsia="Arial" w:hAnsi="Arial"/>
          <w:sz w:val="18"/>
          <w:szCs w:val="18"/>
          <w:color w:val="62259D"/>
        </w:rPr>
      </w:pPr>
      <w:r>
        <w:rPr>
          <w:rFonts w:ascii="Arial" w:cs="Arial" w:eastAsia="Arial" w:hAnsi="Arial"/>
          <w:sz w:val="18"/>
          <w:szCs w:val="18"/>
          <w:color w:val="auto"/>
        </w:rPr>
        <w:t>each person who beneficially owns, to the best of our knowledge, more than 5% of the outstanding shares of our common stock;</w:t>
      </w:r>
    </w:p>
    <w:p>
      <w:pPr>
        <w:spacing w:after="0" w:line="18" w:lineRule="exact"/>
        <w:rPr>
          <w:rFonts w:ascii="Arial" w:cs="Arial" w:eastAsia="Arial" w:hAnsi="Arial"/>
          <w:sz w:val="18"/>
          <w:szCs w:val="18"/>
          <w:color w:val="62259D"/>
        </w:rPr>
      </w:pPr>
    </w:p>
    <w:p>
      <w:pPr>
        <w:ind w:left="1280" w:hanging="356"/>
        <w:spacing w:after="0"/>
        <w:tabs>
          <w:tab w:leader="none" w:pos="1280" w:val="left"/>
        </w:tabs>
        <w:numPr>
          <w:ilvl w:val="0"/>
          <w:numId w:val="137"/>
        </w:numPr>
        <w:rPr>
          <w:rFonts w:ascii="Arial" w:cs="Arial" w:eastAsia="Arial" w:hAnsi="Arial"/>
          <w:sz w:val="18"/>
          <w:szCs w:val="18"/>
          <w:color w:val="62259D"/>
        </w:rPr>
      </w:pPr>
      <w:r>
        <w:rPr>
          <w:rFonts w:ascii="Arial" w:cs="Arial" w:eastAsia="Arial" w:hAnsi="Arial"/>
          <w:sz w:val="18"/>
          <w:szCs w:val="18"/>
          <w:color w:val="auto"/>
        </w:rPr>
        <w:t>each of our current named executive officers;</w:t>
      </w:r>
    </w:p>
    <w:p>
      <w:pPr>
        <w:spacing w:after="0" w:line="63" w:lineRule="exact"/>
        <w:rPr>
          <w:rFonts w:ascii="Arial" w:cs="Arial" w:eastAsia="Arial" w:hAnsi="Arial"/>
          <w:sz w:val="18"/>
          <w:szCs w:val="18"/>
          <w:color w:val="62259D"/>
        </w:rPr>
      </w:pPr>
    </w:p>
    <w:p>
      <w:pPr>
        <w:ind w:left="1280" w:hanging="356"/>
        <w:spacing w:after="0"/>
        <w:tabs>
          <w:tab w:leader="none" w:pos="1280" w:val="left"/>
        </w:tabs>
        <w:numPr>
          <w:ilvl w:val="0"/>
          <w:numId w:val="137"/>
        </w:numPr>
        <w:rPr>
          <w:rFonts w:ascii="Arial" w:cs="Arial" w:eastAsia="Arial" w:hAnsi="Arial"/>
          <w:sz w:val="18"/>
          <w:szCs w:val="18"/>
          <w:color w:val="62259D"/>
        </w:rPr>
      </w:pPr>
      <w:r>
        <w:rPr>
          <w:rFonts w:ascii="Arial" w:cs="Arial" w:eastAsia="Arial" w:hAnsi="Arial"/>
          <w:sz w:val="18"/>
          <w:szCs w:val="18"/>
          <w:color w:val="auto"/>
        </w:rPr>
        <w:t>each of our directors; and</w:t>
      </w:r>
    </w:p>
    <w:p>
      <w:pPr>
        <w:spacing w:after="0" w:line="76" w:lineRule="exact"/>
        <w:rPr>
          <w:rFonts w:ascii="Arial" w:cs="Arial" w:eastAsia="Arial" w:hAnsi="Arial"/>
          <w:sz w:val="18"/>
          <w:szCs w:val="18"/>
          <w:color w:val="62259D"/>
        </w:rPr>
      </w:pPr>
    </w:p>
    <w:p>
      <w:pPr>
        <w:ind w:left="1280" w:hanging="356"/>
        <w:spacing w:after="0"/>
        <w:tabs>
          <w:tab w:leader="none" w:pos="1280" w:val="left"/>
        </w:tabs>
        <w:numPr>
          <w:ilvl w:val="0"/>
          <w:numId w:val="137"/>
        </w:numPr>
        <w:rPr>
          <w:rFonts w:ascii="Arial" w:cs="Arial" w:eastAsia="Arial" w:hAnsi="Arial"/>
          <w:sz w:val="18"/>
          <w:szCs w:val="18"/>
          <w:color w:val="62259D"/>
        </w:rPr>
      </w:pPr>
      <w:r>
        <w:rPr>
          <w:rFonts w:ascii="Arial" w:cs="Arial" w:eastAsia="Arial" w:hAnsi="Arial"/>
          <w:sz w:val="18"/>
          <w:szCs w:val="18"/>
          <w:color w:val="auto"/>
        </w:rPr>
        <w:t>all of our current executive officers and directors as a group (together, the “</w:t>
      </w:r>
      <w:r>
        <w:rPr>
          <w:rFonts w:ascii="Arial" w:cs="Arial" w:eastAsia="Arial" w:hAnsi="Arial"/>
          <w:sz w:val="18"/>
          <w:szCs w:val="18"/>
          <w:i w:val="1"/>
          <w:iCs w:val="1"/>
          <w:color w:val="auto"/>
        </w:rPr>
        <w:t>Beneficial Holders</w:t>
      </w:r>
      <w:r>
        <w:rPr>
          <w:rFonts w:ascii="Arial" w:cs="Arial" w:eastAsia="Arial" w:hAnsi="Arial"/>
          <w:sz w:val="18"/>
          <w:szCs w:val="18"/>
          <w:color w:val="auto"/>
        </w:rPr>
        <w:t>”).</w:t>
      </w:r>
    </w:p>
    <w:p>
      <w:pPr>
        <w:spacing w:after="0" w:line="144" w:lineRule="exact"/>
        <w:rPr>
          <w:sz w:val="20"/>
          <w:szCs w:val="20"/>
          <w:color w:val="auto"/>
        </w:rPr>
      </w:pPr>
    </w:p>
    <w:p>
      <w:pPr>
        <w:ind w:left="920" w:right="99"/>
        <w:spacing w:after="0" w:line="248"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shares. In computing the number of shares beneficially owned by each person named in the following table and the percentage ownership of that person, shares of common stock that the person has the right to acquire within 60 days of April 6, 2026 through the exercise of any equity right, are deemed owned by that person and are also deemed outstanding. These shares are not, however, deemed outstanding for purposes of computing the percentage ownership of any other person.</w:t>
      </w:r>
    </w:p>
    <w:p>
      <w:pPr>
        <w:spacing w:after="0" w:line="107" w:lineRule="exact"/>
        <w:rPr>
          <w:sz w:val="20"/>
          <w:szCs w:val="20"/>
          <w:color w:val="auto"/>
        </w:rPr>
      </w:pPr>
    </w:p>
    <w:p>
      <w:pPr>
        <w:ind w:left="920" w:right="159"/>
        <w:spacing w:after="0" w:line="247" w:lineRule="auto"/>
        <w:rPr>
          <w:sz w:val="20"/>
          <w:szCs w:val="20"/>
          <w:color w:val="auto"/>
        </w:rPr>
      </w:pPr>
      <w:r>
        <w:rPr>
          <w:rFonts w:ascii="Arial" w:cs="Arial" w:eastAsia="Arial" w:hAnsi="Arial"/>
          <w:sz w:val="18"/>
          <w:szCs w:val="18"/>
          <w:color w:val="auto"/>
        </w:rPr>
        <w:t>Unless otherwise indicated below, to our knowledge, all persons named in the table have sole voting and investment power with respect to their shares of common stock, except to the extent authority is shared by spouses under applicable law. The percentage of common stock outstanding as of April 6, 2026 is based upon 175,507,629 shares of common stock outstanding on that date. Unless otherwise indicated, the address of all listed stockholders is 6500 Chase Oaks Blvd, Suite 100, Plano, TX 75023.</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97"/>
        </w:trPr>
        <w:tc>
          <w:tcPr>
            <w:tcW w:w="2900" w:type="dxa"/>
            <w:vAlign w:val="bottom"/>
            <w:shd w:val="clear" w:color="auto" w:fill="62259D"/>
          </w:tcPr>
          <w:p>
            <w:pPr>
              <w:spacing w:after="0"/>
              <w:rPr>
                <w:sz w:val="17"/>
                <w:szCs w:val="17"/>
                <w:color w:val="auto"/>
              </w:rPr>
            </w:pPr>
          </w:p>
        </w:tc>
        <w:tc>
          <w:tcPr>
            <w:tcW w:w="360" w:type="dxa"/>
            <w:vAlign w:val="bottom"/>
            <w:shd w:val="clear" w:color="auto" w:fill="62259D"/>
          </w:tcPr>
          <w:p>
            <w:pPr>
              <w:spacing w:after="0"/>
              <w:rPr>
                <w:sz w:val="17"/>
                <w:szCs w:val="17"/>
                <w:color w:val="auto"/>
              </w:rPr>
            </w:pPr>
          </w:p>
        </w:tc>
        <w:tc>
          <w:tcPr>
            <w:tcW w:w="180" w:type="dxa"/>
            <w:vAlign w:val="bottom"/>
            <w:shd w:val="clear" w:color="auto" w:fill="62259D"/>
          </w:tcPr>
          <w:p>
            <w:pPr>
              <w:spacing w:after="0"/>
              <w:rPr>
                <w:sz w:val="17"/>
                <w:szCs w:val="17"/>
                <w:color w:val="auto"/>
              </w:rPr>
            </w:pPr>
          </w:p>
        </w:tc>
        <w:tc>
          <w:tcPr>
            <w:tcW w:w="2580" w:type="dxa"/>
            <w:vAlign w:val="bottom"/>
            <w:gridSpan w:val="3"/>
            <w:shd w:val="clear" w:color="auto" w:fill="62259D"/>
          </w:tcPr>
          <w:p>
            <w:pPr>
              <w:ind w:left="40"/>
              <w:spacing w:after="0"/>
              <w:rPr>
                <w:sz w:val="20"/>
                <w:szCs w:val="20"/>
                <w:color w:val="auto"/>
              </w:rPr>
            </w:pPr>
            <w:r>
              <w:rPr>
                <w:rFonts w:ascii="Arial" w:cs="Arial" w:eastAsia="Arial" w:hAnsi="Arial"/>
                <w:sz w:val="15"/>
                <w:szCs w:val="15"/>
                <w:b w:val="1"/>
                <w:bCs w:val="1"/>
                <w:color w:val="FEFEFE"/>
              </w:rPr>
              <w:t>Number of Shares Beneficially</w:t>
            </w:r>
          </w:p>
        </w:tc>
        <w:tc>
          <w:tcPr>
            <w:tcW w:w="300" w:type="dxa"/>
            <w:vAlign w:val="bottom"/>
            <w:shd w:val="clear" w:color="auto" w:fill="62259D"/>
          </w:tcPr>
          <w:p>
            <w:pPr>
              <w:spacing w:after="0"/>
              <w:rPr>
                <w:sz w:val="17"/>
                <w:szCs w:val="17"/>
                <w:color w:val="auto"/>
              </w:rPr>
            </w:pPr>
          </w:p>
        </w:tc>
        <w:tc>
          <w:tcPr>
            <w:tcW w:w="1160" w:type="dxa"/>
            <w:vAlign w:val="bottom"/>
            <w:shd w:val="clear" w:color="auto" w:fill="62259D"/>
          </w:tcPr>
          <w:p>
            <w:pPr>
              <w:spacing w:after="0"/>
              <w:rPr>
                <w:sz w:val="17"/>
                <w:szCs w:val="17"/>
                <w:color w:val="auto"/>
              </w:rPr>
            </w:pPr>
          </w:p>
        </w:tc>
        <w:tc>
          <w:tcPr>
            <w:tcW w:w="880" w:type="dxa"/>
            <w:vAlign w:val="bottom"/>
            <w:shd w:val="clear" w:color="auto" w:fill="62259D"/>
          </w:tcPr>
          <w:p>
            <w:pPr>
              <w:spacing w:after="0"/>
              <w:rPr>
                <w:sz w:val="17"/>
                <w:szCs w:val="17"/>
                <w:color w:val="auto"/>
              </w:rPr>
            </w:pPr>
          </w:p>
        </w:tc>
        <w:tc>
          <w:tcPr>
            <w:tcW w:w="500" w:type="dxa"/>
            <w:vAlign w:val="bottom"/>
            <w:shd w:val="clear" w:color="auto" w:fill="62259D"/>
          </w:tcPr>
          <w:p>
            <w:pPr>
              <w:spacing w:after="0"/>
              <w:rPr>
                <w:sz w:val="17"/>
                <w:szCs w:val="17"/>
                <w:color w:val="auto"/>
              </w:rPr>
            </w:pPr>
          </w:p>
        </w:tc>
      </w:tr>
      <w:tr>
        <w:trPr>
          <w:trHeight w:val="175"/>
        </w:trPr>
        <w:tc>
          <w:tcPr>
            <w:tcW w:w="2900" w:type="dxa"/>
            <w:vAlign w:val="bottom"/>
            <w:shd w:val="clear" w:color="auto" w:fill="62259D"/>
          </w:tcPr>
          <w:p>
            <w:pPr>
              <w:spacing w:after="0"/>
              <w:rPr>
                <w:sz w:val="15"/>
                <w:szCs w:val="15"/>
                <w:color w:val="auto"/>
              </w:rPr>
            </w:pPr>
          </w:p>
        </w:tc>
        <w:tc>
          <w:tcPr>
            <w:tcW w:w="360" w:type="dxa"/>
            <w:vAlign w:val="bottom"/>
            <w:shd w:val="clear" w:color="auto" w:fill="62259D"/>
          </w:tcPr>
          <w:p>
            <w:pPr>
              <w:spacing w:after="0"/>
              <w:rPr>
                <w:sz w:val="15"/>
                <w:szCs w:val="15"/>
                <w:color w:val="auto"/>
              </w:rPr>
            </w:pPr>
          </w:p>
        </w:tc>
        <w:tc>
          <w:tcPr>
            <w:tcW w:w="180" w:type="dxa"/>
            <w:vAlign w:val="bottom"/>
            <w:shd w:val="clear" w:color="auto" w:fill="62259D"/>
          </w:tcPr>
          <w:p>
            <w:pPr>
              <w:spacing w:after="0"/>
              <w:rPr>
                <w:sz w:val="15"/>
                <w:szCs w:val="15"/>
                <w:color w:val="auto"/>
              </w:rPr>
            </w:pPr>
          </w:p>
        </w:tc>
        <w:tc>
          <w:tcPr>
            <w:tcW w:w="960" w:type="dxa"/>
            <w:vAlign w:val="bottom"/>
            <w:shd w:val="clear" w:color="auto" w:fill="62259D"/>
          </w:tcPr>
          <w:p>
            <w:pPr>
              <w:spacing w:after="0"/>
              <w:rPr>
                <w:sz w:val="15"/>
                <w:szCs w:val="15"/>
                <w:color w:val="auto"/>
              </w:rPr>
            </w:pPr>
          </w:p>
        </w:tc>
        <w:tc>
          <w:tcPr>
            <w:tcW w:w="1100" w:type="dxa"/>
            <w:vAlign w:val="bottom"/>
            <w:shd w:val="clear" w:color="auto" w:fill="62259D"/>
          </w:tcPr>
          <w:p>
            <w:pPr>
              <w:jc w:val="right"/>
              <w:ind w:right="460"/>
              <w:spacing w:after="0"/>
              <w:rPr>
                <w:sz w:val="20"/>
                <w:szCs w:val="20"/>
                <w:color w:val="auto"/>
              </w:rPr>
            </w:pPr>
            <w:r>
              <w:rPr>
                <w:rFonts w:ascii="Arial" w:cs="Arial" w:eastAsia="Arial" w:hAnsi="Arial"/>
                <w:sz w:val="15"/>
                <w:szCs w:val="15"/>
                <w:b w:val="1"/>
                <w:bCs w:val="1"/>
                <w:color w:val="FEFEFE"/>
              </w:rPr>
              <w:t>Owned</w:t>
            </w:r>
          </w:p>
        </w:tc>
        <w:tc>
          <w:tcPr>
            <w:tcW w:w="520" w:type="dxa"/>
            <w:vAlign w:val="bottom"/>
            <w:shd w:val="clear" w:color="auto" w:fill="62259D"/>
          </w:tcPr>
          <w:p>
            <w:pPr>
              <w:spacing w:after="0"/>
              <w:rPr>
                <w:sz w:val="15"/>
                <w:szCs w:val="15"/>
                <w:color w:val="auto"/>
              </w:rPr>
            </w:pPr>
          </w:p>
        </w:tc>
        <w:tc>
          <w:tcPr>
            <w:tcW w:w="300" w:type="dxa"/>
            <w:vAlign w:val="bottom"/>
            <w:shd w:val="clear" w:color="auto" w:fill="62259D"/>
          </w:tcPr>
          <w:p>
            <w:pPr>
              <w:spacing w:after="0"/>
              <w:rPr>
                <w:sz w:val="15"/>
                <w:szCs w:val="15"/>
                <w:color w:val="auto"/>
              </w:rPr>
            </w:pPr>
          </w:p>
        </w:tc>
        <w:tc>
          <w:tcPr>
            <w:tcW w:w="2540" w:type="dxa"/>
            <w:vAlign w:val="bottom"/>
            <w:gridSpan w:val="3"/>
            <w:shd w:val="clear" w:color="auto" w:fill="62259D"/>
          </w:tcPr>
          <w:p>
            <w:pPr>
              <w:ind w:left="20"/>
              <w:spacing w:after="0"/>
              <w:rPr>
                <w:sz w:val="20"/>
                <w:szCs w:val="20"/>
                <w:color w:val="auto"/>
              </w:rPr>
            </w:pPr>
            <w:r>
              <w:rPr>
                <w:rFonts w:ascii="Arial" w:cs="Arial" w:eastAsia="Arial" w:hAnsi="Arial"/>
                <w:sz w:val="15"/>
                <w:szCs w:val="15"/>
                <w:b w:val="1"/>
                <w:bCs w:val="1"/>
                <w:color w:val="FEFEFE"/>
              </w:rPr>
              <w:t>Percentage of Common Stock</w:t>
            </w:r>
          </w:p>
        </w:tc>
      </w:tr>
      <w:tr>
        <w:trPr>
          <w:trHeight w:val="249"/>
        </w:trPr>
        <w:tc>
          <w:tcPr>
            <w:tcW w:w="2900" w:type="dxa"/>
            <w:vAlign w:val="bottom"/>
            <w:shd w:val="clear" w:color="auto" w:fill="62259D"/>
          </w:tcPr>
          <w:p>
            <w:pPr>
              <w:ind w:left="40"/>
              <w:spacing w:after="0" w:line="249" w:lineRule="exact"/>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5"/>
                <w:szCs w:val="15"/>
                <w:b w:val="1"/>
                <w:bCs w:val="1"/>
                <w:color w:val="FEFEFE"/>
              </w:rPr>
              <w:t>Name of Beneficial Owner</w:t>
            </w:r>
          </w:p>
        </w:tc>
        <w:tc>
          <w:tcPr>
            <w:tcW w:w="360" w:type="dxa"/>
            <w:vAlign w:val="bottom"/>
            <w:shd w:val="clear" w:color="auto" w:fill="62259D"/>
          </w:tcPr>
          <w:p>
            <w:pPr>
              <w:ind w:left="300"/>
              <w:spacing w:after="0"/>
              <w:rPr>
                <w:sz w:val="20"/>
                <w:szCs w:val="20"/>
                <w:color w:val="auto"/>
              </w:rPr>
            </w:pPr>
            <w:r>
              <w:rPr>
                <w:rFonts w:ascii="Arial" w:cs="Arial" w:eastAsia="Arial" w:hAnsi="Arial"/>
                <w:sz w:val="15"/>
                <w:szCs w:val="15"/>
                <w:b w:val="1"/>
                <w:bCs w:val="1"/>
                <w:color w:val="FEFEFE"/>
              </w:rPr>
              <w:t>​</w:t>
            </w:r>
          </w:p>
        </w:tc>
        <w:tc>
          <w:tcPr>
            <w:tcW w:w="180" w:type="dxa"/>
            <w:vAlign w:val="bottom"/>
            <w:shd w:val="clear" w:color="auto" w:fill="62259D"/>
          </w:tcPr>
          <w:p>
            <w:pPr>
              <w:ind w:left="120"/>
              <w:spacing w:after="0"/>
              <w:rPr>
                <w:sz w:val="20"/>
                <w:szCs w:val="20"/>
                <w:color w:val="auto"/>
              </w:rPr>
            </w:pPr>
            <w:r>
              <w:rPr>
                <w:rFonts w:ascii="Arial" w:cs="Arial" w:eastAsia="Arial" w:hAnsi="Arial"/>
                <w:sz w:val="15"/>
                <w:szCs w:val="15"/>
                <w:b w:val="1"/>
                <w:bCs w:val="1"/>
                <w:color w:val="FEFEFE"/>
              </w:rPr>
              <w:t>​</w:t>
            </w:r>
          </w:p>
        </w:tc>
        <w:tc>
          <w:tcPr>
            <w:tcW w:w="960" w:type="dxa"/>
            <w:vAlign w:val="bottom"/>
            <w:shd w:val="clear" w:color="auto" w:fill="62259D"/>
          </w:tcPr>
          <w:p>
            <w:pPr>
              <w:spacing w:after="0"/>
              <w:rPr>
                <w:sz w:val="21"/>
                <w:szCs w:val="21"/>
                <w:color w:val="auto"/>
              </w:rPr>
            </w:pPr>
          </w:p>
        </w:tc>
        <w:tc>
          <w:tcPr>
            <w:tcW w:w="1100" w:type="dxa"/>
            <w:vAlign w:val="bottom"/>
            <w:shd w:val="clear" w:color="auto" w:fill="62259D"/>
          </w:tcPr>
          <w:p>
            <w:pPr>
              <w:jc w:val="right"/>
              <w:ind w:right="600"/>
              <w:spacing w:after="0"/>
              <w:rPr>
                <w:sz w:val="20"/>
                <w:szCs w:val="20"/>
                <w:color w:val="auto"/>
              </w:rPr>
            </w:pPr>
            <w:r>
              <w:rPr>
                <w:rFonts w:ascii="Arial" w:cs="Arial" w:eastAsia="Arial" w:hAnsi="Arial"/>
                <w:sz w:val="15"/>
                <w:szCs w:val="15"/>
                <w:b w:val="1"/>
                <w:bCs w:val="1"/>
                <w:color w:val="FEFEFE"/>
              </w:rPr>
              <w:t>(#)</w:t>
            </w:r>
          </w:p>
        </w:tc>
        <w:tc>
          <w:tcPr>
            <w:tcW w:w="520" w:type="dxa"/>
            <w:vAlign w:val="bottom"/>
            <w:shd w:val="clear" w:color="auto" w:fill="62259D"/>
          </w:tcPr>
          <w:p>
            <w:pPr>
              <w:spacing w:after="0"/>
              <w:rPr>
                <w:sz w:val="21"/>
                <w:szCs w:val="21"/>
                <w:color w:val="auto"/>
              </w:rPr>
            </w:pPr>
          </w:p>
        </w:tc>
        <w:tc>
          <w:tcPr>
            <w:tcW w:w="300" w:type="dxa"/>
            <w:vAlign w:val="bottom"/>
            <w:shd w:val="clear" w:color="auto" w:fill="62259D"/>
          </w:tcPr>
          <w:p>
            <w:pPr>
              <w:jc w:val="center"/>
              <w:spacing w:after="0"/>
              <w:rPr>
                <w:sz w:val="20"/>
                <w:szCs w:val="20"/>
                <w:color w:val="auto"/>
              </w:rPr>
            </w:pPr>
            <w:r>
              <w:rPr>
                <w:rFonts w:ascii="Arial" w:cs="Arial" w:eastAsia="Arial" w:hAnsi="Arial"/>
                <w:sz w:val="15"/>
                <w:szCs w:val="15"/>
                <w:b w:val="1"/>
                <w:bCs w:val="1"/>
                <w:color w:val="FEFEFE"/>
              </w:rPr>
              <w:t>​  ​</w:t>
            </w:r>
          </w:p>
        </w:tc>
        <w:tc>
          <w:tcPr>
            <w:tcW w:w="2040" w:type="dxa"/>
            <w:vAlign w:val="bottom"/>
            <w:gridSpan w:val="2"/>
            <w:shd w:val="clear" w:color="auto" w:fill="62259D"/>
          </w:tcPr>
          <w:p>
            <w:pPr>
              <w:ind w:left="740"/>
              <w:spacing w:after="0"/>
              <w:rPr>
                <w:sz w:val="20"/>
                <w:szCs w:val="20"/>
                <w:color w:val="auto"/>
              </w:rPr>
            </w:pPr>
            <w:r>
              <w:rPr>
                <w:rFonts w:ascii="Arial" w:cs="Arial" w:eastAsia="Arial" w:hAnsi="Arial"/>
                <w:sz w:val="15"/>
                <w:szCs w:val="15"/>
                <w:b w:val="1"/>
                <w:bCs w:val="1"/>
                <w:color w:val="FEFEFE"/>
              </w:rPr>
              <w:t>Outstanding</w:t>
            </w:r>
          </w:p>
        </w:tc>
        <w:tc>
          <w:tcPr>
            <w:tcW w:w="500" w:type="dxa"/>
            <w:vAlign w:val="bottom"/>
            <w:shd w:val="clear" w:color="auto" w:fill="62259D"/>
          </w:tcPr>
          <w:p>
            <w:pPr>
              <w:ind w:left="460"/>
              <w:spacing w:after="0"/>
              <w:rPr>
                <w:sz w:val="20"/>
                <w:szCs w:val="20"/>
                <w:color w:val="auto"/>
              </w:rPr>
            </w:pPr>
            <w:r>
              <w:rPr>
                <w:rFonts w:ascii="Arial" w:cs="Arial" w:eastAsia="Arial" w:hAnsi="Arial"/>
                <w:sz w:val="15"/>
                <w:szCs w:val="15"/>
                <w:b w:val="1"/>
                <w:bCs w:val="1"/>
                <w:color w:val="FEFEFE"/>
              </w:rPr>
              <w:t>​</w:t>
            </w:r>
          </w:p>
        </w:tc>
      </w:tr>
      <w:tr>
        <w:trPr>
          <w:trHeight w:val="257"/>
        </w:trPr>
        <w:tc>
          <w:tcPr>
            <w:tcW w:w="2900" w:type="dxa"/>
            <w:vAlign w:val="bottom"/>
            <w:tcBorders>
              <w:bottom w:val="single" w:sz="8" w:color="E7417A"/>
            </w:tcBorders>
            <w:shd w:val="clear" w:color="auto" w:fill="F2F2F2"/>
          </w:tcPr>
          <w:p>
            <w:pPr>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5"/>
                <w:szCs w:val="15"/>
                <w:b w:val="1"/>
                <w:bCs w:val="1"/>
                <w:color w:val="auto"/>
              </w:rPr>
              <w:t xml:space="preserve"> NEOs</w:t>
            </w:r>
          </w:p>
        </w:tc>
        <w:tc>
          <w:tcPr>
            <w:tcW w:w="360" w:type="dxa"/>
            <w:vAlign w:val="bottom"/>
            <w:tcBorders>
              <w:bottom w:val="single" w:sz="8" w:color="E7417A"/>
            </w:tcBorders>
            <w:shd w:val="clear" w:color="auto" w:fill="F2F2F2"/>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7417A"/>
            </w:tcBorders>
            <w:shd w:val="clear" w:color="auto" w:fill="F2F2F2"/>
          </w:tcPr>
          <w:p>
            <w:pPr>
              <w:ind w:left="820"/>
              <w:spacing w:after="0"/>
              <w:rPr>
                <w:sz w:val="20"/>
                <w:szCs w:val="20"/>
                <w:color w:val="auto"/>
              </w:rPr>
            </w:pPr>
            <w:r>
              <w:rPr>
                <w:rFonts w:ascii="Arial" w:cs="Arial" w:eastAsia="Arial" w:hAnsi="Arial"/>
                <w:sz w:val="16"/>
                <w:szCs w:val="16"/>
                <w:b w:val="1"/>
                <w:bCs w:val="1"/>
                <w:color w:val="auto"/>
              </w:rPr>
              <w:t>​ ​</w:t>
            </w:r>
          </w:p>
        </w:tc>
        <w:tc>
          <w:tcPr>
            <w:tcW w:w="1100" w:type="dxa"/>
            <w:vAlign w:val="bottom"/>
            <w:tcBorders>
              <w:bottom w:val="single" w:sz="8" w:color="E7417A"/>
            </w:tcBorders>
            <w:shd w:val="clear" w:color="auto" w:fill="F2F2F2"/>
          </w:tcPr>
          <w:p>
            <w:pPr>
              <w:jc w:val="right"/>
              <w:ind w:right="280"/>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E7417A"/>
            </w:tcBorders>
            <w:shd w:val="clear" w:color="auto" w:fill="F2F2F2"/>
          </w:tcPr>
          <w:p>
            <w:pPr>
              <w:ind w:left="380"/>
              <w:spacing w:after="0"/>
              <w:rPr>
                <w:sz w:val="20"/>
                <w:szCs w:val="20"/>
                <w:color w:val="auto"/>
              </w:rPr>
            </w:pPr>
            <w:r>
              <w:rPr>
                <w:rFonts w:ascii="Arial" w:cs="Arial" w:eastAsia="Arial" w:hAnsi="Arial"/>
                <w:sz w:val="16"/>
                <w:szCs w:val="16"/>
                <w:b w:val="1"/>
                <w:bCs w:val="1"/>
                <w:color w:val="auto"/>
              </w:rPr>
              <w:t>​ ​</w:t>
            </w:r>
          </w:p>
        </w:tc>
        <w:tc>
          <w:tcPr>
            <w:tcW w:w="3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7417A"/>
            </w:tcBorders>
            <w:shd w:val="clear" w:color="auto" w:fill="F2F2F2"/>
          </w:tcPr>
          <w:p>
            <w:pPr>
              <w:ind w:left="100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7417A"/>
            </w:tcBorders>
            <w:shd w:val="clear" w:color="auto" w:fill="F2F2F2"/>
          </w:tcPr>
          <w:p>
            <w:pPr>
              <w:jc w:val="right"/>
              <w:ind w:right="51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7417A"/>
            </w:tcBorders>
            <w:shd w:val="clear" w:color="auto" w:fill="F2F2F2"/>
          </w:tcPr>
          <w:p>
            <w:pPr>
              <w:ind w:left="340"/>
              <w:spacing w:after="0"/>
              <w:rPr>
                <w:sz w:val="20"/>
                <w:szCs w:val="20"/>
                <w:color w:val="auto"/>
              </w:rPr>
            </w:pPr>
            <w:r>
              <w:rPr>
                <w:rFonts w:ascii="Arial" w:cs="Arial" w:eastAsia="Arial" w:hAnsi="Arial"/>
                <w:sz w:val="16"/>
                <w:szCs w:val="16"/>
                <w:b w:val="1"/>
                <w:bCs w:val="1"/>
                <w:color w:val="auto"/>
              </w:rPr>
              <w:t>​​</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Bruce McClelland</w:t>
            </w:r>
            <w:r>
              <w:rPr>
                <w:rFonts w:ascii="Arial" w:cs="Arial" w:eastAsia="Arial" w:hAnsi="Arial"/>
                <w:sz w:val="17"/>
                <w:szCs w:val="17"/>
                <w:color w:val="auto"/>
                <w:vertAlign w:val="superscript"/>
              </w:rPr>
              <w:t>(1)</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E7417A"/>
            </w:tcBorders>
            <w:gridSpan w:val="2"/>
          </w:tcPr>
          <w:p>
            <w:pPr>
              <w:ind w:left="8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​3,812,911</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E7417A"/>
            </w:tcBorders>
            <w:gridSpan w:val="2"/>
          </w:tcPr>
          <w:p>
            <w:pPr>
              <w:ind w:left="100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​2.14%</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Sam Bucci</w:t>
            </w:r>
            <w:r>
              <w:rPr>
                <w:rFonts w:ascii="Arial" w:cs="Arial" w:eastAsia="Arial" w:hAnsi="Arial"/>
                <w:sz w:val="17"/>
                <w:szCs w:val="17"/>
                <w:color w:val="auto"/>
                <w:vertAlign w:val="superscript"/>
              </w:rPr>
              <w:t>(2)</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772,574</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Patrick Macken</w:t>
            </w:r>
            <w:r>
              <w:rPr>
                <w:rFonts w:ascii="Arial" w:cs="Arial" w:eastAsia="Arial" w:hAnsi="Arial"/>
                <w:sz w:val="17"/>
                <w:szCs w:val="17"/>
                <w:color w:val="auto"/>
                <w:vertAlign w:val="superscript"/>
              </w:rPr>
              <w:t>(3)</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535,278</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Steve McCaffery</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87,200</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Dan Redington</w:t>
            </w:r>
            <w:r>
              <w:rPr>
                <w:rFonts w:ascii="Arial" w:cs="Arial" w:eastAsia="Arial" w:hAnsi="Arial"/>
                <w:sz w:val="17"/>
                <w:szCs w:val="17"/>
                <w:color w:val="auto"/>
                <w:vertAlign w:val="superscript"/>
              </w:rPr>
              <w:t>(4)</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0</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John Townsend</w:t>
            </w:r>
            <w:r>
              <w:rPr>
                <w:rFonts w:ascii="Arial" w:cs="Arial" w:eastAsia="Arial" w:hAnsi="Arial"/>
                <w:sz w:val="17"/>
                <w:szCs w:val="17"/>
                <w:color w:val="auto"/>
                <w:vertAlign w:val="superscript"/>
              </w:rPr>
              <w:t>(5)</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103,398</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shd w:val="clear" w:color="auto" w:fill="F2F2F2"/>
          </w:tcPr>
          <w:p>
            <w:pPr>
              <w:spacing w:after="0" w:line="250"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xml:space="preserve"> Directors</w:t>
            </w:r>
          </w:p>
        </w:tc>
        <w:tc>
          <w:tcPr>
            <w:tcW w:w="360" w:type="dxa"/>
            <w:vAlign w:val="bottom"/>
            <w:tcBorders>
              <w:bottom w:val="single" w:sz="8" w:color="E7417A"/>
            </w:tcBorders>
            <w:shd w:val="clear" w:color="auto" w:fill="F2F2F2"/>
          </w:tcPr>
          <w:p>
            <w:pPr>
              <w:ind w:left="20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E7417A"/>
            </w:tcBorders>
            <w:shd w:val="clear" w:color="auto" w:fill="F2F2F2"/>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7417A"/>
            </w:tcBorders>
            <w:shd w:val="clear" w:color="auto" w:fill="F2F2F2"/>
          </w:tcPr>
          <w:p>
            <w:pPr>
              <w:ind w:left="820"/>
              <w:spacing w:after="0"/>
              <w:rPr>
                <w:sz w:val="20"/>
                <w:szCs w:val="20"/>
                <w:color w:val="auto"/>
              </w:rPr>
            </w:pPr>
            <w:r>
              <w:rPr>
                <w:rFonts w:ascii="Arial" w:cs="Arial" w:eastAsia="Arial" w:hAnsi="Arial"/>
                <w:sz w:val="16"/>
                <w:szCs w:val="16"/>
                <w:b w:val="1"/>
                <w:bCs w:val="1"/>
                <w:color w:val="auto"/>
              </w:rPr>
              <w:t>​ ​</w:t>
            </w:r>
          </w:p>
        </w:tc>
        <w:tc>
          <w:tcPr>
            <w:tcW w:w="1100" w:type="dxa"/>
            <w:vAlign w:val="bottom"/>
            <w:tcBorders>
              <w:bottom w:val="single" w:sz="8" w:color="E7417A"/>
            </w:tcBorders>
            <w:shd w:val="clear" w:color="auto" w:fill="F2F2F2"/>
          </w:tcPr>
          <w:p>
            <w:pPr>
              <w:jc w:val="right"/>
              <w:ind w:right="280"/>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E7417A"/>
            </w:tcBorders>
            <w:shd w:val="clear" w:color="auto" w:fill="F2F2F2"/>
          </w:tcPr>
          <w:p>
            <w:pPr>
              <w:ind w:left="380"/>
              <w:spacing w:after="0"/>
              <w:rPr>
                <w:sz w:val="20"/>
                <w:szCs w:val="20"/>
                <w:color w:val="auto"/>
              </w:rPr>
            </w:pPr>
            <w:r>
              <w:rPr>
                <w:rFonts w:ascii="Arial" w:cs="Arial" w:eastAsia="Arial" w:hAnsi="Arial"/>
                <w:sz w:val="16"/>
                <w:szCs w:val="16"/>
                <w:b w:val="1"/>
                <w:bCs w:val="1"/>
                <w:color w:val="auto"/>
              </w:rPr>
              <w:t>​ ​</w:t>
            </w:r>
          </w:p>
        </w:tc>
        <w:tc>
          <w:tcPr>
            <w:tcW w:w="300" w:type="dxa"/>
            <w:vAlign w:val="bottom"/>
            <w:tcBorders>
              <w:bottom w:val="single" w:sz="8" w:color="E7417A"/>
            </w:tcBorders>
            <w:shd w:val="clear" w:color="auto" w:fill="F2F2F2"/>
          </w:tcPr>
          <w:p>
            <w:pPr>
              <w:jc w:val="center"/>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7417A"/>
            </w:tcBorders>
            <w:shd w:val="clear" w:color="auto" w:fill="F2F2F2"/>
          </w:tcPr>
          <w:p>
            <w:pPr>
              <w:ind w:left="100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7417A"/>
            </w:tcBorders>
            <w:shd w:val="clear" w:color="auto" w:fill="F2F2F2"/>
          </w:tcPr>
          <w:p>
            <w:pPr>
              <w:jc w:val="right"/>
              <w:ind w:right="51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7417A"/>
            </w:tcBorders>
            <w:shd w:val="clear" w:color="auto" w:fill="F2F2F2"/>
          </w:tcPr>
          <w:p>
            <w:pPr>
              <w:ind w:left="340"/>
              <w:spacing w:after="0"/>
              <w:rPr>
                <w:sz w:val="20"/>
                <w:szCs w:val="20"/>
                <w:color w:val="auto"/>
              </w:rPr>
            </w:pPr>
            <w:r>
              <w:rPr>
                <w:rFonts w:ascii="Arial" w:cs="Arial" w:eastAsia="Arial" w:hAnsi="Arial"/>
                <w:sz w:val="16"/>
                <w:szCs w:val="16"/>
                <w:b w:val="1"/>
                <w:bCs w:val="1"/>
                <w:color w:val="auto"/>
              </w:rPr>
              <w:t>​​</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R. Stewart Ewing, Jr.</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197,391</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Bruns H. Grayson</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767,428</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Beatriz V. Infante</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343,224</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Scott Mair</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140,638</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Shaul Shani</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170,495</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Louis Silver</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0</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Richard W. Smith</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0</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E7417A"/>
            </w:tcBorders>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Tanya Tamone</w:t>
            </w:r>
          </w:p>
        </w:tc>
        <w:tc>
          <w:tcPr>
            <w:tcW w:w="360" w:type="dxa"/>
            <w:vAlign w:val="bottom"/>
            <w:tcBorders>
              <w:bottom w:val="single" w:sz="8" w:color="E7417A"/>
            </w:tcBorders>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7417A"/>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7417A"/>
            </w:tcBorders>
          </w:tcPr>
          <w:p>
            <w:pPr>
              <w:ind w:left="820"/>
              <w:spacing w:after="0" w:line="25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8"/>
                <w:szCs w:val="28"/>
                <w:color w:val="auto"/>
                <w:vertAlign w:val="superscript"/>
              </w:rPr>
              <w:t>​</w:t>
            </w:r>
          </w:p>
        </w:tc>
        <w:tc>
          <w:tcPr>
            <w:tcW w:w="1100" w:type="dxa"/>
            <w:vAlign w:val="bottom"/>
            <w:tcBorders>
              <w:bottom w:val="single" w:sz="8" w:color="E7417A"/>
            </w:tcBorders>
          </w:tcPr>
          <w:p>
            <w:pPr>
              <w:jc w:val="right"/>
              <w:ind w:right="320"/>
              <w:spacing w:after="0"/>
              <w:rPr>
                <w:sz w:val="20"/>
                <w:szCs w:val="20"/>
                <w:color w:val="auto"/>
              </w:rPr>
            </w:pPr>
            <w:r>
              <w:rPr>
                <w:rFonts w:ascii="Arial" w:cs="Arial" w:eastAsia="Arial" w:hAnsi="Arial"/>
                <w:sz w:val="16"/>
                <w:szCs w:val="16"/>
                <w:color w:val="auto"/>
              </w:rPr>
              <w:t>180,800</w:t>
            </w:r>
          </w:p>
        </w:tc>
        <w:tc>
          <w:tcPr>
            <w:tcW w:w="520" w:type="dxa"/>
            <w:vAlign w:val="bottom"/>
            <w:tcBorders>
              <w:bottom w:val="single" w:sz="8" w:color="E7417A"/>
            </w:tcBorders>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E7417A"/>
            </w:tcBorders>
          </w:tcPr>
          <w:p>
            <w:pPr>
              <w:jc w:val="center"/>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80" w:type="dxa"/>
            <w:vAlign w:val="bottom"/>
            <w:tcBorders>
              <w:bottom w:val="single" w:sz="8" w:color="E7417A"/>
            </w:tcBorders>
          </w:tcPr>
          <w:p>
            <w:pPr>
              <w:jc w:val="right"/>
              <w:ind w:right="5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 ​</w:t>
            </w:r>
          </w:p>
        </w:tc>
      </w:tr>
      <w:tr>
        <w:trPr>
          <w:trHeight w:val="193"/>
        </w:trPr>
        <w:tc>
          <w:tcPr>
            <w:tcW w:w="2900" w:type="dxa"/>
            <w:vAlign w:val="bottom"/>
            <w:shd w:val="clear" w:color="auto" w:fill="F2F2F2"/>
          </w:tcPr>
          <w:p>
            <w:pPr>
              <w:ind w:left="80"/>
              <w:spacing w:after="0"/>
              <w:rPr>
                <w:sz w:val="20"/>
                <w:szCs w:val="20"/>
                <w:color w:val="auto"/>
              </w:rPr>
            </w:pPr>
            <w:r>
              <w:rPr>
                <w:rFonts w:ascii="Arial" w:cs="Arial" w:eastAsia="Arial" w:hAnsi="Arial"/>
                <w:sz w:val="16"/>
                <w:szCs w:val="16"/>
                <w:color w:val="auto"/>
              </w:rPr>
              <w:t>All current executive officers and</w:t>
            </w:r>
          </w:p>
        </w:tc>
        <w:tc>
          <w:tcPr>
            <w:tcW w:w="360" w:type="dxa"/>
            <w:vAlign w:val="bottom"/>
            <w:shd w:val="clear" w:color="auto" w:fill="F2F2F2"/>
          </w:tcPr>
          <w:p>
            <w:pPr>
              <w:spacing w:after="0"/>
              <w:rPr>
                <w:sz w:val="16"/>
                <w:szCs w:val="16"/>
                <w:color w:val="auto"/>
              </w:rPr>
            </w:pPr>
          </w:p>
        </w:tc>
        <w:tc>
          <w:tcPr>
            <w:tcW w:w="180" w:type="dxa"/>
            <w:vAlign w:val="bottom"/>
            <w:shd w:val="clear" w:color="auto" w:fill="F2F2F2"/>
          </w:tcPr>
          <w:p>
            <w:pPr>
              <w:spacing w:after="0"/>
              <w:rPr>
                <w:sz w:val="16"/>
                <w:szCs w:val="16"/>
                <w:color w:val="auto"/>
              </w:rPr>
            </w:pPr>
          </w:p>
        </w:tc>
        <w:tc>
          <w:tcPr>
            <w:tcW w:w="960" w:type="dxa"/>
            <w:vAlign w:val="bottom"/>
            <w:shd w:val="clear" w:color="auto" w:fill="F2F2F2"/>
          </w:tcPr>
          <w:p>
            <w:pPr>
              <w:spacing w:after="0"/>
              <w:rPr>
                <w:sz w:val="16"/>
                <w:szCs w:val="16"/>
                <w:color w:val="auto"/>
              </w:rPr>
            </w:pPr>
          </w:p>
        </w:tc>
        <w:tc>
          <w:tcPr>
            <w:tcW w:w="1100" w:type="dxa"/>
            <w:vAlign w:val="bottom"/>
            <w:shd w:val="clear" w:color="auto" w:fill="F2F2F2"/>
          </w:tcPr>
          <w:p>
            <w:pPr>
              <w:spacing w:after="0"/>
              <w:rPr>
                <w:sz w:val="16"/>
                <w:szCs w:val="16"/>
                <w:color w:val="auto"/>
              </w:rPr>
            </w:pPr>
          </w:p>
        </w:tc>
        <w:tc>
          <w:tcPr>
            <w:tcW w:w="520" w:type="dxa"/>
            <w:vAlign w:val="bottom"/>
            <w:shd w:val="clear" w:color="auto" w:fill="F2F2F2"/>
          </w:tcPr>
          <w:p>
            <w:pPr>
              <w:spacing w:after="0"/>
              <w:rPr>
                <w:sz w:val="16"/>
                <w:szCs w:val="16"/>
                <w:color w:val="auto"/>
              </w:rPr>
            </w:pPr>
          </w:p>
        </w:tc>
        <w:tc>
          <w:tcPr>
            <w:tcW w:w="300" w:type="dxa"/>
            <w:vAlign w:val="bottom"/>
            <w:shd w:val="clear" w:color="auto" w:fill="F2F2F2"/>
          </w:tcPr>
          <w:p>
            <w:pPr>
              <w:spacing w:after="0"/>
              <w:rPr>
                <w:sz w:val="16"/>
                <w:szCs w:val="16"/>
                <w:color w:val="auto"/>
              </w:rPr>
            </w:pPr>
          </w:p>
        </w:tc>
        <w:tc>
          <w:tcPr>
            <w:tcW w:w="1160" w:type="dxa"/>
            <w:vAlign w:val="bottom"/>
            <w:shd w:val="clear" w:color="auto" w:fill="F2F2F2"/>
          </w:tcPr>
          <w:p>
            <w:pPr>
              <w:spacing w:after="0"/>
              <w:rPr>
                <w:sz w:val="16"/>
                <w:szCs w:val="16"/>
                <w:color w:val="auto"/>
              </w:rPr>
            </w:pPr>
          </w:p>
        </w:tc>
        <w:tc>
          <w:tcPr>
            <w:tcW w:w="880" w:type="dxa"/>
            <w:vAlign w:val="bottom"/>
            <w:shd w:val="clear" w:color="auto" w:fill="F2F2F2"/>
          </w:tcPr>
          <w:p>
            <w:pPr>
              <w:spacing w:after="0"/>
              <w:rPr>
                <w:sz w:val="16"/>
                <w:szCs w:val="16"/>
                <w:color w:val="auto"/>
              </w:rPr>
            </w:pPr>
          </w:p>
        </w:tc>
        <w:tc>
          <w:tcPr>
            <w:tcW w:w="500" w:type="dxa"/>
            <w:vAlign w:val="bottom"/>
            <w:shd w:val="clear" w:color="auto" w:fill="F2F2F2"/>
          </w:tcPr>
          <w:p>
            <w:pPr>
              <w:spacing w:after="0"/>
              <w:rPr>
                <w:sz w:val="16"/>
                <w:szCs w:val="16"/>
                <w:color w:val="auto"/>
              </w:rPr>
            </w:pPr>
          </w:p>
        </w:tc>
      </w:tr>
      <w:tr>
        <w:trPr>
          <w:trHeight w:val="260"/>
        </w:trPr>
        <w:tc>
          <w:tcPr>
            <w:tcW w:w="2900" w:type="dxa"/>
            <w:vAlign w:val="bottom"/>
            <w:tcBorders>
              <w:bottom w:val="single" w:sz="8" w:color="62259D"/>
            </w:tcBorders>
            <w:shd w:val="clear" w:color="auto" w:fill="F2F2F2"/>
          </w:tcPr>
          <w:p>
            <w:pPr>
              <w:spacing w:after="0" w:line="259"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directors as a group (13 persons)</w:t>
            </w:r>
            <w:r>
              <w:rPr>
                <w:rFonts w:ascii="Arial" w:cs="Arial" w:eastAsia="Arial" w:hAnsi="Arial"/>
                <w:sz w:val="18"/>
                <w:szCs w:val="18"/>
                <w:color w:val="auto"/>
                <w:vertAlign w:val="superscript"/>
              </w:rPr>
              <w:t>(6)</w:t>
            </w:r>
          </w:p>
        </w:tc>
        <w:tc>
          <w:tcPr>
            <w:tcW w:w="360" w:type="dxa"/>
            <w:vAlign w:val="bottom"/>
            <w:tcBorders>
              <w:bottom w:val="single" w:sz="8" w:color="62259D"/>
            </w:tcBorders>
            <w:shd w:val="clear" w:color="auto" w:fill="F2F2F2"/>
          </w:tcPr>
          <w:p>
            <w:pPr>
              <w:ind w:lef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62259D"/>
            </w:tcBorders>
            <w:shd w:val="clear" w:color="auto" w:fill="F2F2F2"/>
          </w:tcPr>
          <w:p>
            <w:pPr>
              <w:ind w:left="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62259D"/>
            </w:tcBorders>
            <w:gridSpan w:val="2"/>
            <w:shd w:val="clear" w:color="auto" w:fill="F2F2F2"/>
          </w:tcPr>
          <w:p>
            <w:pPr>
              <w:ind w:left="820"/>
              <w:spacing w:after="0"/>
              <w:rPr>
                <w:sz w:val="20"/>
                <w:szCs w:val="20"/>
                <w:color w:val="auto"/>
              </w:rPr>
            </w:pPr>
            <w:r>
              <w:rPr>
                <w:rFonts w:ascii="Arial" w:cs="Arial" w:eastAsia="Arial" w:hAnsi="Arial"/>
                <w:sz w:val="16"/>
                <w:szCs w:val="16"/>
                <w:color w:val="auto"/>
              </w:rPr>
              <w:t>​ ​ 7,111,337</w:t>
            </w:r>
          </w:p>
        </w:tc>
        <w:tc>
          <w:tcPr>
            <w:tcW w:w="520" w:type="dxa"/>
            <w:vAlign w:val="bottom"/>
            <w:tcBorders>
              <w:bottom w:val="single" w:sz="8" w:color="62259D"/>
            </w:tcBorders>
            <w:shd w:val="clear" w:color="auto" w:fill="F2F2F2"/>
          </w:tcPr>
          <w:p>
            <w:pPr>
              <w:ind w:left="380"/>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62259D"/>
            </w:tcBorders>
            <w:shd w:val="clear" w:color="auto" w:fill="F2F2F2"/>
          </w:tcPr>
          <w:p>
            <w:pPr>
              <w:jc w:val="center"/>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62259D"/>
            </w:tcBorders>
            <w:gridSpan w:val="2"/>
            <w:shd w:val="clear" w:color="auto" w:fill="F2F2F2"/>
          </w:tcPr>
          <w:p>
            <w:pPr>
              <w:ind w:left="1000"/>
              <w:spacing w:after="0"/>
              <w:rPr>
                <w:sz w:val="20"/>
                <w:szCs w:val="20"/>
                <w:color w:val="auto"/>
              </w:rPr>
            </w:pPr>
            <w:r>
              <w:rPr>
                <w:rFonts w:ascii="Arial" w:cs="Arial" w:eastAsia="Arial" w:hAnsi="Arial"/>
                <w:sz w:val="16"/>
                <w:szCs w:val="16"/>
                <w:color w:val="auto"/>
              </w:rPr>
              <w:t>​​3.99%</w:t>
            </w:r>
          </w:p>
        </w:tc>
        <w:tc>
          <w:tcPr>
            <w:tcW w:w="500" w:type="dxa"/>
            <w:vAlign w:val="bottom"/>
            <w:tcBorders>
              <w:bottom w:val="single" w:sz="8" w:color="62259D"/>
            </w:tcBorders>
            <w:shd w:val="clear" w:color="auto" w:fill="F2F2F2"/>
          </w:tcPr>
          <w:p>
            <w:pPr>
              <w:ind w:left="340"/>
              <w:spacing w:after="0"/>
              <w:rPr>
                <w:sz w:val="20"/>
                <w:szCs w:val="20"/>
                <w:color w:val="auto"/>
              </w:rPr>
            </w:pPr>
            <w:r>
              <w:rPr>
                <w:rFonts w:ascii="Arial" w:cs="Arial" w:eastAsia="Arial" w:hAnsi="Arial"/>
                <w:sz w:val="16"/>
                <w:szCs w:val="16"/>
                <w:color w:val="auto"/>
              </w:rPr>
              <w:t>​ ​</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9166BA"/>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73" w:lineRule="exact"/>
        <w:rPr>
          <w:sz w:val="20"/>
          <w:szCs w:val="20"/>
          <w:color w:val="auto"/>
        </w:rPr>
      </w:pPr>
    </w:p>
    <w:tbl>
      <w:tblPr>
        <w:tblLayout w:type="fixed"/>
        <w:tblInd w:w="920" w:type="dxa"/>
        <w:tblCellMar>
          <w:top w:w="0" w:type="dxa"/>
          <w:left w:w="0" w:type="dxa"/>
          <w:bottom w:w="0" w:type="dxa"/>
          <w:right w:w="0" w:type="dxa"/>
        </w:tblCellMar>
      </w:tblPr>
      <w:tr>
        <w:trPr>
          <w:trHeight w:val="197"/>
        </w:trPr>
        <w:tc>
          <w:tcPr>
            <w:tcW w:w="2940" w:type="dxa"/>
            <w:vAlign w:val="bottom"/>
            <w:shd w:val="clear" w:color="auto" w:fill="62259D"/>
          </w:tcPr>
          <w:p>
            <w:pPr>
              <w:spacing w:after="0"/>
              <w:rPr>
                <w:sz w:val="17"/>
                <w:szCs w:val="17"/>
                <w:color w:val="auto"/>
              </w:rPr>
            </w:pPr>
          </w:p>
        </w:tc>
        <w:tc>
          <w:tcPr>
            <w:tcW w:w="320" w:type="dxa"/>
            <w:vAlign w:val="bottom"/>
            <w:shd w:val="clear" w:color="auto" w:fill="62259D"/>
          </w:tcPr>
          <w:p>
            <w:pPr>
              <w:spacing w:after="0"/>
              <w:rPr>
                <w:sz w:val="17"/>
                <w:szCs w:val="17"/>
                <w:color w:val="auto"/>
              </w:rPr>
            </w:pPr>
          </w:p>
        </w:tc>
        <w:tc>
          <w:tcPr>
            <w:tcW w:w="180" w:type="dxa"/>
            <w:vAlign w:val="bottom"/>
            <w:shd w:val="clear" w:color="auto" w:fill="62259D"/>
          </w:tcPr>
          <w:p>
            <w:pPr>
              <w:spacing w:after="0"/>
              <w:rPr>
                <w:sz w:val="17"/>
                <w:szCs w:val="17"/>
                <w:color w:val="auto"/>
              </w:rPr>
            </w:pPr>
          </w:p>
        </w:tc>
        <w:tc>
          <w:tcPr>
            <w:tcW w:w="2580" w:type="dxa"/>
            <w:vAlign w:val="bottom"/>
            <w:gridSpan w:val="3"/>
            <w:shd w:val="clear" w:color="auto" w:fill="62259D"/>
          </w:tcPr>
          <w:p>
            <w:pPr>
              <w:jc w:val="center"/>
              <w:spacing w:after="0"/>
              <w:rPr>
                <w:sz w:val="20"/>
                <w:szCs w:val="20"/>
                <w:color w:val="auto"/>
              </w:rPr>
            </w:pPr>
            <w:r>
              <w:rPr>
                <w:rFonts w:ascii="Arial" w:cs="Arial" w:eastAsia="Arial" w:hAnsi="Arial"/>
                <w:sz w:val="15"/>
                <w:szCs w:val="15"/>
                <w:b w:val="1"/>
                <w:bCs w:val="1"/>
                <w:color w:val="FEFEFE"/>
              </w:rPr>
              <w:t>Number of Shares Beneficially</w:t>
            </w:r>
          </w:p>
        </w:tc>
        <w:tc>
          <w:tcPr>
            <w:tcW w:w="300" w:type="dxa"/>
            <w:vAlign w:val="bottom"/>
            <w:shd w:val="clear" w:color="auto" w:fill="62259D"/>
          </w:tcPr>
          <w:p>
            <w:pPr>
              <w:spacing w:after="0"/>
              <w:rPr>
                <w:sz w:val="17"/>
                <w:szCs w:val="17"/>
                <w:color w:val="auto"/>
              </w:rPr>
            </w:pPr>
          </w:p>
        </w:tc>
        <w:tc>
          <w:tcPr>
            <w:tcW w:w="1240" w:type="dxa"/>
            <w:vAlign w:val="bottom"/>
            <w:shd w:val="clear" w:color="auto" w:fill="62259D"/>
          </w:tcPr>
          <w:p>
            <w:pPr>
              <w:spacing w:after="0"/>
              <w:rPr>
                <w:sz w:val="17"/>
                <w:szCs w:val="17"/>
                <w:color w:val="auto"/>
              </w:rPr>
            </w:pPr>
          </w:p>
        </w:tc>
        <w:tc>
          <w:tcPr>
            <w:tcW w:w="800" w:type="dxa"/>
            <w:vAlign w:val="bottom"/>
            <w:shd w:val="clear" w:color="auto" w:fill="62259D"/>
          </w:tcPr>
          <w:p>
            <w:pPr>
              <w:spacing w:after="0"/>
              <w:rPr>
                <w:sz w:val="17"/>
                <w:szCs w:val="17"/>
                <w:color w:val="auto"/>
              </w:rPr>
            </w:pPr>
          </w:p>
        </w:tc>
        <w:tc>
          <w:tcPr>
            <w:tcW w:w="500" w:type="dxa"/>
            <w:vAlign w:val="bottom"/>
            <w:shd w:val="clear" w:color="auto" w:fill="62259D"/>
          </w:tcPr>
          <w:p>
            <w:pPr>
              <w:spacing w:after="0"/>
              <w:rPr>
                <w:sz w:val="17"/>
                <w:szCs w:val="17"/>
                <w:color w:val="auto"/>
              </w:rPr>
            </w:pPr>
          </w:p>
        </w:tc>
      </w:tr>
      <w:tr>
        <w:trPr>
          <w:trHeight w:val="176"/>
        </w:trPr>
        <w:tc>
          <w:tcPr>
            <w:tcW w:w="2940" w:type="dxa"/>
            <w:vAlign w:val="bottom"/>
            <w:shd w:val="clear" w:color="auto" w:fill="62259D"/>
          </w:tcPr>
          <w:p>
            <w:pPr>
              <w:spacing w:after="0"/>
              <w:rPr>
                <w:sz w:val="15"/>
                <w:szCs w:val="15"/>
                <w:color w:val="auto"/>
              </w:rPr>
            </w:pPr>
          </w:p>
        </w:tc>
        <w:tc>
          <w:tcPr>
            <w:tcW w:w="320" w:type="dxa"/>
            <w:vAlign w:val="bottom"/>
            <w:shd w:val="clear" w:color="auto" w:fill="62259D"/>
          </w:tcPr>
          <w:p>
            <w:pPr>
              <w:spacing w:after="0"/>
              <w:rPr>
                <w:sz w:val="15"/>
                <w:szCs w:val="15"/>
                <w:color w:val="auto"/>
              </w:rPr>
            </w:pPr>
          </w:p>
        </w:tc>
        <w:tc>
          <w:tcPr>
            <w:tcW w:w="180" w:type="dxa"/>
            <w:vAlign w:val="bottom"/>
            <w:shd w:val="clear" w:color="auto" w:fill="62259D"/>
          </w:tcPr>
          <w:p>
            <w:pPr>
              <w:spacing w:after="0"/>
              <w:rPr>
                <w:sz w:val="15"/>
                <w:szCs w:val="15"/>
                <w:color w:val="auto"/>
              </w:rPr>
            </w:pPr>
          </w:p>
        </w:tc>
        <w:tc>
          <w:tcPr>
            <w:tcW w:w="1700" w:type="dxa"/>
            <w:vAlign w:val="bottom"/>
            <w:shd w:val="clear" w:color="auto" w:fill="62259D"/>
          </w:tcPr>
          <w:p>
            <w:pPr>
              <w:jc w:val="center"/>
              <w:ind w:left="722"/>
              <w:spacing w:after="0"/>
              <w:rPr>
                <w:sz w:val="20"/>
                <w:szCs w:val="20"/>
                <w:color w:val="auto"/>
              </w:rPr>
            </w:pPr>
            <w:r>
              <w:rPr>
                <w:rFonts w:ascii="Arial" w:cs="Arial" w:eastAsia="Arial" w:hAnsi="Arial"/>
                <w:sz w:val="15"/>
                <w:szCs w:val="15"/>
                <w:b w:val="1"/>
                <w:bCs w:val="1"/>
                <w:color w:val="FEFEFE"/>
              </w:rPr>
              <w:t>Owned</w:t>
            </w:r>
          </w:p>
        </w:tc>
        <w:tc>
          <w:tcPr>
            <w:tcW w:w="400" w:type="dxa"/>
            <w:vAlign w:val="bottom"/>
            <w:shd w:val="clear" w:color="auto" w:fill="62259D"/>
          </w:tcPr>
          <w:p>
            <w:pPr>
              <w:spacing w:after="0"/>
              <w:rPr>
                <w:sz w:val="15"/>
                <w:szCs w:val="15"/>
                <w:color w:val="auto"/>
              </w:rPr>
            </w:pPr>
          </w:p>
        </w:tc>
        <w:tc>
          <w:tcPr>
            <w:tcW w:w="480" w:type="dxa"/>
            <w:vAlign w:val="bottom"/>
            <w:shd w:val="clear" w:color="auto" w:fill="62259D"/>
          </w:tcPr>
          <w:p>
            <w:pPr>
              <w:spacing w:after="0"/>
              <w:rPr>
                <w:sz w:val="15"/>
                <w:szCs w:val="15"/>
                <w:color w:val="auto"/>
              </w:rPr>
            </w:pPr>
          </w:p>
        </w:tc>
        <w:tc>
          <w:tcPr>
            <w:tcW w:w="300" w:type="dxa"/>
            <w:vAlign w:val="bottom"/>
            <w:shd w:val="clear" w:color="auto" w:fill="62259D"/>
          </w:tcPr>
          <w:p>
            <w:pPr>
              <w:spacing w:after="0"/>
              <w:rPr>
                <w:sz w:val="15"/>
                <w:szCs w:val="15"/>
                <w:color w:val="auto"/>
              </w:rPr>
            </w:pPr>
          </w:p>
        </w:tc>
        <w:tc>
          <w:tcPr>
            <w:tcW w:w="2540" w:type="dxa"/>
            <w:vAlign w:val="bottom"/>
            <w:gridSpan w:val="3"/>
            <w:shd w:val="clear" w:color="auto" w:fill="62259D"/>
          </w:tcPr>
          <w:p>
            <w:pPr>
              <w:ind w:left="20"/>
              <w:spacing w:after="0"/>
              <w:rPr>
                <w:sz w:val="20"/>
                <w:szCs w:val="20"/>
                <w:color w:val="auto"/>
              </w:rPr>
            </w:pPr>
            <w:r>
              <w:rPr>
                <w:rFonts w:ascii="Arial" w:cs="Arial" w:eastAsia="Arial" w:hAnsi="Arial"/>
                <w:sz w:val="15"/>
                <w:szCs w:val="15"/>
                <w:b w:val="1"/>
                <w:bCs w:val="1"/>
                <w:color w:val="FEFEFE"/>
              </w:rPr>
              <w:t>Percentage of Common Stock</w:t>
            </w:r>
          </w:p>
        </w:tc>
      </w:tr>
      <w:tr>
        <w:trPr>
          <w:trHeight w:val="208"/>
        </w:trPr>
        <w:tc>
          <w:tcPr>
            <w:tcW w:w="2940" w:type="dxa"/>
            <w:vAlign w:val="bottom"/>
            <w:shd w:val="clear" w:color="auto" w:fill="62259D"/>
          </w:tcPr>
          <w:p>
            <w:pPr>
              <w:ind w:left="40"/>
              <w:spacing w:after="0"/>
              <w:rPr>
                <w:sz w:val="20"/>
                <w:szCs w:val="20"/>
                <w:color w:val="auto"/>
              </w:rPr>
            </w:pPr>
            <w:r>
              <w:rPr>
                <w:rFonts w:ascii="Arial" w:cs="Arial" w:eastAsia="Arial" w:hAnsi="Arial"/>
                <w:sz w:val="15"/>
                <w:szCs w:val="15"/>
                <w:b w:val="1"/>
                <w:bCs w:val="1"/>
                <w:color w:val="FEFEFE"/>
              </w:rPr>
              <w:t>​Name of Beneficial Owner</w:t>
            </w:r>
          </w:p>
        </w:tc>
        <w:tc>
          <w:tcPr>
            <w:tcW w:w="320" w:type="dxa"/>
            <w:vAlign w:val="bottom"/>
            <w:shd w:val="clear" w:color="auto" w:fill="62259D"/>
          </w:tcPr>
          <w:p>
            <w:pPr>
              <w:ind w:left="260"/>
              <w:spacing w:after="0"/>
              <w:rPr>
                <w:sz w:val="20"/>
                <w:szCs w:val="20"/>
                <w:color w:val="auto"/>
              </w:rPr>
            </w:pPr>
            <w:r>
              <w:rPr>
                <w:rFonts w:ascii="Arial" w:cs="Arial" w:eastAsia="Arial" w:hAnsi="Arial"/>
                <w:sz w:val="15"/>
                <w:szCs w:val="15"/>
                <w:b w:val="1"/>
                <w:bCs w:val="1"/>
                <w:color w:val="FEFEFE"/>
              </w:rPr>
              <w:t>​</w:t>
            </w:r>
          </w:p>
        </w:tc>
        <w:tc>
          <w:tcPr>
            <w:tcW w:w="180" w:type="dxa"/>
            <w:vAlign w:val="bottom"/>
            <w:shd w:val="clear" w:color="auto" w:fill="62259D"/>
          </w:tcPr>
          <w:p>
            <w:pPr>
              <w:ind w:left="120"/>
              <w:spacing w:after="0"/>
              <w:rPr>
                <w:sz w:val="20"/>
                <w:szCs w:val="20"/>
                <w:color w:val="auto"/>
              </w:rPr>
            </w:pPr>
            <w:r>
              <w:rPr>
                <w:rFonts w:ascii="Arial" w:cs="Arial" w:eastAsia="Arial" w:hAnsi="Arial"/>
                <w:sz w:val="15"/>
                <w:szCs w:val="15"/>
                <w:b w:val="1"/>
                <w:bCs w:val="1"/>
                <w:color w:val="FEFEFE"/>
              </w:rPr>
              <w:t>​</w:t>
            </w:r>
          </w:p>
        </w:tc>
        <w:tc>
          <w:tcPr>
            <w:tcW w:w="1700" w:type="dxa"/>
            <w:vAlign w:val="bottom"/>
            <w:shd w:val="clear" w:color="auto" w:fill="62259D"/>
          </w:tcPr>
          <w:p>
            <w:pPr>
              <w:jc w:val="center"/>
              <w:ind w:left="782"/>
              <w:spacing w:after="0"/>
              <w:rPr>
                <w:sz w:val="20"/>
                <w:szCs w:val="20"/>
                <w:color w:val="auto"/>
              </w:rPr>
            </w:pPr>
            <w:r>
              <w:rPr>
                <w:rFonts w:ascii="Arial" w:cs="Arial" w:eastAsia="Arial" w:hAnsi="Arial"/>
                <w:sz w:val="15"/>
                <w:szCs w:val="15"/>
                <w:b w:val="1"/>
                <w:bCs w:val="1"/>
                <w:color w:val="FEFEFE"/>
              </w:rPr>
              <w:t>(#)</w:t>
            </w:r>
          </w:p>
        </w:tc>
        <w:tc>
          <w:tcPr>
            <w:tcW w:w="400" w:type="dxa"/>
            <w:vAlign w:val="bottom"/>
            <w:shd w:val="clear" w:color="auto" w:fill="62259D"/>
          </w:tcPr>
          <w:p>
            <w:pPr>
              <w:spacing w:after="0"/>
              <w:rPr>
                <w:sz w:val="18"/>
                <w:szCs w:val="18"/>
                <w:color w:val="auto"/>
              </w:rPr>
            </w:pPr>
          </w:p>
        </w:tc>
        <w:tc>
          <w:tcPr>
            <w:tcW w:w="480" w:type="dxa"/>
            <w:vAlign w:val="bottom"/>
            <w:shd w:val="clear" w:color="auto" w:fill="62259D"/>
          </w:tcPr>
          <w:p>
            <w:pPr>
              <w:spacing w:after="0"/>
              <w:rPr>
                <w:sz w:val="18"/>
                <w:szCs w:val="18"/>
                <w:color w:val="auto"/>
              </w:rPr>
            </w:pPr>
          </w:p>
        </w:tc>
        <w:tc>
          <w:tcPr>
            <w:tcW w:w="300" w:type="dxa"/>
            <w:vAlign w:val="bottom"/>
            <w:shd w:val="clear" w:color="auto" w:fill="62259D"/>
          </w:tcPr>
          <w:p>
            <w:pPr>
              <w:jc w:val="center"/>
              <w:spacing w:after="0"/>
              <w:rPr>
                <w:sz w:val="20"/>
                <w:szCs w:val="20"/>
                <w:color w:val="auto"/>
              </w:rPr>
            </w:pPr>
            <w:r>
              <w:rPr>
                <w:rFonts w:ascii="Arial" w:cs="Arial" w:eastAsia="Arial" w:hAnsi="Arial"/>
                <w:sz w:val="15"/>
                <w:szCs w:val="15"/>
                <w:b w:val="1"/>
                <w:bCs w:val="1"/>
                <w:color w:val="FEFEFE"/>
              </w:rPr>
              <w:t>​  ​</w:t>
            </w:r>
          </w:p>
        </w:tc>
        <w:tc>
          <w:tcPr>
            <w:tcW w:w="2040" w:type="dxa"/>
            <w:vAlign w:val="bottom"/>
            <w:gridSpan w:val="2"/>
            <w:shd w:val="clear" w:color="auto" w:fill="62259D"/>
          </w:tcPr>
          <w:p>
            <w:pPr>
              <w:ind w:left="740"/>
              <w:spacing w:after="0"/>
              <w:rPr>
                <w:sz w:val="20"/>
                <w:szCs w:val="20"/>
                <w:color w:val="auto"/>
              </w:rPr>
            </w:pPr>
            <w:r>
              <w:rPr>
                <w:rFonts w:ascii="Arial" w:cs="Arial" w:eastAsia="Arial" w:hAnsi="Arial"/>
                <w:sz w:val="15"/>
                <w:szCs w:val="15"/>
                <w:b w:val="1"/>
                <w:bCs w:val="1"/>
                <w:color w:val="FEFEFE"/>
              </w:rPr>
              <w:t>Outstanding</w:t>
            </w:r>
          </w:p>
        </w:tc>
        <w:tc>
          <w:tcPr>
            <w:tcW w:w="500" w:type="dxa"/>
            <w:vAlign w:val="bottom"/>
            <w:shd w:val="clear" w:color="auto" w:fill="62259D"/>
          </w:tcPr>
          <w:p>
            <w:pPr>
              <w:ind w:left="460"/>
              <w:spacing w:after="0"/>
              <w:rPr>
                <w:sz w:val="20"/>
                <w:szCs w:val="20"/>
                <w:color w:val="auto"/>
              </w:rPr>
            </w:pPr>
            <w:r>
              <w:rPr>
                <w:rFonts w:ascii="Arial" w:cs="Arial" w:eastAsia="Arial" w:hAnsi="Arial"/>
                <w:sz w:val="15"/>
                <w:szCs w:val="15"/>
                <w:b w:val="1"/>
                <w:bCs w:val="1"/>
                <w:color w:val="FEFEFE"/>
              </w:rPr>
              <w:t>​</w:t>
            </w:r>
          </w:p>
        </w:tc>
      </w:tr>
      <w:tr>
        <w:trPr>
          <w:trHeight w:val="175"/>
        </w:trPr>
        <w:tc>
          <w:tcPr>
            <w:tcW w:w="2940" w:type="dxa"/>
            <w:vAlign w:val="bottom"/>
            <w:tcBorders>
              <w:bottom w:val="single" w:sz="8" w:color="E7417A"/>
            </w:tcBorders>
            <w:shd w:val="clear" w:color="auto" w:fill="F2F2F2"/>
          </w:tcPr>
          <w:p>
            <w:pPr>
              <w:spacing w:after="0" w:line="175" w:lineRule="exact"/>
              <w:rPr>
                <w:sz w:val="20"/>
                <w:szCs w:val="20"/>
                <w:color w:val="auto"/>
              </w:rPr>
            </w:pPr>
            <w:r>
              <w:rPr>
                <w:rFonts w:ascii="Arial" w:cs="Arial" w:eastAsia="Arial" w:hAnsi="Arial"/>
                <w:sz w:val="16"/>
                <w:szCs w:val="16"/>
                <w:b w:val="1"/>
                <w:bCs w:val="1"/>
                <w:color w:val="auto"/>
              </w:rPr>
              <w:t>​ 5% Owners</w:t>
            </w:r>
          </w:p>
        </w:tc>
        <w:tc>
          <w:tcPr>
            <w:tcW w:w="320" w:type="dxa"/>
            <w:vAlign w:val="bottom"/>
            <w:tcBorders>
              <w:bottom w:val="single" w:sz="8" w:color="E7417A"/>
            </w:tcBorders>
            <w:shd w:val="clear" w:color="auto" w:fill="F2F2F2"/>
          </w:tcPr>
          <w:p>
            <w:pPr>
              <w:ind w:left="160"/>
              <w:spacing w:after="0" w:line="175" w:lineRule="exact"/>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E7417A"/>
            </w:tcBorders>
            <w:shd w:val="clear" w:color="auto" w:fill="F2F2F2"/>
          </w:tcPr>
          <w:p>
            <w:pPr>
              <w:ind w:left="20"/>
              <w:spacing w:after="0" w:line="175" w:lineRule="exact"/>
              <w:rPr>
                <w:sz w:val="20"/>
                <w:szCs w:val="20"/>
                <w:color w:val="auto"/>
              </w:rPr>
            </w:pPr>
            <w:r>
              <w:rPr>
                <w:rFonts w:ascii="Arial" w:cs="Arial" w:eastAsia="Arial" w:hAnsi="Arial"/>
                <w:sz w:val="16"/>
                <w:szCs w:val="16"/>
                <w:b w:val="1"/>
                <w:bCs w:val="1"/>
                <w:color w:val="auto"/>
              </w:rPr>
              <w:t>​</w:t>
            </w:r>
          </w:p>
        </w:tc>
        <w:tc>
          <w:tcPr>
            <w:tcW w:w="1700" w:type="dxa"/>
            <w:vAlign w:val="bottom"/>
            <w:tcBorders>
              <w:bottom w:val="single" w:sz="8" w:color="E7417A"/>
            </w:tcBorders>
            <w:shd w:val="clear" w:color="auto" w:fill="F2F2F2"/>
          </w:tcPr>
          <w:p>
            <w:pPr>
              <w:ind w:left="760"/>
              <w:spacing w:after="0" w:line="175" w:lineRule="exact"/>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E7417A"/>
            </w:tcBorders>
            <w:shd w:val="clear" w:color="auto" w:fill="F2F2F2"/>
          </w:tcPr>
          <w:p>
            <w:pPr>
              <w:spacing w:after="0" w:line="175" w:lineRule="exact"/>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7417A"/>
            </w:tcBorders>
            <w:shd w:val="clear" w:color="auto" w:fill="F2F2F2"/>
          </w:tcPr>
          <w:p>
            <w:pPr>
              <w:ind w:left="340"/>
              <w:spacing w:after="0" w:line="175" w:lineRule="exact"/>
              <w:rPr>
                <w:sz w:val="20"/>
                <w:szCs w:val="20"/>
                <w:color w:val="auto"/>
              </w:rPr>
            </w:pPr>
            <w:r>
              <w:rPr>
                <w:rFonts w:ascii="Arial" w:cs="Arial" w:eastAsia="Arial" w:hAnsi="Arial"/>
                <w:sz w:val="16"/>
                <w:szCs w:val="16"/>
                <w:b w:val="1"/>
                <w:bCs w:val="1"/>
                <w:color w:val="auto"/>
              </w:rPr>
              <w:t>​ ​</w:t>
            </w:r>
          </w:p>
        </w:tc>
        <w:tc>
          <w:tcPr>
            <w:tcW w:w="300" w:type="dxa"/>
            <w:vAlign w:val="bottom"/>
            <w:tcBorders>
              <w:bottom w:val="single" w:sz="8" w:color="E7417A"/>
            </w:tcBorders>
            <w:shd w:val="clear" w:color="auto" w:fill="F2F2F2"/>
          </w:tcPr>
          <w:p>
            <w:pPr>
              <w:jc w:val="center"/>
              <w:spacing w:after="0" w:line="175" w:lineRule="exact"/>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7417A"/>
            </w:tcBorders>
            <w:shd w:val="clear" w:color="auto" w:fill="F2F2F2"/>
          </w:tcPr>
          <w:p>
            <w:pPr>
              <w:ind w:left="960"/>
              <w:spacing w:after="0" w:line="175"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7417A"/>
            </w:tcBorders>
            <w:shd w:val="clear" w:color="auto" w:fill="F2F2F2"/>
          </w:tcPr>
          <w:p>
            <w:pPr>
              <w:ind w:left="200"/>
              <w:spacing w:after="0" w:line="175" w:lineRule="exact"/>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7417A"/>
            </w:tcBorders>
            <w:shd w:val="clear" w:color="auto" w:fill="F2F2F2"/>
          </w:tcPr>
          <w:p>
            <w:pPr>
              <w:ind w:left="340"/>
              <w:spacing w:after="0" w:line="175" w:lineRule="exact"/>
              <w:rPr>
                <w:sz w:val="20"/>
                <w:szCs w:val="20"/>
                <w:color w:val="auto"/>
              </w:rPr>
            </w:pPr>
            <w:r>
              <w:rPr>
                <w:rFonts w:ascii="Arial" w:cs="Arial" w:eastAsia="Arial" w:hAnsi="Arial"/>
                <w:sz w:val="16"/>
                <w:szCs w:val="16"/>
                <w:b w:val="1"/>
                <w:bCs w:val="1"/>
                <w:color w:val="auto"/>
              </w:rPr>
              <w:t>​ ​</w:t>
            </w:r>
          </w:p>
        </w:tc>
      </w:tr>
      <w:tr>
        <w:trPr>
          <w:trHeight w:val="357"/>
        </w:trPr>
        <w:tc>
          <w:tcPr>
            <w:tcW w:w="2940" w:type="dxa"/>
            <w:vAlign w:val="bottom"/>
          </w:tcPr>
          <w:p>
            <w:pPr>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JPMorgan Chase &amp; Co.</w:t>
            </w:r>
            <w:r>
              <w:rPr>
                <w:rFonts w:ascii="Arial" w:cs="Arial" w:eastAsia="Arial" w:hAnsi="Arial"/>
                <w:sz w:val="19"/>
                <w:szCs w:val="19"/>
                <w:color w:val="auto"/>
                <w:vertAlign w:val="superscript"/>
              </w:rPr>
              <w:t>(7)</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700" w:type="dxa"/>
            <w:vAlign w:val="bottom"/>
          </w:tcPr>
          <w:p>
            <w:pPr>
              <w:ind w:left="760"/>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 52,036,572</w:t>
            </w:r>
          </w:p>
        </w:tc>
        <w:tc>
          <w:tcPr>
            <w:tcW w:w="400" w:type="dxa"/>
            <w:vAlign w:val="bottom"/>
          </w:tcPr>
          <w:p>
            <w:pPr>
              <w:spacing w:after="0"/>
              <w:rPr>
                <w:sz w:val="24"/>
                <w:szCs w:val="24"/>
                <w:color w:val="auto"/>
              </w:rPr>
            </w:pPr>
          </w:p>
        </w:tc>
        <w:tc>
          <w:tcPr>
            <w:tcW w:w="480" w:type="dxa"/>
            <w:vAlign w:val="bottom"/>
          </w:tcPr>
          <w:p>
            <w:pPr>
              <w:ind w:left="340"/>
              <w:spacing w:after="0"/>
              <w:rPr>
                <w:sz w:val="20"/>
                <w:szCs w:val="20"/>
                <w:color w:val="auto"/>
              </w:rPr>
            </w:pPr>
            <w:r>
              <w:rPr>
                <w:rFonts w:ascii="Arial" w:cs="Arial" w:eastAsia="Arial" w:hAnsi="Arial"/>
                <w:sz w:val="16"/>
                <w:szCs w:val="16"/>
                <w:color w:val="auto"/>
              </w:rPr>
              <w:t>​ ​</w:t>
            </w:r>
          </w:p>
        </w:tc>
        <w:tc>
          <w:tcPr>
            <w:tcW w:w="300" w:type="dxa"/>
            <w:vAlign w:val="bottom"/>
          </w:tcPr>
          <w:p>
            <w:pPr>
              <w:jc w:val="center"/>
              <w:spacing w:after="0"/>
              <w:rPr>
                <w:sz w:val="20"/>
                <w:szCs w:val="20"/>
                <w:color w:val="auto"/>
              </w:rPr>
            </w:pPr>
            <w:r>
              <w:rPr>
                <w:rFonts w:ascii="Arial" w:cs="Arial" w:eastAsia="Arial" w:hAnsi="Arial"/>
                <w:sz w:val="16"/>
                <w:szCs w:val="16"/>
                <w:color w:val="auto"/>
              </w:rPr>
              <w:t>​</w:t>
            </w:r>
          </w:p>
        </w:tc>
        <w:tc>
          <w:tcPr>
            <w:tcW w:w="2040" w:type="dxa"/>
            <w:vAlign w:val="bottom"/>
            <w:gridSpan w:val="2"/>
          </w:tcPr>
          <w:p>
            <w:pPr>
              <w:ind w:left="960"/>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​29.57%</w:t>
            </w:r>
          </w:p>
        </w:tc>
        <w:tc>
          <w:tcPr>
            <w:tcW w:w="500" w:type="dxa"/>
            <w:vAlign w:val="bottom"/>
          </w:tcPr>
          <w:p>
            <w:pPr>
              <w:ind w:left="340"/>
              <w:spacing w:after="0"/>
              <w:rPr>
                <w:sz w:val="20"/>
                <w:szCs w:val="20"/>
                <w:color w:val="auto"/>
              </w:rPr>
            </w:pPr>
            <w:r>
              <w:rPr>
                <w:rFonts w:ascii="Arial" w:cs="Arial" w:eastAsia="Arial" w:hAnsi="Arial"/>
                <w:sz w:val="16"/>
                <w:szCs w:val="16"/>
                <w:color w:val="auto"/>
              </w:rPr>
              <w:t>​ ​</w:t>
            </w:r>
          </w:p>
        </w:tc>
      </w:tr>
      <w:tr>
        <w:trPr>
          <w:trHeight w:val="187"/>
        </w:trPr>
        <w:tc>
          <w:tcPr>
            <w:tcW w:w="2940" w:type="dxa"/>
            <w:vAlign w:val="bottom"/>
          </w:tcPr>
          <w:p>
            <w:pPr>
              <w:ind w:left="24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OEP II Partners Co-Invest</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8"/>
        </w:trPr>
        <w:tc>
          <w:tcPr>
            <w:tcW w:w="2940" w:type="dxa"/>
            <w:vAlign w:val="bottom"/>
          </w:tcPr>
          <w:p>
            <w:pPr>
              <w:ind w:left="400"/>
              <w:spacing w:after="0"/>
              <w:rPr>
                <w:sz w:val="20"/>
                <w:szCs w:val="20"/>
                <w:color w:val="auto"/>
              </w:rPr>
            </w:pPr>
            <w:r>
              <w:rPr>
                <w:rFonts w:ascii="Arial" w:cs="Arial" w:eastAsia="Arial" w:hAnsi="Arial"/>
                <w:sz w:val="16"/>
                <w:szCs w:val="16"/>
                <w:color w:val="auto"/>
              </w:rPr>
              <w:t>510 Madison Avenue, 19</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Floor</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5"/>
        </w:trPr>
        <w:tc>
          <w:tcPr>
            <w:tcW w:w="2940" w:type="dxa"/>
            <w:vAlign w:val="bottom"/>
          </w:tcPr>
          <w:p>
            <w:pPr>
              <w:ind w:left="400"/>
              <w:spacing w:after="0"/>
              <w:rPr>
                <w:sz w:val="20"/>
                <w:szCs w:val="20"/>
                <w:color w:val="auto"/>
              </w:rPr>
            </w:pPr>
            <w:r>
              <w:rPr>
                <w:rFonts w:ascii="Arial" w:cs="Arial" w:eastAsia="Arial" w:hAnsi="Arial"/>
                <w:sz w:val="16"/>
                <w:szCs w:val="16"/>
                <w:color w:val="auto"/>
              </w:rPr>
              <w:t>New York, NY 10022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71"/>
        </w:trPr>
        <w:tc>
          <w:tcPr>
            <w:tcW w:w="2940" w:type="dxa"/>
            <w:vAlign w:val="bottom"/>
          </w:tcPr>
          <w:p>
            <w:pPr>
              <w:ind w:left="24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JPMorgan Chase</w:t>
            </w: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89"/>
        </w:trPr>
        <w:tc>
          <w:tcPr>
            <w:tcW w:w="2940" w:type="dxa"/>
            <w:vAlign w:val="bottom"/>
          </w:tcPr>
          <w:p>
            <w:pPr>
              <w:ind w:left="400"/>
              <w:spacing w:after="0"/>
              <w:rPr>
                <w:sz w:val="20"/>
                <w:szCs w:val="20"/>
                <w:color w:val="auto"/>
              </w:rPr>
            </w:pPr>
            <w:r>
              <w:rPr>
                <w:rFonts w:ascii="Arial" w:cs="Arial" w:eastAsia="Arial" w:hAnsi="Arial"/>
                <w:sz w:val="16"/>
                <w:szCs w:val="16"/>
                <w:color w:val="auto"/>
              </w:rPr>
              <w:t>383 Madison Avenue</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5"/>
        </w:trPr>
        <w:tc>
          <w:tcPr>
            <w:tcW w:w="2940" w:type="dxa"/>
            <w:vAlign w:val="bottom"/>
          </w:tcPr>
          <w:p>
            <w:pPr>
              <w:ind w:left="400"/>
              <w:spacing w:after="0"/>
              <w:rPr>
                <w:sz w:val="20"/>
                <w:szCs w:val="20"/>
                <w:color w:val="auto"/>
              </w:rPr>
            </w:pPr>
            <w:r>
              <w:rPr>
                <w:rFonts w:ascii="Arial" w:cs="Arial" w:eastAsia="Arial" w:hAnsi="Arial"/>
                <w:sz w:val="16"/>
                <w:szCs w:val="16"/>
                <w:color w:val="auto"/>
              </w:rPr>
              <w:t>New York, NY 10179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58"/>
        </w:trPr>
        <w:tc>
          <w:tcPr>
            <w:tcW w:w="2940" w:type="dxa"/>
            <w:vAlign w:val="bottom"/>
          </w:tcPr>
          <w:p>
            <w:pPr>
              <w:ind w:left="24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Each of JPMC Heritage and</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189"/>
        </w:trPr>
        <w:tc>
          <w:tcPr>
            <w:tcW w:w="2940" w:type="dxa"/>
            <w:vAlign w:val="bottom"/>
          </w:tcPr>
          <w:p>
            <w:pPr>
              <w:ind w:left="400"/>
              <w:spacing w:after="0"/>
              <w:rPr>
                <w:sz w:val="20"/>
                <w:szCs w:val="20"/>
                <w:color w:val="auto"/>
              </w:rPr>
            </w:pPr>
            <w:r>
              <w:rPr>
                <w:rFonts w:ascii="Arial" w:cs="Arial" w:eastAsia="Arial" w:hAnsi="Arial"/>
                <w:sz w:val="16"/>
                <w:szCs w:val="16"/>
                <w:color w:val="auto"/>
              </w:rPr>
              <w:t>Heritage III</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9"/>
        </w:trPr>
        <w:tc>
          <w:tcPr>
            <w:tcW w:w="2940" w:type="dxa"/>
            <w:vAlign w:val="bottom"/>
          </w:tcPr>
          <w:p>
            <w:pPr>
              <w:ind w:left="400"/>
              <w:spacing w:after="0"/>
              <w:rPr>
                <w:sz w:val="20"/>
                <w:szCs w:val="20"/>
                <w:color w:val="auto"/>
              </w:rPr>
            </w:pPr>
            <w:r>
              <w:rPr>
                <w:rFonts w:ascii="Arial" w:cs="Arial" w:eastAsia="Arial" w:hAnsi="Arial"/>
                <w:sz w:val="16"/>
                <w:szCs w:val="16"/>
                <w:color w:val="auto"/>
              </w:rPr>
              <w:t>277 Park Avenue</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3"/>
        </w:trPr>
        <w:tc>
          <w:tcPr>
            <w:tcW w:w="2940" w:type="dxa"/>
            <w:vAlign w:val="bottom"/>
            <w:tcBorders>
              <w:bottom w:val="single" w:sz="8" w:color="E7417A"/>
            </w:tcBorders>
          </w:tcPr>
          <w:p>
            <w:pPr>
              <w:ind w:left="400"/>
              <w:spacing w:after="0"/>
              <w:rPr>
                <w:sz w:val="20"/>
                <w:szCs w:val="20"/>
                <w:color w:val="auto"/>
              </w:rPr>
            </w:pPr>
            <w:r>
              <w:rPr>
                <w:rFonts w:ascii="Arial" w:cs="Arial" w:eastAsia="Arial" w:hAnsi="Arial"/>
                <w:sz w:val="16"/>
                <w:szCs w:val="16"/>
                <w:color w:val="auto"/>
              </w:rPr>
              <w:t>New York, NY 10172</w:t>
            </w:r>
          </w:p>
        </w:tc>
        <w:tc>
          <w:tcPr>
            <w:tcW w:w="320" w:type="dxa"/>
            <w:vAlign w:val="bottom"/>
            <w:tcBorders>
              <w:bottom w:val="single" w:sz="8" w:color="E7417A"/>
            </w:tcBorders>
          </w:tcPr>
          <w:p>
            <w:pPr>
              <w:spacing w:after="0"/>
              <w:rPr>
                <w:sz w:val="17"/>
                <w:szCs w:val="17"/>
                <w:color w:val="auto"/>
              </w:rPr>
            </w:pPr>
          </w:p>
        </w:tc>
        <w:tc>
          <w:tcPr>
            <w:tcW w:w="180" w:type="dxa"/>
            <w:vAlign w:val="bottom"/>
            <w:tcBorders>
              <w:bottom w:val="single" w:sz="8" w:color="E7417A"/>
            </w:tcBorders>
          </w:tcPr>
          <w:p>
            <w:pPr>
              <w:spacing w:after="0"/>
              <w:rPr>
                <w:sz w:val="17"/>
                <w:szCs w:val="17"/>
                <w:color w:val="auto"/>
              </w:rPr>
            </w:pPr>
          </w:p>
        </w:tc>
        <w:tc>
          <w:tcPr>
            <w:tcW w:w="1700" w:type="dxa"/>
            <w:vAlign w:val="bottom"/>
            <w:tcBorders>
              <w:bottom w:val="single" w:sz="8" w:color="E7417A"/>
            </w:tcBorders>
          </w:tcPr>
          <w:p>
            <w:pPr>
              <w:spacing w:after="0"/>
              <w:rPr>
                <w:sz w:val="17"/>
                <w:szCs w:val="17"/>
                <w:color w:val="auto"/>
              </w:rPr>
            </w:pPr>
          </w:p>
        </w:tc>
        <w:tc>
          <w:tcPr>
            <w:tcW w:w="400" w:type="dxa"/>
            <w:vAlign w:val="bottom"/>
            <w:tcBorders>
              <w:bottom w:val="single" w:sz="8" w:color="E7417A"/>
            </w:tcBorders>
          </w:tcPr>
          <w:p>
            <w:pPr>
              <w:spacing w:after="0"/>
              <w:rPr>
                <w:sz w:val="17"/>
                <w:szCs w:val="17"/>
                <w:color w:val="auto"/>
              </w:rPr>
            </w:pPr>
          </w:p>
        </w:tc>
        <w:tc>
          <w:tcPr>
            <w:tcW w:w="480" w:type="dxa"/>
            <w:vAlign w:val="bottom"/>
            <w:tcBorders>
              <w:bottom w:val="single" w:sz="8" w:color="E7417A"/>
            </w:tcBorders>
          </w:tcPr>
          <w:p>
            <w:pPr>
              <w:spacing w:after="0"/>
              <w:rPr>
                <w:sz w:val="17"/>
                <w:szCs w:val="17"/>
                <w:color w:val="auto"/>
              </w:rPr>
            </w:pPr>
          </w:p>
        </w:tc>
        <w:tc>
          <w:tcPr>
            <w:tcW w:w="300" w:type="dxa"/>
            <w:vAlign w:val="bottom"/>
            <w:tcBorders>
              <w:bottom w:val="single" w:sz="8" w:color="E7417A"/>
            </w:tcBorders>
          </w:tcPr>
          <w:p>
            <w:pPr>
              <w:spacing w:after="0"/>
              <w:rPr>
                <w:sz w:val="17"/>
                <w:szCs w:val="17"/>
                <w:color w:val="auto"/>
              </w:rPr>
            </w:pPr>
          </w:p>
        </w:tc>
        <w:tc>
          <w:tcPr>
            <w:tcW w:w="1240" w:type="dxa"/>
            <w:vAlign w:val="bottom"/>
            <w:tcBorders>
              <w:bottom w:val="single" w:sz="8" w:color="E7417A"/>
            </w:tcBorders>
          </w:tcPr>
          <w:p>
            <w:pPr>
              <w:spacing w:after="0"/>
              <w:rPr>
                <w:sz w:val="17"/>
                <w:szCs w:val="17"/>
                <w:color w:val="auto"/>
              </w:rPr>
            </w:pPr>
          </w:p>
        </w:tc>
        <w:tc>
          <w:tcPr>
            <w:tcW w:w="800" w:type="dxa"/>
            <w:vAlign w:val="bottom"/>
            <w:tcBorders>
              <w:bottom w:val="single" w:sz="8" w:color="E7417A"/>
            </w:tcBorders>
          </w:tcPr>
          <w:p>
            <w:pPr>
              <w:spacing w:after="0"/>
              <w:rPr>
                <w:sz w:val="17"/>
                <w:szCs w:val="17"/>
                <w:color w:val="auto"/>
              </w:rPr>
            </w:pPr>
          </w:p>
        </w:tc>
        <w:tc>
          <w:tcPr>
            <w:tcW w:w="500" w:type="dxa"/>
            <w:vAlign w:val="bottom"/>
            <w:tcBorders>
              <w:bottom w:val="single" w:sz="8" w:color="E7417A"/>
            </w:tcBorders>
          </w:tcPr>
          <w:p>
            <w:pPr>
              <w:spacing w:after="0"/>
              <w:rPr>
                <w:sz w:val="17"/>
                <w:szCs w:val="17"/>
                <w:color w:val="auto"/>
              </w:rPr>
            </w:pPr>
          </w:p>
        </w:tc>
      </w:tr>
      <w:tr>
        <w:trPr>
          <w:trHeight w:val="357"/>
        </w:trPr>
        <w:tc>
          <w:tcPr>
            <w:tcW w:w="2940" w:type="dxa"/>
            <w:vAlign w:val="bottom"/>
          </w:tcPr>
          <w:p>
            <w:pPr>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Swarth Investments Ltd.</w:t>
            </w:r>
            <w:r>
              <w:rPr>
                <w:rFonts w:ascii="Arial" w:cs="Arial" w:eastAsia="Arial" w:hAnsi="Arial"/>
                <w:sz w:val="19"/>
                <w:szCs w:val="19"/>
                <w:color w:val="auto"/>
                <w:vertAlign w:val="superscript"/>
              </w:rPr>
              <w:t>(8)</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700" w:type="dxa"/>
            <w:vAlign w:val="bottom"/>
          </w:tcPr>
          <w:p>
            <w:pPr>
              <w:ind w:left="760"/>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 27,877,384</w:t>
            </w:r>
          </w:p>
        </w:tc>
        <w:tc>
          <w:tcPr>
            <w:tcW w:w="400" w:type="dxa"/>
            <w:vAlign w:val="bottom"/>
          </w:tcPr>
          <w:p>
            <w:pPr>
              <w:spacing w:after="0"/>
              <w:rPr>
                <w:sz w:val="24"/>
                <w:szCs w:val="24"/>
                <w:color w:val="auto"/>
              </w:rPr>
            </w:pPr>
          </w:p>
        </w:tc>
        <w:tc>
          <w:tcPr>
            <w:tcW w:w="480" w:type="dxa"/>
            <w:vAlign w:val="bottom"/>
          </w:tcPr>
          <w:p>
            <w:pPr>
              <w:ind w:left="340"/>
              <w:spacing w:after="0"/>
              <w:rPr>
                <w:sz w:val="20"/>
                <w:szCs w:val="20"/>
                <w:color w:val="auto"/>
              </w:rPr>
            </w:pPr>
            <w:r>
              <w:rPr>
                <w:rFonts w:ascii="Arial" w:cs="Arial" w:eastAsia="Arial" w:hAnsi="Arial"/>
                <w:sz w:val="16"/>
                <w:szCs w:val="16"/>
                <w:color w:val="auto"/>
              </w:rPr>
              <w:t>​ ​</w:t>
            </w:r>
          </w:p>
        </w:tc>
        <w:tc>
          <w:tcPr>
            <w:tcW w:w="300" w:type="dxa"/>
            <w:vAlign w:val="bottom"/>
          </w:tcPr>
          <w:p>
            <w:pPr>
              <w:jc w:val="center"/>
              <w:spacing w:after="0"/>
              <w:rPr>
                <w:sz w:val="20"/>
                <w:szCs w:val="20"/>
                <w:color w:val="auto"/>
              </w:rPr>
            </w:pPr>
            <w:r>
              <w:rPr>
                <w:rFonts w:ascii="Arial" w:cs="Arial" w:eastAsia="Arial" w:hAnsi="Arial"/>
                <w:sz w:val="16"/>
                <w:szCs w:val="16"/>
                <w:color w:val="auto"/>
              </w:rPr>
              <w:t>​</w:t>
            </w:r>
          </w:p>
        </w:tc>
        <w:tc>
          <w:tcPr>
            <w:tcW w:w="2040" w:type="dxa"/>
            <w:vAlign w:val="bottom"/>
            <w:gridSpan w:val="2"/>
          </w:tcPr>
          <w:p>
            <w:pPr>
              <w:ind w:left="960"/>
              <w:spacing w:after="0" w:line="358"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​15.84%</w:t>
            </w:r>
          </w:p>
        </w:tc>
        <w:tc>
          <w:tcPr>
            <w:tcW w:w="500" w:type="dxa"/>
            <w:vAlign w:val="bottom"/>
          </w:tcPr>
          <w:p>
            <w:pPr>
              <w:ind w:left="340"/>
              <w:spacing w:after="0"/>
              <w:rPr>
                <w:sz w:val="20"/>
                <w:szCs w:val="20"/>
                <w:color w:val="auto"/>
              </w:rPr>
            </w:pPr>
            <w:r>
              <w:rPr>
                <w:rFonts w:ascii="Arial" w:cs="Arial" w:eastAsia="Arial" w:hAnsi="Arial"/>
                <w:sz w:val="16"/>
                <w:szCs w:val="16"/>
                <w:color w:val="auto"/>
              </w:rPr>
              <w:t>​ ​</w:t>
            </w:r>
          </w:p>
        </w:tc>
      </w:tr>
      <w:tr>
        <w:trPr>
          <w:trHeight w:val="189"/>
        </w:trPr>
        <w:tc>
          <w:tcPr>
            <w:tcW w:w="2940" w:type="dxa"/>
            <w:vAlign w:val="bottom"/>
          </w:tcPr>
          <w:p>
            <w:pPr>
              <w:ind w:left="240"/>
              <w:spacing w:after="0"/>
              <w:rPr>
                <w:sz w:val="20"/>
                <w:szCs w:val="20"/>
                <w:color w:val="auto"/>
              </w:rPr>
            </w:pPr>
            <w:r>
              <w:rPr>
                <w:rFonts w:ascii="Arial" w:cs="Arial" w:eastAsia="Arial" w:hAnsi="Arial"/>
                <w:sz w:val="16"/>
                <w:szCs w:val="16"/>
                <w:color w:val="62259D"/>
              </w:rPr>
              <w:t xml:space="preserve">■ </w:t>
            </w:r>
            <w:r>
              <w:rPr>
                <w:rFonts w:ascii="Arial" w:cs="Arial" w:eastAsia="Arial" w:hAnsi="Arial"/>
                <w:sz w:val="16"/>
                <w:szCs w:val="16"/>
                <w:color w:val="000000"/>
              </w:rPr>
              <w:t>Newport House</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9"/>
        </w:trPr>
        <w:tc>
          <w:tcPr>
            <w:tcW w:w="2940" w:type="dxa"/>
            <w:vAlign w:val="bottom"/>
          </w:tcPr>
          <w:p>
            <w:pPr>
              <w:ind w:left="400"/>
              <w:spacing w:after="0"/>
              <w:rPr>
                <w:sz w:val="20"/>
                <w:szCs w:val="20"/>
                <w:color w:val="auto"/>
              </w:rPr>
            </w:pPr>
            <w:r>
              <w:rPr>
                <w:rFonts w:ascii="Arial" w:cs="Arial" w:eastAsia="Arial" w:hAnsi="Arial"/>
                <w:sz w:val="16"/>
                <w:szCs w:val="16"/>
                <w:color w:val="auto"/>
              </w:rPr>
              <w:t>15 The Grange</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89"/>
        </w:trPr>
        <w:tc>
          <w:tcPr>
            <w:tcW w:w="2940" w:type="dxa"/>
            <w:vAlign w:val="bottom"/>
          </w:tcPr>
          <w:p>
            <w:pPr>
              <w:ind w:left="400"/>
              <w:spacing w:after="0"/>
              <w:rPr>
                <w:sz w:val="20"/>
                <w:szCs w:val="20"/>
                <w:color w:val="auto"/>
              </w:rPr>
            </w:pPr>
            <w:r>
              <w:rPr>
                <w:rFonts w:ascii="Arial" w:cs="Arial" w:eastAsia="Arial" w:hAnsi="Arial"/>
                <w:sz w:val="16"/>
                <w:szCs w:val="16"/>
                <w:color w:val="auto"/>
              </w:rPr>
              <w:t>St. Peter Port, Guernsey</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03"/>
        </w:trPr>
        <w:tc>
          <w:tcPr>
            <w:tcW w:w="2940" w:type="dxa"/>
            <w:vAlign w:val="bottom"/>
            <w:tcBorders>
              <w:bottom w:val="single" w:sz="8" w:color="E7417A"/>
            </w:tcBorders>
          </w:tcPr>
          <w:p>
            <w:pPr>
              <w:ind w:left="400"/>
              <w:spacing w:after="0"/>
              <w:rPr>
                <w:sz w:val="20"/>
                <w:szCs w:val="20"/>
                <w:color w:val="auto"/>
              </w:rPr>
            </w:pPr>
            <w:r>
              <w:rPr>
                <w:rFonts w:ascii="Arial" w:cs="Arial" w:eastAsia="Arial" w:hAnsi="Arial"/>
                <w:sz w:val="16"/>
                <w:szCs w:val="16"/>
                <w:color w:val="auto"/>
              </w:rPr>
              <w:t>GY1 4LA</w:t>
            </w:r>
          </w:p>
        </w:tc>
        <w:tc>
          <w:tcPr>
            <w:tcW w:w="320" w:type="dxa"/>
            <w:vAlign w:val="bottom"/>
            <w:tcBorders>
              <w:bottom w:val="single" w:sz="8" w:color="E7417A"/>
            </w:tcBorders>
          </w:tcPr>
          <w:p>
            <w:pPr>
              <w:spacing w:after="0"/>
              <w:rPr>
                <w:sz w:val="17"/>
                <w:szCs w:val="17"/>
                <w:color w:val="auto"/>
              </w:rPr>
            </w:pPr>
          </w:p>
        </w:tc>
        <w:tc>
          <w:tcPr>
            <w:tcW w:w="180" w:type="dxa"/>
            <w:vAlign w:val="bottom"/>
            <w:tcBorders>
              <w:bottom w:val="single" w:sz="8" w:color="E7417A"/>
            </w:tcBorders>
          </w:tcPr>
          <w:p>
            <w:pPr>
              <w:spacing w:after="0"/>
              <w:rPr>
                <w:sz w:val="17"/>
                <w:szCs w:val="17"/>
                <w:color w:val="auto"/>
              </w:rPr>
            </w:pPr>
          </w:p>
        </w:tc>
        <w:tc>
          <w:tcPr>
            <w:tcW w:w="1700" w:type="dxa"/>
            <w:vAlign w:val="bottom"/>
            <w:tcBorders>
              <w:bottom w:val="single" w:sz="8" w:color="E7417A"/>
            </w:tcBorders>
          </w:tcPr>
          <w:p>
            <w:pPr>
              <w:spacing w:after="0"/>
              <w:rPr>
                <w:sz w:val="17"/>
                <w:szCs w:val="17"/>
                <w:color w:val="auto"/>
              </w:rPr>
            </w:pPr>
          </w:p>
        </w:tc>
        <w:tc>
          <w:tcPr>
            <w:tcW w:w="400" w:type="dxa"/>
            <w:vAlign w:val="bottom"/>
            <w:tcBorders>
              <w:bottom w:val="single" w:sz="8" w:color="E7417A"/>
            </w:tcBorders>
          </w:tcPr>
          <w:p>
            <w:pPr>
              <w:spacing w:after="0"/>
              <w:rPr>
                <w:sz w:val="17"/>
                <w:szCs w:val="17"/>
                <w:color w:val="auto"/>
              </w:rPr>
            </w:pPr>
          </w:p>
        </w:tc>
        <w:tc>
          <w:tcPr>
            <w:tcW w:w="480" w:type="dxa"/>
            <w:vAlign w:val="bottom"/>
            <w:tcBorders>
              <w:bottom w:val="single" w:sz="8" w:color="E7417A"/>
            </w:tcBorders>
          </w:tcPr>
          <w:p>
            <w:pPr>
              <w:spacing w:after="0"/>
              <w:rPr>
                <w:sz w:val="17"/>
                <w:szCs w:val="17"/>
                <w:color w:val="auto"/>
              </w:rPr>
            </w:pPr>
          </w:p>
        </w:tc>
        <w:tc>
          <w:tcPr>
            <w:tcW w:w="300" w:type="dxa"/>
            <w:vAlign w:val="bottom"/>
            <w:tcBorders>
              <w:bottom w:val="single" w:sz="8" w:color="E7417A"/>
            </w:tcBorders>
          </w:tcPr>
          <w:p>
            <w:pPr>
              <w:spacing w:after="0"/>
              <w:rPr>
                <w:sz w:val="17"/>
                <w:szCs w:val="17"/>
                <w:color w:val="auto"/>
              </w:rPr>
            </w:pPr>
          </w:p>
        </w:tc>
        <w:tc>
          <w:tcPr>
            <w:tcW w:w="1240" w:type="dxa"/>
            <w:vAlign w:val="bottom"/>
            <w:tcBorders>
              <w:bottom w:val="single" w:sz="8" w:color="E7417A"/>
            </w:tcBorders>
          </w:tcPr>
          <w:p>
            <w:pPr>
              <w:spacing w:after="0"/>
              <w:rPr>
                <w:sz w:val="17"/>
                <w:szCs w:val="17"/>
                <w:color w:val="auto"/>
              </w:rPr>
            </w:pPr>
          </w:p>
        </w:tc>
        <w:tc>
          <w:tcPr>
            <w:tcW w:w="800" w:type="dxa"/>
            <w:vAlign w:val="bottom"/>
            <w:tcBorders>
              <w:bottom w:val="single" w:sz="8" w:color="E7417A"/>
            </w:tcBorders>
          </w:tcPr>
          <w:p>
            <w:pPr>
              <w:spacing w:after="0"/>
              <w:rPr>
                <w:sz w:val="17"/>
                <w:szCs w:val="17"/>
                <w:color w:val="auto"/>
              </w:rPr>
            </w:pPr>
          </w:p>
        </w:tc>
        <w:tc>
          <w:tcPr>
            <w:tcW w:w="500" w:type="dxa"/>
            <w:vAlign w:val="bottom"/>
            <w:tcBorders>
              <w:bottom w:val="single" w:sz="8" w:color="E7417A"/>
            </w:tcBorders>
          </w:tcPr>
          <w:p>
            <w:pPr>
              <w:spacing w:after="0"/>
              <w:rPr>
                <w:sz w:val="17"/>
                <w:szCs w:val="17"/>
                <w:color w:val="auto"/>
              </w:rPr>
            </w:pPr>
          </w:p>
        </w:tc>
      </w:tr>
      <w:tr>
        <w:trPr>
          <w:trHeight w:val="249"/>
        </w:trPr>
        <w:tc>
          <w:tcPr>
            <w:tcW w:w="2940" w:type="dxa"/>
            <w:vAlign w:val="bottom"/>
          </w:tcPr>
          <w:p>
            <w:pPr>
              <w:spacing w:after="0" w:line="249"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Neuberger Berman Group, LLC</w:t>
            </w:r>
            <w:r>
              <w:rPr>
                <w:rFonts w:ascii="Arial" w:cs="Arial" w:eastAsia="Arial" w:hAnsi="Arial"/>
                <w:sz w:val="17"/>
                <w:szCs w:val="17"/>
                <w:color w:val="auto"/>
                <w:vertAlign w:val="superscript"/>
              </w:rPr>
              <w:t>(9)</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700" w:type="dxa"/>
            <w:vAlign w:val="bottom"/>
          </w:tcPr>
          <w:p>
            <w:pPr>
              <w:ind w:left="760"/>
              <w:spacing w:after="0" w:line="249"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 17,502,066</w:t>
            </w:r>
          </w:p>
        </w:tc>
        <w:tc>
          <w:tcPr>
            <w:tcW w:w="400" w:type="dxa"/>
            <w:vAlign w:val="bottom"/>
          </w:tcPr>
          <w:p>
            <w:pPr>
              <w:spacing w:after="0"/>
              <w:rPr>
                <w:sz w:val="21"/>
                <w:szCs w:val="21"/>
                <w:color w:val="auto"/>
              </w:rPr>
            </w:pPr>
          </w:p>
        </w:tc>
        <w:tc>
          <w:tcPr>
            <w:tcW w:w="480" w:type="dxa"/>
            <w:vAlign w:val="bottom"/>
          </w:tcPr>
          <w:p>
            <w:pPr>
              <w:ind w:left="340"/>
              <w:spacing w:after="0"/>
              <w:rPr>
                <w:sz w:val="20"/>
                <w:szCs w:val="20"/>
                <w:color w:val="auto"/>
              </w:rPr>
            </w:pPr>
            <w:r>
              <w:rPr>
                <w:rFonts w:ascii="Arial" w:cs="Arial" w:eastAsia="Arial" w:hAnsi="Arial"/>
                <w:sz w:val="16"/>
                <w:szCs w:val="16"/>
                <w:color w:val="auto"/>
              </w:rPr>
              <w:t>​ ​</w:t>
            </w:r>
          </w:p>
        </w:tc>
        <w:tc>
          <w:tcPr>
            <w:tcW w:w="300" w:type="dxa"/>
            <w:vAlign w:val="bottom"/>
          </w:tcPr>
          <w:p>
            <w:pPr>
              <w:jc w:val="center"/>
              <w:spacing w:after="0"/>
              <w:rPr>
                <w:sz w:val="20"/>
                <w:szCs w:val="20"/>
                <w:color w:val="auto"/>
              </w:rPr>
            </w:pPr>
            <w:r>
              <w:rPr>
                <w:rFonts w:ascii="Arial" w:cs="Arial" w:eastAsia="Arial" w:hAnsi="Arial"/>
                <w:sz w:val="16"/>
                <w:szCs w:val="16"/>
                <w:color w:val="auto"/>
              </w:rPr>
              <w:t>​</w:t>
            </w:r>
          </w:p>
        </w:tc>
        <w:tc>
          <w:tcPr>
            <w:tcW w:w="2040" w:type="dxa"/>
            <w:vAlign w:val="bottom"/>
            <w:gridSpan w:val="2"/>
          </w:tcPr>
          <w:p>
            <w:pPr>
              <w:ind w:left="960"/>
              <w:spacing w:after="0" w:line="249"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9.97%</w:t>
            </w:r>
          </w:p>
        </w:tc>
        <w:tc>
          <w:tcPr>
            <w:tcW w:w="500" w:type="dxa"/>
            <w:vAlign w:val="bottom"/>
          </w:tcPr>
          <w:p>
            <w:pPr>
              <w:ind w:left="340"/>
              <w:spacing w:after="0"/>
              <w:rPr>
                <w:sz w:val="20"/>
                <w:szCs w:val="20"/>
                <w:color w:val="auto"/>
              </w:rPr>
            </w:pPr>
            <w:r>
              <w:rPr>
                <w:rFonts w:ascii="Arial" w:cs="Arial" w:eastAsia="Arial" w:hAnsi="Arial"/>
                <w:sz w:val="16"/>
                <w:szCs w:val="16"/>
                <w:color w:val="auto"/>
              </w:rPr>
              <w:t>​ ​</w:t>
            </w:r>
          </w:p>
        </w:tc>
      </w:tr>
      <w:tr>
        <w:trPr>
          <w:trHeight w:val="367"/>
        </w:trPr>
        <w:tc>
          <w:tcPr>
            <w:tcW w:w="2940" w:type="dxa"/>
            <w:vAlign w:val="bottom"/>
          </w:tcPr>
          <w:p>
            <w:pPr>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Neuberger Investment Advisers LLC</w:t>
            </w:r>
          </w:p>
        </w:tc>
        <w:tc>
          <w:tcPr>
            <w:tcW w:w="320" w:type="dxa"/>
            <w:vAlign w:val="bottom"/>
          </w:tcPr>
          <w:p>
            <w:pPr>
              <w:ind w:left="160"/>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700" w:type="dxa"/>
            <w:vAlign w:val="bottom"/>
          </w:tcPr>
          <w:p>
            <w:pPr>
              <w:ind w:left="7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480" w:type="dxa"/>
            <w:vAlign w:val="bottom"/>
          </w:tcPr>
          <w:p>
            <w:pPr>
              <w:ind w:left="340"/>
              <w:spacing w:after="0"/>
              <w:rPr>
                <w:sz w:val="20"/>
                <w:szCs w:val="20"/>
                <w:color w:val="auto"/>
              </w:rPr>
            </w:pPr>
            <w:r>
              <w:rPr>
                <w:rFonts w:ascii="Arial" w:cs="Arial" w:eastAsia="Arial" w:hAnsi="Arial"/>
                <w:sz w:val="16"/>
                <w:szCs w:val="16"/>
                <w:color w:val="auto"/>
              </w:rPr>
              <w:t>​ ​</w:t>
            </w:r>
          </w:p>
        </w:tc>
        <w:tc>
          <w:tcPr>
            <w:tcW w:w="30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ind w:left="960"/>
              <w:spacing w:after="0"/>
              <w:rPr>
                <w:sz w:val="20"/>
                <w:szCs w:val="20"/>
                <w:color w:val="auto"/>
              </w:rPr>
            </w:pPr>
            <w:r>
              <w:rPr>
                <w:rFonts w:ascii="Arial" w:cs="Arial" w:eastAsia="Arial" w:hAnsi="Arial"/>
                <w:sz w:val="16"/>
                <w:szCs w:val="16"/>
                <w:color w:val="auto"/>
              </w:rPr>
              <w:t>​​</w:t>
            </w:r>
          </w:p>
        </w:tc>
        <w:tc>
          <w:tcPr>
            <w:tcW w:w="800" w:type="dxa"/>
            <w:vAlign w:val="bottom"/>
          </w:tcPr>
          <w:p>
            <w:pPr>
              <w:ind w:left="200"/>
              <w:spacing w:after="0"/>
              <w:rPr>
                <w:sz w:val="20"/>
                <w:szCs w:val="20"/>
                <w:color w:val="auto"/>
              </w:rPr>
            </w:pPr>
            <w:r>
              <w:rPr>
                <w:rFonts w:ascii="Arial" w:cs="Arial" w:eastAsia="Arial" w:hAnsi="Arial"/>
                <w:sz w:val="16"/>
                <w:szCs w:val="16"/>
                <w:color w:val="auto"/>
              </w:rPr>
              <w:t>​</w:t>
            </w:r>
          </w:p>
        </w:tc>
        <w:tc>
          <w:tcPr>
            <w:tcW w:w="500" w:type="dxa"/>
            <w:vAlign w:val="bottom"/>
          </w:tcPr>
          <w:p>
            <w:pPr>
              <w:ind w:left="340"/>
              <w:spacing w:after="0"/>
              <w:rPr>
                <w:sz w:val="20"/>
                <w:szCs w:val="20"/>
                <w:color w:val="auto"/>
              </w:rPr>
            </w:pPr>
            <w:r>
              <w:rPr>
                <w:rFonts w:ascii="Arial" w:cs="Arial" w:eastAsia="Arial" w:hAnsi="Arial"/>
                <w:sz w:val="16"/>
                <w:szCs w:val="16"/>
                <w:color w:val="auto"/>
              </w:rPr>
              <w:t>​ ​</w:t>
            </w:r>
          </w:p>
        </w:tc>
      </w:tr>
    </w:tbl>
    <w:p>
      <w:pPr>
        <w:ind w:left="1320" w:right="6359" w:hanging="153"/>
        <w:spacing w:after="0" w:line="265" w:lineRule="auto"/>
        <w:tabs>
          <w:tab w:leader="none" w:pos="1320" w:val="left"/>
        </w:tabs>
        <w:numPr>
          <w:ilvl w:val="1"/>
          <w:numId w:val="138"/>
        </w:numPr>
        <w:rPr>
          <w:rFonts w:ascii="Arial" w:cs="Arial" w:eastAsia="Arial" w:hAnsi="Arial"/>
          <w:sz w:val="16"/>
          <w:szCs w:val="16"/>
          <w:color w:val="62259D"/>
        </w:rPr>
      </w:pPr>
      <w:r>
        <w:rPr>
          <w:rFonts w:ascii="Arial" w:cs="Arial" w:eastAsia="Arial" w:hAnsi="Arial"/>
          <w:sz w:val="16"/>
          <w:szCs w:val="16"/>
          <w:color w:val="auto"/>
        </w:rPr>
        <w:t>1290 Avenue of the Americas New York, NY 10104</w:t>
      </w:r>
    </w:p>
    <w:p>
      <w:pPr>
        <w:spacing w:after="0" w:line="82" w:lineRule="exact"/>
        <w:rPr>
          <w:rFonts w:ascii="Arial" w:cs="Arial" w:eastAsia="Arial" w:hAnsi="Arial"/>
          <w:sz w:val="16"/>
          <w:szCs w:val="16"/>
          <w:color w:val="62259D"/>
        </w:rPr>
      </w:pPr>
    </w:p>
    <w:p>
      <w:pPr>
        <w:ind w:left="1040"/>
        <w:spacing w:after="0"/>
        <w:rPr>
          <w:rFonts w:ascii="Arial" w:cs="Arial" w:eastAsia="Arial" w:hAnsi="Arial"/>
          <w:sz w:val="16"/>
          <w:szCs w:val="16"/>
          <w:color w:val="62259D"/>
        </w:rPr>
      </w:pPr>
      <w:r>
        <w:rPr>
          <w:rFonts w:ascii="Arial" w:cs="Arial" w:eastAsia="Arial" w:hAnsi="Arial"/>
          <w:sz w:val="14"/>
          <w:szCs w:val="14"/>
          <w:color w:val="auto"/>
        </w:rPr>
        <w:t>*Less than 1% of the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-155575</wp:posOffset>
            </wp:positionV>
            <wp:extent cx="56235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23560" cy="8890"/>
                    </a:xfrm>
                    <a:prstGeom prst="rect">
                      <a:avLst/>
                    </a:prstGeom>
                    <a:noFill/>
                  </pic:spPr>
                </pic:pic>
              </a:graphicData>
            </a:graphic>
          </wp:anchor>
        </w:drawing>
      </w:r>
    </w:p>
    <w:p>
      <w:pPr>
        <w:spacing w:after="0" w:line="103" w:lineRule="exact"/>
        <w:rPr>
          <w:sz w:val="20"/>
          <w:szCs w:val="20"/>
          <w:color w:val="auto"/>
        </w:rPr>
      </w:pPr>
    </w:p>
    <w:p>
      <w:pPr>
        <w:ind w:left="1400" w:hanging="368"/>
        <w:spacing w:after="0"/>
        <w:tabs>
          <w:tab w:leader="none" w:pos="14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Beneficial ownership includes 2,296,747 shares issuable upon the vesting of equity awards within 60 days of April 6, 2026.</w:t>
      </w:r>
    </w:p>
    <w:p>
      <w:pPr>
        <w:spacing w:after="0" w:line="122" w:lineRule="exact"/>
        <w:rPr>
          <w:rFonts w:ascii="Arial" w:cs="Arial" w:eastAsia="Arial" w:hAnsi="Arial"/>
          <w:sz w:val="14"/>
          <w:szCs w:val="14"/>
          <w:color w:val="auto"/>
        </w:rPr>
      </w:pPr>
    </w:p>
    <w:p>
      <w:pPr>
        <w:ind w:left="1400" w:hanging="368"/>
        <w:spacing w:after="0"/>
        <w:tabs>
          <w:tab w:leader="none" w:pos="14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Beneficial ownership includes 323,763 shares issuable upon the vesting of equity awards within 60 days of April 6, 2026.</w:t>
      </w:r>
    </w:p>
    <w:p>
      <w:pPr>
        <w:spacing w:after="0" w:line="122" w:lineRule="exact"/>
        <w:rPr>
          <w:rFonts w:ascii="Arial" w:cs="Arial" w:eastAsia="Arial" w:hAnsi="Arial"/>
          <w:sz w:val="14"/>
          <w:szCs w:val="14"/>
          <w:color w:val="auto"/>
        </w:rPr>
      </w:pPr>
    </w:p>
    <w:p>
      <w:pPr>
        <w:ind w:left="1400" w:hanging="368"/>
        <w:spacing w:after="0"/>
        <w:tabs>
          <w:tab w:leader="none" w:pos="14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Beneficial ownership includes 251,075 shares issuable upon the vesting of equity awards within 60 days of April 6, 2026.</w:t>
      </w:r>
    </w:p>
    <w:p>
      <w:pPr>
        <w:spacing w:after="0" w:line="122" w:lineRule="exact"/>
        <w:rPr>
          <w:rFonts w:ascii="Arial" w:cs="Arial" w:eastAsia="Arial" w:hAnsi="Arial"/>
          <w:sz w:val="14"/>
          <w:szCs w:val="14"/>
          <w:color w:val="auto"/>
        </w:rPr>
      </w:pPr>
    </w:p>
    <w:p>
      <w:pPr>
        <w:ind w:left="1400" w:hanging="368"/>
        <w:spacing w:after="0"/>
        <w:tabs>
          <w:tab w:leader="none" w:pos="14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Mr. Redington left Ribbon effective September 30, 2025.</w:t>
      </w:r>
    </w:p>
    <w:p>
      <w:pPr>
        <w:spacing w:after="0" w:line="122" w:lineRule="exact"/>
        <w:rPr>
          <w:rFonts w:ascii="Arial" w:cs="Arial" w:eastAsia="Arial" w:hAnsi="Arial"/>
          <w:sz w:val="14"/>
          <w:szCs w:val="14"/>
          <w:color w:val="auto"/>
        </w:rPr>
      </w:pPr>
    </w:p>
    <w:p>
      <w:pPr>
        <w:ind w:left="1400" w:hanging="368"/>
        <w:spacing w:after="0"/>
        <w:tabs>
          <w:tab w:leader="none" w:pos="14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Beneficial ownership includes 25,641 shares issuable upon the vesting of equity awards within 60 days of April 6, 2026.</w:t>
      </w:r>
    </w:p>
    <w:p>
      <w:pPr>
        <w:spacing w:after="0" w:line="109" w:lineRule="exact"/>
        <w:rPr>
          <w:rFonts w:ascii="Arial" w:cs="Arial" w:eastAsia="Arial" w:hAnsi="Arial"/>
          <w:sz w:val="14"/>
          <w:szCs w:val="14"/>
          <w:color w:val="auto"/>
        </w:rPr>
      </w:pPr>
    </w:p>
    <w:p>
      <w:pPr>
        <w:ind w:left="1400" w:hanging="368"/>
        <w:spacing w:after="0"/>
        <w:tabs>
          <w:tab w:leader="none" w:pos="14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Beneficial ownership includes 2,897,226 shares issuable upon the vesting of equity awards within 60 days of April 6, 2026.</w:t>
      </w:r>
    </w:p>
    <w:p>
      <w:pPr>
        <w:spacing w:after="0" w:line="122" w:lineRule="exact"/>
        <w:rPr>
          <w:rFonts w:ascii="Arial" w:cs="Arial" w:eastAsia="Arial" w:hAnsi="Arial"/>
          <w:sz w:val="14"/>
          <w:szCs w:val="14"/>
          <w:color w:val="auto"/>
        </w:rPr>
      </w:pPr>
    </w:p>
    <w:p>
      <w:pPr>
        <w:ind w:left="1400" w:right="99" w:hanging="368"/>
        <w:spacing w:after="0" w:line="272" w:lineRule="auto"/>
        <w:tabs>
          <w:tab w:leader="none" w:pos="14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Beneficial ownership includes warrants to purchase 441,645 shares of common stock which are exercisable within 60 days of April 6, 2026. JPMorgan Chase &amp; Co. is the sole member of JPMorgan Chase Holdings LLC, which is the sole member of OEP</w:t>
      </w:r>
    </w:p>
    <w:p>
      <w:pPr>
        <w:ind w:left="1400"/>
        <w:spacing w:after="0"/>
        <w:rPr>
          <w:sz w:val="20"/>
          <w:szCs w:val="20"/>
          <w:color w:val="auto"/>
        </w:rPr>
      </w:pPr>
      <w:r>
        <w:rPr>
          <w:rFonts w:ascii="Arial" w:cs="Arial" w:eastAsia="Arial" w:hAnsi="Arial"/>
          <w:sz w:val="14"/>
          <w:szCs w:val="14"/>
          <w:color w:val="auto"/>
        </w:rPr>
        <w:t>Holdings LLC, which is the sole member of JPMC Heritage Parent LLC, which is the general partner of OEP General Partner</w:t>
      </w:r>
    </w:p>
    <w:p>
      <w:pPr>
        <w:spacing w:after="0" w:line="1" w:lineRule="exact"/>
        <w:rPr>
          <w:sz w:val="20"/>
          <w:szCs w:val="20"/>
          <w:color w:val="auto"/>
        </w:rPr>
      </w:pPr>
    </w:p>
    <w:p>
      <w:pPr>
        <w:ind w:left="1400" w:right="139"/>
        <w:spacing w:after="0" w:line="259" w:lineRule="auto"/>
        <w:rPr>
          <w:sz w:val="20"/>
          <w:szCs w:val="20"/>
          <w:color w:val="auto"/>
        </w:rPr>
      </w:pPr>
      <w:r>
        <w:rPr>
          <w:rFonts w:ascii="Arial" w:cs="Arial" w:eastAsia="Arial" w:hAnsi="Arial"/>
          <w:sz w:val="14"/>
          <w:szCs w:val="14"/>
          <w:color w:val="auto"/>
        </w:rPr>
        <w:t>III L.P., which is the general partner of Heritage PE (OEP) III, L.P. OEP II Partners Co-Invest, L.P. is subject to certain contractual agreements and statutory obligations to acquire and vote shares side-by-side with Heritage PE (OEP) III, L.P. By virtue of these agreements and obligations, JPMorgan Chase &amp; Co. may be deemed to have or share beneficial ownership over the shares held directly by OEP II Partners Co-Invest, L.P. Notwithstanding the above, JPMorgan Chase does not directly or indirectly own any interest in OEP II Partners Co-Invest, L.P. J.P. Morgan Securities LLC, an affiliate of JPMorgan Chase &amp; Co., is a registered broker-dealer. Rick W. Smith, an officer of JPMorgan Chase &amp; Co., is a member of the Board of Directors of the Company.</w:t>
      </w:r>
    </w:p>
    <w:p>
      <w:pPr>
        <w:spacing w:after="0" w:line="253" w:lineRule="exact"/>
        <w:rPr>
          <w:sz w:val="20"/>
          <w:szCs w:val="20"/>
          <w:color w:val="auto"/>
        </w:rPr>
      </w:pPr>
    </w:p>
    <w:p>
      <w:pPr>
        <w:ind w:left="1400" w:right="219" w:hanging="368"/>
        <w:spacing w:after="0" w:line="267" w:lineRule="auto"/>
        <w:tabs>
          <w:tab w:leader="none" w:pos="140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Beneficial ownership includes warrants to purchase 441,645 shares of common stock which are exercisable within 60 days of April 6, 2026. Each of Nicholas Moss, Suzanne Hart and Georgios Antoniades, each a director of Swarth Investments Ltd., may be deemed to have investment discretion over the shares of common stock held by Swarth Investments Ltd, which investment discretion requires the approval of at least two of such directors. Shaul Shani, Founder and Chairman of the Swarth Group, is a member of the Board of Directors of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70</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9166BA"/>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63" w:lineRule="exact"/>
        <w:rPr>
          <w:sz w:val="20"/>
          <w:szCs w:val="20"/>
          <w:color w:val="auto"/>
        </w:rPr>
      </w:pPr>
    </w:p>
    <w:p>
      <w:pPr>
        <w:ind w:left="1400" w:right="119" w:hanging="368"/>
        <w:spacing w:after="0" w:line="269" w:lineRule="auto"/>
        <w:tabs>
          <w:tab w:leader="none" w:pos="14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Based solely on the Schedule 13G/A filed with the SEC on February 12, 2024 by Neuberger Berman Group LLC (“NBG”) and Neuberger Berman Investment Advisers LLC (“NBIA”). Beneficial ownership includes shares held by NBG and client funds and accounts managed or advised by NBIA. NBG and certain of its affiliates, including NBIA, have voting power and investment power over the shares. NBG and its affiliates do not, however, have any economic interest in the shares.</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Filing of Section 16 Reports</w:t>
      </w:r>
    </w:p>
    <w:p>
      <w:pPr>
        <w:spacing w:after="0" w:line="158" w:lineRule="exact"/>
        <w:rPr>
          <w:sz w:val="20"/>
          <w:szCs w:val="20"/>
          <w:color w:val="auto"/>
        </w:rPr>
      </w:pPr>
    </w:p>
    <w:p>
      <w:pPr>
        <w:ind w:left="920" w:right="99"/>
        <w:spacing w:after="0" w:line="253" w:lineRule="auto"/>
        <w:rPr>
          <w:sz w:val="20"/>
          <w:szCs w:val="20"/>
          <w:color w:val="auto"/>
        </w:rPr>
      </w:pPr>
      <w:r>
        <w:rPr>
          <w:rFonts w:ascii="Arial" w:cs="Arial" w:eastAsia="Arial" w:hAnsi="Arial"/>
          <w:sz w:val="18"/>
          <w:szCs w:val="18"/>
          <w:color w:val="auto"/>
        </w:rPr>
        <w:t>All reports required to be filed under Section 16 of the Exchange Act by our directors and executive officers for 2025 and through the date of this Proxy Statement were timely filed except for a Form 4 filed in March 2026 by Mr. McClelland relating to open market stock purchase which was filed late.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ADDITIONAL INFORMATION</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Information about the Annual Meeting</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648"/>
        </w:trPr>
        <w:tc>
          <w:tcPr>
            <w:tcW w:w="2800" w:type="dxa"/>
            <w:vAlign w:val="bottom"/>
          </w:tcPr>
          <w:p>
            <w:pPr>
              <w:spacing w:after="0"/>
              <w:rPr>
                <w:sz w:val="24"/>
                <w:szCs w:val="24"/>
                <w:color w:val="auto"/>
              </w:rPr>
            </w:pPr>
          </w:p>
        </w:tc>
        <w:tc>
          <w:tcPr>
            <w:tcW w:w="220" w:type="dxa"/>
            <w:vAlign w:val="bottom"/>
            <w:shd w:val="clear" w:color="auto" w:fill="FEFEFE"/>
          </w:tcPr>
          <w:p>
            <w:pPr>
              <w:spacing w:after="0"/>
              <w:rPr>
                <w:sz w:val="20"/>
                <w:szCs w:val="20"/>
                <w:color w:val="auto"/>
              </w:rPr>
            </w:pPr>
            <w:r>
              <w:rPr>
                <w:rFonts w:ascii="Arial" w:cs="Arial" w:eastAsia="Arial" w:hAnsi="Arial"/>
                <w:sz w:val="16"/>
                <w:szCs w:val="16"/>
                <w:b w:val="1"/>
                <w:bCs w:val="1"/>
                <w:color w:val="FEFEFE"/>
              </w:rPr>
              <w:t>​</w:t>
            </w:r>
          </w:p>
        </w:tc>
        <w:tc>
          <w:tcPr>
            <w:tcW w:w="2900" w:type="dxa"/>
            <w:vAlign w:val="bottom"/>
          </w:tcPr>
          <w:p>
            <w:pPr>
              <w:spacing w:after="0"/>
              <w:rPr>
                <w:sz w:val="20"/>
                <w:szCs w:val="20"/>
                <w:color w:val="auto"/>
              </w:rPr>
            </w:pPr>
            <w:r>
              <w:rPr>
                <w:rFonts w:ascii="Arial" w:cs="Arial" w:eastAsia="Arial" w:hAnsi="Arial"/>
                <w:sz w:val="16"/>
                <w:szCs w:val="16"/>
                <w:b w:val="1"/>
                <w:bCs w:val="1"/>
                <w:color w:val="FEFEFE"/>
              </w:rPr>
              <w:t>​</w:t>
            </w:r>
          </w:p>
        </w:tc>
        <w:tc>
          <w:tcPr>
            <w:tcW w:w="220" w:type="dxa"/>
            <w:vAlign w:val="bottom"/>
            <w:shd w:val="clear" w:color="auto" w:fill="FEFEFE"/>
          </w:tcPr>
          <w:p>
            <w:pPr>
              <w:ind w:left="20"/>
              <w:spacing w:after="0"/>
              <w:rPr>
                <w:sz w:val="20"/>
                <w:szCs w:val="20"/>
                <w:color w:val="auto"/>
              </w:rPr>
            </w:pPr>
            <w:r>
              <w:rPr>
                <w:rFonts w:ascii="Arial" w:cs="Arial" w:eastAsia="Arial" w:hAnsi="Arial"/>
                <w:sz w:val="16"/>
                <w:szCs w:val="16"/>
                <w:b w:val="1"/>
                <w:bCs w:val="1"/>
                <w:color w:val="FEFEFE"/>
              </w:rPr>
              <w:t>​</w:t>
            </w:r>
          </w:p>
        </w:tc>
        <w:tc>
          <w:tcPr>
            <w:tcW w:w="2720" w:type="dxa"/>
            <w:vAlign w:val="bottom"/>
          </w:tcPr>
          <w:p>
            <w:pPr>
              <w:spacing w:after="0"/>
              <w:rPr>
                <w:sz w:val="20"/>
                <w:szCs w:val="20"/>
                <w:color w:val="auto"/>
              </w:rPr>
            </w:pPr>
            <w:r>
              <w:rPr>
                <w:rFonts w:ascii="Arial" w:cs="Arial" w:eastAsia="Arial" w:hAnsi="Arial"/>
                <w:sz w:val="16"/>
                <w:szCs w:val="16"/>
                <w:b w:val="1"/>
                <w:bCs w:val="1"/>
                <w:color w:val="FEFEFE"/>
              </w:rPr>
              <w:t>​</w:t>
            </w:r>
          </w:p>
        </w:tc>
      </w:tr>
      <w:tr>
        <w:trPr>
          <w:trHeight w:val="277"/>
        </w:trPr>
        <w:tc>
          <w:tcPr>
            <w:tcW w:w="2800" w:type="dxa"/>
            <w:vAlign w:val="bottom"/>
            <w:tcBorders>
              <w:bottom w:val="single" w:sz="8" w:color="E7417A"/>
            </w:tcBorders>
            <w:shd w:val="clear" w:color="auto" w:fill="E7417A"/>
          </w:tcPr>
          <w:p>
            <w:pPr>
              <w:ind w:left="120"/>
              <w:spacing w:after="0"/>
              <w:rPr>
                <w:sz w:val="20"/>
                <w:szCs w:val="20"/>
                <w:color w:val="auto"/>
              </w:rPr>
            </w:pPr>
            <w:r>
              <w:rPr>
                <w:rFonts w:ascii="Arial" w:cs="Arial" w:eastAsia="Arial" w:hAnsi="Arial"/>
                <w:sz w:val="16"/>
                <w:szCs w:val="16"/>
                <w:b w:val="1"/>
                <w:bCs w:val="1"/>
                <w:color w:val="FEFEFE"/>
              </w:rPr>
              <w:t>Date and Time</w:t>
            </w:r>
          </w:p>
        </w:tc>
        <w:tc>
          <w:tcPr>
            <w:tcW w:w="220" w:type="dxa"/>
            <w:vAlign w:val="bottom"/>
            <w:tcBorders>
              <w:bottom w:val="single" w:sz="8" w:color="FEFEFE"/>
            </w:tcBorders>
            <w:shd w:val="clear" w:color="auto" w:fill="FEFEFE"/>
          </w:tcPr>
          <w:p>
            <w:pPr>
              <w:spacing w:after="0"/>
              <w:rPr>
                <w:sz w:val="20"/>
                <w:szCs w:val="20"/>
                <w:color w:val="auto"/>
              </w:rPr>
            </w:pPr>
            <w:r>
              <w:rPr>
                <w:rFonts w:ascii="Arial" w:cs="Arial" w:eastAsia="Arial" w:hAnsi="Arial"/>
                <w:sz w:val="16"/>
                <w:szCs w:val="16"/>
                <w:b w:val="1"/>
                <w:bCs w:val="1"/>
                <w:color w:val="FEFEFE"/>
              </w:rPr>
              <w:t>​</w:t>
            </w:r>
          </w:p>
        </w:tc>
        <w:tc>
          <w:tcPr>
            <w:tcW w:w="2900" w:type="dxa"/>
            <w:vAlign w:val="bottom"/>
            <w:tcBorders>
              <w:bottom w:val="single" w:sz="8" w:color="E7417A"/>
            </w:tcBorders>
            <w:shd w:val="clear" w:color="auto" w:fill="E7417A"/>
          </w:tcPr>
          <w:p>
            <w:pPr>
              <w:spacing w:after="0" w:line="269" w:lineRule="exact"/>
              <w:rPr>
                <w:sz w:val="20"/>
                <w:szCs w:val="20"/>
                <w:color w:val="auto"/>
              </w:rPr>
            </w:pPr>
            <w:r>
              <w:rPr>
                <w:rFonts w:ascii="Arial" w:cs="Arial" w:eastAsia="Arial" w:hAnsi="Arial"/>
                <w:sz w:val="31"/>
                <w:szCs w:val="31"/>
                <w:b w:val="1"/>
                <w:bCs w:val="1"/>
                <w:color w:val="FEFEFE"/>
                <w:vertAlign w:val="subscript"/>
              </w:rPr>
              <w:t>​</w:t>
            </w:r>
            <w:r>
              <w:rPr>
                <w:rFonts w:ascii="Arial" w:cs="Arial" w:eastAsia="Arial" w:hAnsi="Arial"/>
                <w:sz w:val="16"/>
                <w:szCs w:val="16"/>
                <w:b w:val="1"/>
                <w:bCs w:val="1"/>
                <w:color w:val="FEFEFE"/>
              </w:rPr>
              <w:t xml:space="preserve"> Meeting URL</w:t>
            </w:r>
          </w:p>
        </w:tc>
        <w:tc>
          <w:tcPr>
            <w:tcW w:w="22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6"/>
                <w:szCs w:val="16"/>
                <w:b w:val="1"/>
                <w:bCs w:val="1"/>
                <w:color w:val="FEFEFE"/>
              </w:rPr>
              <w:t>​</w:t>
            </w:r>
          </w:p>
        </w:tc>
        <w:tc>
          <w:tcPr>
            <w:tcW w:w="2720" w:type="dxa"/>
            <w:vAlign w:val="bottom"/>
            <w:tcBorders>
              <w:bottom w:val="single" w:sz="8" w:color="E7417A"/>
            </w:tcBorders>
            <w:shd w:val="clear" w:color="auto" w:fill="E7417A"/>
          </w:tcPr>
          <w:p>
            <w:pPr>
              <w:spacing w:after="0" w:line="269" w:lineRule="exact"/>
              <w:rPr>
                <w:sz w:val="20"/>
                <w:szCs w:val="20"/>
                <w:color w:val="auto"/>
              </w:rPr>
            </w:pPr>
            <w:r>
              <w:rPr>
                <w:rFonts w:ascii="Arial" w:cs="Arial" w:eastAsia="Arial" w:hAnsi="Arial"/>
                <w:sz w:val="31"/>
                <w:szCs w:val="31"/>
                <w:b w:val="1"/>
                <w:bCs w:val="1"/>
                <w:color w:val="FEFEFE"/>
                <w:vertAlign w:val="subscript"/>
              </w:rPr>
              <w:t>​</w:t>
            </w:r>
            <w:r>
              <w:rPr>
                <w:rFonts w:ascii="Arial" w:cs="Arial" w:eastAsia="Arial" w:hAnsi="Arial"/>
                <w:sz w:val="16"/>
                <w:szCs w:val="16"/>
                <w:b w:val="1"/>
                <w:bCs w:val="1"/>
                <w:color w:val="FEFEFE"/>
              </w:rPr>
              <w:t xml:space="preserve"> Record Date</w:t>
            </w:r>
          </w:p>
        </w:tc>
      </w:tr>
      <w:tr>
        <w:trPr>
          <w:trHeight w:val="202"/>
        </w:trPr>
        <w:tc>
          <w:tcPr>
            <w:tcW w:w="2800" w:type="dxa"/>
            <w:vAlign w:val="bottom"/>
          </w:tcPr>
          <w:p>
            <w:pPr>
              <w:ind w:left="120"/>
              <w:spacing w:after="0"/>
              <w:rPr>
                <w:sz w:val="20"/>
                <w:szCs w:val="20"/>
                <w:color w:val="auto"/>
              </w:rPr>
            </w:pPr>
            <w:r>
              <w:rPr>
                <w:rFonts w:ascii="Arial" w:cs="Arial" w:eastAsia="Arial" w:hAnsi="Arial"/>
                <w:sz w:val="16"/>
                <w:szCs w:val="16"/>
                <w:color w:val="auto"/>
              </w:rPr>
              <w:t>Monday, June 3, 2026</w:t>
            </w:r>
          </w:p>
        </w:tc>
        <w:tc>
          <w:tcPr>
            <w:tcW w:w="220" w:type="dxa"/>
            <w:vAlign w:val="bottom"/>
            <w:shd w:val="clear" w:color="auto" w:fill="FEFEFE"/>
          </w:tcPr>
          <w:p>
            <w:pPr>
              <w:spacing w:after="0"/>
              <w:rPr>
                <w:sz w:val="20"/>
                <w:szCs w:val="20"/>
                <w:color w:val="auto"/>
              </w:rPr>
            </w:pPr>
            <w:r>
              <w:rPr>
                <w:rFonts w:ascii="Arial" w:cs="Arial" w:eastAsia="Arial" w:hAnsi="Arial"/>
                <w:sz w:val="16"/>
                <w:szCs w:val="16"/>
                <w:color w:val="auto"/>
              </w:rPr>
              <w:t>​</w:t>
            </w:r>
          </w:p>
        </w:tc>
        <w:tc>
          <w:tcPr>
            <w:tcW w:w="2900" w:type="dxa"/>
            <w:vAlign w:val="bottom"/>
          </w:tcPr>
          <w:p>
            <w:pPr>
              <w:spacing w:after="0" w:line="202" w:lineRule="exact"/>
              <w:rPr>
                <w:sz w:val="20"/>
                <w:szCs w:val="20"/>
                <w:color w:val="auto"/>
              </w:rPr>
            </w:pPr>
            <w:r>
              <w:rPr>
                <w:rFonts w:ascii="Arial" w:cs="Arial" w:eastAsia="Arial" w:hAnsi="Arial"/>
                <w:sz w:val="23"/>
                <w:szCs w:val="23"/>
                <w:color w:val="000000"/>
                <w:vertAlign w:val="superscript"/>
              </w:rPr>
              <w:t>​</w:t>
            </w:r>
            <w:r>
              <w:rPr>
                <w:rFonts w:ascii="Arial" w:cs="Arial" w:eastAsia="Arial" w:hAnsi="Arial"/>
                <w:sz w:val="13"/>
                <w:szCs w:val="13"/>
                <w:color w:val="E7417A"/>
              </w:rPr>
              <w:t xml:space="preserve"> www.virtualshareholder</w:t>
            </w:r>
          </w:p>
        </w:tc>
        <w:tc>
          <w:tcPr>
            <w:tcW w:w="220" w:type="dxa"/>
            <w:vAlign w:val="bottom"/>
            <w:shd w:val="clear" w:color="auto" w:fill="FEFEFE"/>
          </w:tcPr>
          <w:p>
            <w:pPr>
              <w:ind w:left="20"/>
              <w:spacing w:after="0"/>
              <w:rPr>
                <w:sz w:val="20"/>
                <w:szCs w:val="20"/>
                <w:color w:val="auto"/>
              </w:rPr>
            </w:pPr>
            <w:r>
              <w:rPr>
                <w:rFonts w:ascii="Arial" w:cs="Arial" w:eastAsia="Arial" w:hAnsi="Arial"/>
                <w:sz w:val="16"/>
                <w:szCs w:val="16"/>
                <w:color w:val="auto"/>
              </w:rPr>
              <w:t>​</w:t>
            </w:r>
          </w:p>
        </w:tc>
        <w:tc>
          <w:tcPr>
            <w:tcW w:w="2720" w:type="dxa"/>
            <w:vAlign w:val="bottom"/>
          </w:tcPr>
          <w:p>
            <w:pPr>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April 6, 2026</w:t>
            </w:r>
          </w:p>
        </w:tc>
      </w:tr>
      <w:tr>
        <w:trPr>
          <w:trHeight w:val="215"/>
        </w:trPr>
        <w:tc>
          <w:tcPr>
            <w:tcW w:w="2800" w:type="dxa"/>
            <w:vAlign w:val="bottom"/>
          </w:tcPr>
          <w:p>
            <w:pPr>
              <w:ind w:left="120"/>
              <w:spacing w:after="0"/>
              <w:rPr>
                <w:sz w:val="20"/>
                <w:szCs w:val="20"/>
                <w:color w:val="auto"/>
              </w:rPr>
            </w:pPr>
            <w:r>
              <w:rPr>
                <w:rFonts w:ascii="Arial" w:cs="Arial" w:eastAsia="Arial" w:hAnsi="Arial"/>
                <w:sz w:val="16"/>
                <w:szCs w:val="16"/>
                <w:color w:val="auto"/>
              </w:rPr>
              <w:t>10:00 a.m. Eastern Time</w:t>
            </w:r>
          </w:p>
        </w:tc>
        <w:tc>
          <w:tcPr>
            <w:tcW w:w="220" w:type="dxa"/>
            <w:vAlign w:val="bottom"/>
            <w:shd w:val="clear" w:color="auto" w:fill="FEFEFE"/>
          </w:tcPr>
          <w:p>
            <w:pPr>
              <w:spacing w:after="0"/>
              <w:rPr>
                <w:sz w:val="18"/>
                <w:szCs w:val="18"/>
                <w:color w:val="auto"/>
              </w:rPr>
            </w:pPr>
          </w:p>
        </w:tc>
        <w:tc>
          <w:tcPr>
            <w:tcW w:w="2900" w:type="dxa"/>
            <w:vAlign w:val="bottom"/>
          </w:tcPr>
          <w:p>
            <w:pPr>
              <w:ind w:left="100"/>
              <w:spacing w:after="0"/>
              <w:rPr>
                <w:sz w:val="20"/>
                <w:szCs w:val="20"/>
                <w:color w:val="auto"/>
              </w:rPr>
            </w:pPr>
            <w:r>
              <w:rPr>
                <w:rFonts w:ascii="Arial" w:cs="Arial" w:eastAsia="Arial" w:hAnsi="Arial"/>
                <w:sz w:val="16"/>
                <w:szCs w:val="16"/>
                <w:color w:val="E7417A"/>
              </w:rPr>
              <w:t>meeting.com/RBBN2026</w:t>
            </w:r>
          </w:p>
        </w:tc>
        <w:tc>
          <w:tcPr>
            <w:tcW w:w="220" w:type="dxa"/>
            <w:vAlign w:val="bottom"/>
            <w:shd w:val="clear" w:color="auto" w:fill="FEFEFE"/>
          </w:tcPr>
          <w:p>
            <w:pPr>
              <w:spacing w:after="0"/>
              <w:rPr>
                <w:sz w:val="18"/>
                <w:szCs w:val="18"/>
                <w:color w:val="auto"/>
              </w:rPr>
            </w:pPr>
          </w:p>
        </w:tc>
        <w:tc>
          <w:tcPr>
            <w:tcW w:w="2720" w:type="dxa"/>
            <w:vAlign w:val="bottom"/>
          </w:tcPr>
          <w:p>
            <w:pPr>
              <w:spacing w:after="0"/>
              <w:rPr>
                <w:sz w:val="18"/>
                <w:szCs w:val="18"/>
                <w:color w:val="auto"/>
              </w:rPr>
            </w:pPr>
          </w:p>
        </w:tc>
      </w:tr>
      <w:tr>
        <w:trPr>
          <w:trHeight w:val="70"/>
        </w:trPr>
        <w:tc>
          <w:tcPr>
            <w:tcW w:w="2800" w:type="dxa"/>
            <w:vAlign w:val="bottom"/>
          </w:tcPr>
          <w:p>
            <w:pPr>
              <w:spacing w:after="0"/>
              <w:rPr>
                <w:sz w:val="6"/>
                <w:szCs w:val="6"/>
                <w:color w:val="auto"/>
              </w:rPr>
            </w:pPr>
          </w:p>
        </w:tc>
        <w:tc>
          <w:tcPr>
            <w:tcW w:w="220" w:type="dxa"/>
            <w:vAlign w:val="bottom"/>
            <w:shd w:val="clear" w:color="auto" w:fill="FEFEFE"/>
          </w:tcPr>
          <w:p>
            <w:pPr>
              <w:spacing w:after="0"/>
              <w:rPr>
                <w:sz w:val="6"/>
                <w:szCs w:val="6"/>
                <w:color w:val="auto"/>
              </w:rPr>
            </w:pPr>
          </w:p>
        </w:tc>
        <w:tc>
          <w:tcPr>
            <w:tcW w:w="2900" w:type="dxa"/>
            <w:vAlign w:val="bottom"/>
          </w:tcPr>
          <w:p>
            <w:pPr>
              <w:spacing w:after="0"/>
              <w:rPr>
                <w:sz w:val="6"/>
                <w:szCs w:val="6"/>
                <w:color w:val="auto"/>
              </w:rPr>
            </w:pPr>
          </w:p>
        </w:tc>
        <w:tc>
          <w:tcPr>
            <w:tcW w:w="220" w:type="dxa"/>
            <w:vAlign w:val="bottom"/>
            <w:shd w:val="clear" w:color="auto" w:fill="FEFEFE"/>
          </w:tcPr>
          <w:p>
            <w:pPr>
              <w:spacing w:after="0"/>
              <w:rPr>
                <w:sz w:val="6"/>
                <w:szCs w:val="6"/>
                <w:color w:val="auto"/>
              </w:rPr>
            </w:pPr>
          </w:p>
        </w:tc>
        <w:tc>
          <w:tcPr>
            <w:tcW w:w="27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-822325</wp:posOffset>
            </wp:positionV>
            <wp:extent cx="265430" cy="2654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-856615</wp:posOffset>
            </wp:positionV>
            <wp:extent cx="180340" cy="3003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80340" cy="3003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-822325</wp:posOffset>
            </wp:positionV>
            <wp:extent cx="308610" cy="2654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08610" cy="265430"/>
                    </a:xfrm>
                    <a:prstGeom prst="rect">
                      <a:avLst/>
                    </a:prstGeom>
                    <a:noFill/>
                  </pic:spPr>
                </pic:pic>
              </a:graphicData>
            </a:graphic>
          </wp:anchor>
        </w:drawing>
      </w:r>
    </w:p>
    <w:p>
      <w:pPr>
        <w:spacing w:after="0" w:line="218" w:lineRule="exact"/>
        <w:rPr>
          <w:sz w:val="20"/>
          <w:szCs w:val="20"/>
          <w:color w:val="auto"/>
        </w:rPr>
      </w:pPr>
    </w:p>
    <w:p>
      <w:pPr>
        <w:ind w:left="920" w:right="320"/>
        <w:spacing w:after="0" w:line="252" w:lineRule="auto"/>
        <w:rPr>
          <w:sz w:val="20"/>
          <w:szCs w:val="20"/>
          <w:color w:val="auto"/>
        </w:rPr>
      </w:pPr>
      <w:r>
        <w:rPr>
          <w:rFonts w:ascii="Arial" w:cs="Arial" w:eastAsia="Arial" w:hAnsi="Arial"/>
          <w:sz w:val="18"/>
          <w:szCs w:val="18"/>
          <w:color w:val="auto"/>
        </w:rPr>
        <w:t>Our Board is soliciting proxies for the 2026 Annual Meeting to be held on Monday, June 3, 2026, and at any adjournments, continuations or postponements thereof. This Proxy Statement contains important information for you to consider when deciding how to vote on the matters brought before the meeting.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94615</wp:posOffset>
            </wp:positionV>
            <wp:extent cx="825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890"/>
                    </a:xfrm>
                    <a:prstGeom prst="rect">
                      <a:avLst/>
                    </a:prstGeom>
                    <a:noFill/>
                  </pic:spPr>
                </pic:pic>
              </a:graphicData>
            </a:graphic>
          </wp:anchor>
        </w:drawing>
      </w:r>
    </w:p>
    <w:p>
      <w:pPr>
        <w:spacing w:after="0" w:line="129" w:lineRule="exact"/>
        <w:rPr>
          <w:sz w:val="20"/>
          <w:szCs w:val="20"/>
          <w:color w:val="auto"/>
        </w:rPr>
      </w:pPr>
    </w:p>
    <w:tbl>
      <w:tblPr>
        <w:tblLayout w:type="fixed"/>
        <w:tblInd w:w="1290" w:type="dxa"/>
        <w:tblCellMar>
          <w:top w:w="0" w:type="dxa"/>
          <w:left w:w="0" w:type="dxa"/>
          <w:bottom w:w="0" w:type="dxa"/>
          <w:right w:w="0" w:type="dxa"/>
        </w:tblCellMar>
      </w:tblPr>
      <w:tr>
        <w:trPr>
          <w:trHeight w:val="283"/>
        </w:trPr>
        <w:tc>
          <w:tcPr>
            <w:tcW w:w="440" w:type="dxa"/>
            <w:vAlign w:val="bottom"/>
            <w:tcBorders>
              <w:left w:val="single" w:sz="8" w:color="62259D"/>
            </w:tcBorders>
            <w:shd w:val="clear" w:color="auto" w:fill="62259D"/>
          </w:tcPr>
          <w:p>
            <w:pPr>
              <w:ind w:left="220"/>
              <w:spacing w:after="0"/>
              <w:rPr>
                <w:sz w:val="20"/>
                <w:szCs w:val="20"/>
                <w:color w:val="auto"/>
              </w:rPr>
            </w:pPr>
            <w:r>
              <w:rPr>
                <w:rFonts w:ascii="Arial" w:cs="Arial" w:eastAsia="Arial" w:hAnsi="Arial"/>
                <w:sz w:val="16"/>
                <w:szCs w:val="16"/>
                <w:b w:val="1"/>
                <w:bCs w:val="1"/>
                <w:color w:val="FEFEFE"/>
              </w:rPr>
              <w:t>​</w:t>
            </w:r>
          </w:p>
        </w:tc>
        <w:tc>
          <w:tcPr>
            <w:tcW w:w="7260" w:type="dxa"/>
            <w:vAlign w:val="bottom"/>
            <w:shd w:val="clear" w:color="auto" w:fill="62259D"/>
          </w:tcPr>
          <w:p>
            <w:pPr>
              <w:jc w:val="center"/>
              <w:spacing w:after="0"/>
              <w:rPr>
                <w:sz w:val="20"/>
                <w:szCs w:val="20"/>
                <w:color w:val="auto"/>
              </w:rPr>
            </w:pPr>
            <w:r>
              <w:rPr>
                <w:rFonts w:ascii="Arial" w:cs="Arial" w:eastAsia="Arial" w:hAnsi="Arial"/>
                <w:sz w:val="16"/>
                <w:szCs w:val="16"/>
                <w:b w:val="1"/>
                <w:bCs w:val="1"/>
                <w:color w:val="FEFEFE"/>
              </w:rPr>
              <w:t>IMPORTANT NOTICE REGARDING AVAILABILITY OF PROXY MATERIALS FOR THE</w:t>
            </w:r>
          </w:p>
        </w:tc>
        <w:tc>
          <w:tcPr>
            <w:tcW w:w="440" w:type="dxa"/>
            <w:vAlign w:val="bottom"/>
            <w:tcBorders>
              <w:right w:val="single" w:sz="8" w:color="62259D"/>
            </w:tcBorders>
            <w:shd w:val="clear" w:color="auto" w:fill="62259D"/>
          </w:tcPr>
          <w:p>
            <w:pPr>
              <w:ind w:left="200"/>
              <w:spacing w:after="0"/>
              <w:rPr>
                <w:sz w:val="20"/>
                <w:szCs w:val="20"/>
                <w:color w:val="auto"/>
              </w:rPr>
            </w:pPr>
            <w:r>
              <w:rPr>
                <w:rFonts w:ascii="Arial" w:cs="Arial" w:eastAsia="Arial" w:hAnsi="Arial"/>
                <w:sz w:val="16"/>
                <w:szCs w:val="16"/>
                <w:b w:val="1"/>
                <w:bCs w:val="1"/>
                <w:color w:val="FEFEFE"/>
              </w:rPr>
              <w:t>​</w:t>
            </w:r>
          </w:p>
        </w:tc>
      </w:tr>
      <w:tr>
        <w:trPr>
          <w:trHeight w:val="251"/>
        </w:trPr>
        <w:tc>
          <w:tcPr>
            <w:tcW w:w="440" w:type="dxa"/>
            <w:vAlign w:val="bottom"/>
            <w:tcBorders>
              <w:left w:val="single" w:sz="8" w:color="62259D"/>
              <w:bottom w:val="single" w:sz="8" w:color="62259D"/>
            </w:tcBorders>
            <w:shd w:val="clear" w:color="auto" w:fill="62259D"/>
          </w:tcPr>
          <w:p>
            <w:pPr>
              <w:spacing w:after="0"/>
              <w:rPr>
                <w:sz w:val="21"/>
                <w:szCs w:val="21"/>
                <w:color w:val="auto"/>
              </w:rPr>
            </w:pPr>
          </w:p>
        </w:tc>
        <w:tc>
          <w:tcPr>
            <w:tcW w:w="7260" w:type="dxa"/>
            <w:vAlign w:val="bottom"/>
            <w:tcBorders>
              <w:bottom w:val="single" w:sz="8" w:color="62259D"/>
            </w:tcBorders>
            <w:shd w:val="clear" w:color="auto" w:fill="62259D"/>
          </w:tcPr>
          <w:p>
            <w:pPr>
              <w:jc w:val="center"/>
              <w:spacing w:after="0"/>
              <w:rPr>
                <w:sz w:val="20"/>
                <w:szCs w:val="20"/>
                <w:color w:val="auto"/>
              </w:rPr>
            </w:pPr>
            <w:r>
              <w:rPr>
                <w:rFonts w:ascii="Arial" w:cs="Arial" w:eastAsia="Arial" w:hAnsi="Arial"/>
                <w:sz w:val="16"/>
                <w:szCs w:val="16"/>
                <w:b w:val="1"/>
                <w:bCs w:val="1"/>
                <w:color w:val="FEFEFE"/>
              </w:rPr>
              <w:t>STOCKHOLDER MEETING TO BE HELD ON JUNE 3, 2026</w:t>
            </w:r>
          </w:p>
        </w:tc>
        <w:tc>
          <w:tcPr>
            <w:tcW w:w="440" w:type="dxa"/>
            <w:vAlign w:val="bottom"/>
            <w:tcBorders>
              <w:bottom w:val="single" w:sz="8" w:color="62259D"/>
              <w:right w:val="single" w:sz="8" w:color="62259D"/>
            </w:tcBorders>
            <w:shd w:val="clear" w:color="auto" w:fill="62259D"/>
          </w:tcPr>
          <w:p>
            <w:pPr>
              <w:spacing w:after="0"/>
              <w:rPr>
                <w:sz w:val="21"/>
                <w:szCs w:val="21"/>
                <w:color w:val="auto"/>
              </w:rPr>
            </w:pPr>
          </w:p>
        </w:tc>
      </w:tr>
      <w:tr>
        <w:trPr>
          <w:trHeight w:val="254"/>
        </w:trPr>
        <w:tc>
          <w:tcPr>
            <w:tcW w:w="440" w:type="dxa"/>
            <w:vAlign w:val="bottom"/>
            <w:tcBorders>
              <w:left w:val="single" w:sz="8" w:color="62259D"/>
            </w:tcBorders>
          </w:tcPr>
          <w:p>
            <w:pPr>
              <w:ind w:left="220"/>
              <w:spacing w:after="0"/>
              <w:rPr>
                <w:sz w:val="20"/>
                <w:szCs w:val="20"/>
                <w:color w:val="auto"/>
              </w:rPr>
            </w:pPr>
            <w:r>
              <w:rPr>
                <w:rFonts w:ascii="Arial" w:cs="Arial" w:eastAsia="Arial" w:hAnsi="Arial"/>
                <w:sz w:val="16"/>
                <w:szCs w:val="16"/>
                <w:color w:val="auto"/>
              </w:rPr>
              <w:t>​</w:t>
            </w:r>
          </w:p>
        </w:tc>
        <w:tc>
          <w:tcPr>
            <w:tcW w:w="7260" w:type="dxa"/>
            <w:vAlign w:val="bottom"/>
          </w:tcPr>
          <w:p>
            <w:pPr>
              <w:jc w:val="center"/>
              <w:spacing w:after="0"/>
              <w:rPr>
                <w:sz w:val="20"/>
                <w:szCs w:val="20"/>
                <w:color w:val="auto"/>
              </w:rPr>
            </w:pPr>
            <w:r>
              <w:rPr>
                <w:rFonts w:ascii="Arial" w:cs="Arial" w:eastAsia="Arial" w:hAnsi="Arial"/>
                <w:sz w:val="16"/>
                <w:szCs w:val="16"/>
                <w:color w:val="auto"/>
              </w:rPr>
              <w:t>This Proxy Statement and the 2025 Annual Report to Stockholders are available for viewing,</w:t>
            </w:r>
          </w:p>
        </w:tc>
        <w:tc>
          <w:tcPr>
            <w:tcW w:w="440" w:type="dxa"/>
            <w:vAlign w:val="bottom"/>
            <w:tcBorders>
              <w:right w:val="single" w:sz="8" w:color="62259D"/>
            </w:tcBorders>
          </w:tcPr>
          <w:p>
            <w:pPr>
              <w:ind w:left="200"/>
              <w:spacing w:after="0"/>
              <w:rPr>
                <w:sz w:val="20"/>
                <w:szCs w:val="20"/>
                <w:color w:val="auto"/>
              </w:rPr>
            </w:pPr>
            <w:r>
              <w:rPr>
                <w:rFonts w:ascii="Arial" w:cs="Arial" w:eastAsia="Arial" w:hAnsi="Arial"/>
                <w:sz w:val="16"/>
                <w:szCs w:val="16"/>
                <w:color w:val="auto"/>
              </w:rPr>
              <w:t>​</w:t>
            </w:r>
          </w:p>
        </w:tc>
      </w:tr>
      <w:tr>
        <w:trPr>
          <w:trHeight w:val="216"/>
        </w:trPr>
        <w:tc>
          <w:tcPr>
            <w:tcW w:w="440" w:type="dxa"/>
            <w:vAlign w:val="bottom"/>
            <w:tcBorders>
              <w:left w:val="single" w:sz="8" w:color="62259D"/>
            </w:tcBorders>
          </w:tcPr>
          <w:p>
            <w:pPr>
              <w:spacing w:after="0"/>
              <w:rPr>
                <w:sz w:val="18"/>
                <w:szCs w:val="18"/>
                <w:color w:val="auto"/>
              </w:rPr>
            </w:pPr>
          </w:p>
        </w:tc>
        <w:tc>
          <w:tcPr>
            <w:tcW w:w="7260" w:type="dxa"/>
            <w:vAlign w:val="bottom"/>
          </w:tcPr>
          <w:p>
            <w:pPr>
              <w:jc w:val="center"/>
              <w:spacing w:after="0"/>
              <w:rPr>
                <w:sz w:val="20"/>
                <w:szCs w:val="20"/>
                <w:color w:val="auto"/>
              </w:rPr>
            </w:pPr>
            <w:r>
              <w:rPr>
                <w:rFonts w:ascii="Arial" w:cs="Arial" w:eastAsia="Arial" w:hAnsi="Arial"/>
                <w:sz w:val="16"/>
                <w:szCs w:val="16"/>
                <w:color w:val="auto"/>
              </w:rPr>
              <w:t xml:space="preserve">printing and downloading at </w:t>
            </w:r>
            <w:r>
              <w:rPr>
                <w:rFonts w:ascii="Arial" w:cs="Arial" w:eastAsia="Arial" w:hAnsi="Arial"/>
                <w:sz w:val="16"/>
                <w:szCs w:val="16"/>
                <w:color w:val="E7417A"/>
              </w:rPr>
              <w:t>www.proxyvote.com</w:t>
            </w:r>
            <w:r>
              <w:rPr>
                <w:rFonts w:ascii="Arial" w:cs="Arial" w:eastAsia="Arial" w:hAnsi="Arial"/>
                <w:sz w:val="16"/>
                <w:szCs w:val="16"/>
                <w:color w:val="auto"/>
              </w:rPr>
              <w:t>.</w:t>
            </w:r>
          </w:p>
        </w:tc>
        <w:tc>
          <w:tcPr>
            <w:tcW w:w="440" w:type="dxa"/>
            <w:vAlign w:val="bottom"/>
            <w:tcBorders>
              <w:right w:val="single" w:sz="8" w:color="62259D"/>
            </w:tcBorders>
          </w:tcPr>
          <w:p>
            <w:pPr>
              <w:spacing w:after="0"/>
              <w:rPr>
                <w:sz w:val="18"/>
                <w:szCs w:val="18"/>
                <w:color w:val="auto"/>
              </w:rPr>
            </w:pPr>
          </w:p>
        </w:tc>
      </w:tr>
      <w:tr>
        <w:trPr>
          <w:trHeight w:val="69"/>
        </w:trPr>
        <w:tc>
          <w:tcPr>
            <w:tcW w:w="440" w:type="dxa"/>
            <w:vAlign w:val="bottom"/>
            <w:tcBorders>
              <w:left w:val="single" w:sz="8" w:color="62259D"/>
              <w:bottom w:val="single" w:sz="8" w:color="62259D"/>
            </w:tcBorders>
          </w:tcPr>
          <w:p>
            <w:pPr>
              <w:spacing w:after="0"/>
              <w:rPr>
                <w:sz w:val="6"/>
                <w:szCs w:val="6"/>
                <w:color w:val="auto"/>
              </w:rPr>
            </w:pPr>
          </w:p>
        </w:tc>
        <w:tc>
          <w:tcPr>
            <w:tcW w:w="7260" w:type="dxa"/>
            <w:vAlign w:val="bottom"/>
            <w:tcBorders>
              <w:bottom w:val="single" w:sz="8" w:color="62259D"/>
            </w:tcBorders>
          </w:tcPr>
          <w:p>
            <w:pPr>
              <w:spacing w:after="0"/>
              <w:rPr>
                <w:sz w:val="6"/>
                <w:szCs w:val="6"/>
                <w:color w:val="auto"/>
              </w:rPr>
            </w:pPr>
          </w:p>
        </w:tc>
        <w:tc>
          <w:tcPr>
            <w:tcW w:w="440" w:type="dxa"/>
            <w:vAlign w:val="bottom"/>
            <w:tcBorders>
              <w:bottom w:val="single" w:sz="8" w:color="62259D"/>
              <w:right w:val="single" w:sz="8" w:color="62259D"/>
            </w:tcBorders>
          </w:tcPr>
          <w:p>
            <w:pPr>
              <w:spacing w:after="0"/>
              <w:rPr>
                <w:sz w:val="6"/>
                <w:szCs w:val="6"/>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b w:val="1"/>
          <w:bCs w:val="1"/>
          <w:color w:val="FEFEFE"/>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FEFEFE"/>
        </w:rPr>
        <w:t>​</w:t>
      </w:r>
    </w:p>
    <w:p>
      <w:pPr>
        <w:spacing w:after="0"/>
        <w:rPr>
          <w:sz w:val="20"/>
          <w:szCs w:val="20"/>
          <w:color w:val="auto"/>
        </w:rPr>
      </w:pPr>
      <w:r>
        <w:rPr>
          <w:rFonts w:ascii="Arial" w:cs="Arial" w:eastAsia="Arial" w:hAnsi="Arial"/>
          <w:sz w:val="16"/>
          <w:szCs w:val="16"/>
          <w:color w:val="auto"/>
        </w:rPr>
        <w:t>​</w:t>
      </w:r>
    </w:p>
    <w:p>
      <w:pPr>
        <w:spacing w:after="0" w:line="2876" w:lineRule="exact"/>
        <w:rPr>
          <w:sz w:val="20"/>
          <w:szCs w:val="20"/>
          <w:color w:val="auto"/>
        </w:rPr>
      </w:pPr>
    </w:p>
    <w:p>
      <w:pPr>
        <w:sectPr>
          <w:pgSz w:w="11900" w:h="16838" w:orient="portrait"/>
          <w:cols w:equalWidth="0" w:num="2">
            <w:col w:w="9780" w:space="0"/>
            <w:col w:w="99"/>
          </w:cols>
          <w:pgMar w:left="580" w:top="97" w:right="1440" w:bottom="1440" w:gutter="0" w:footer="0" w:header="0"/>
          <w:type w:val="continuous"/>
        </w:sectPr>
      </w:pPr>
    </w:p>
    <w:p>
      <w:pPr>
        <w:spacing w:after="0" w:line="11" w:lineRule="exact"/>
        <w:rPr>
          <w:sz w:val="20"/>
          <w:szCs w:val="20"/>
          <w:color w:val="auto"/>
        </w:rPr>
      </w:pPr>
    </w:p>
    <w:p>
      <w:pPr>
        <w:ind w:left="920" w:right="879"/>
        <w:spacing w:after="0" w:line="271" w:lineRule="auto"/>
        <w:rPr>
          <w:sz w:val="20"/>
          <w:szCs w:val="20"/>
          <w:color w:val="auto"/>
        </w:rPr>
      </w:pPr>
      <w:r>
        <w:rPr>
          <w:rFonts w:ascii="Arial" w:cs="Arial" w:eastAsia="Arial" w:hAnsi="Arial"/>
          <w:sz w:val="18"/>
          <w:szCs w:val="18"/>
          <w:color w:val="auto"/>
        </w:rPr>
        <w:t>This Proxy Statement, form of proxy and the 2025 Annual Report are first being made available to stockholders on or about 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118110</wp:posOffset>
            </wp:positionV>
            <wp:extent cx="5597525" cy="4718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124"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Why am I receiving these materials?</w:t>
      </w:r>
      <w:r>
        <w:rPr>
          <w:sz w:val="20"/>
          <w:szCs w:val="20"/>
          <w:color w:val="auto"/>
        </w:rPr>
        <w:tab/>
      </w:r>
      <w:r>
        <w:rPr>
          <w:rFonts w:ascii="Arial" w:cs="Arial" w:eastAsia="Arial" w:hAnsi="Arial"/>
          <w:sz w:val="43"/>
          <w:szCs w:val="43"/>
          <w:color w:val="auto"/>
          <w:vertAlign w:val="subscript"/>
        </w:rPr>
        <w:t>​</w:t>
      </w:r>
    </w:p>
    <w:p>
      <w:pPr>
        <w:spacing w:after="0" w:line="252" w:lineRule="exact"/>
        <w:rPr>
          <w:sz w:val="20"/>
          <w:szCs w:val="20"/>
          <w:color w:val="auto"/>
        </w:rPr>
      </w:pPr>
    </w:p>
    <w:p>
      <w:pPr>
        <w:ind w:left="920" w:right="219"/>
        <w:spacing w:after="0" w:line="248" w:lineRule="auto"/>
        <w:rPr>
          <w:sz w:val="20"/>
          <w:szCs w:val="20"/>
          <w:color w:val="auto"/>
        </w:rPr>
      </w:pPr>
      <w:r>
        <w:rPr>
          <w:rFonts w:ascii="Arial" w:cs="Arial" w:eastAsia="Arial" w:hAnsi="Arial"/>
          <w:sz w:val="18"/>
          <w:szCs w:val="18"/>
          <w:color w:val="auto"/>
        </w:rPr>
        <w:t>You have received these proxy materials because our Board is soliciting your vote at the 2026 Annual Meeting. This Proxy Statement includes information that we are required to provide to you under the rules of the SEC and that is designed to assist you in voting your shares. Our Board has made these proxy materials available to you over the Internet, or, at your request, has delivered printed versions of these materials to you by mail, in connection with the Board’s solicitation of proxies for use at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258445</wp:posOffset>
            </wp:positionV>
            <wp:extent cx="5597525" cy="4718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346"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When and where is the meeting?</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right="119"/>
        <w:spacing w:after="0" w:line="246" w:lineRule="auto"/>
        <w:rPr>
          <w:sz w:val="20"/>
          <w:szCs w:val="20"/>
          <w:color w:val="auto"/>
        </w:rPr>
      </w:pPr>
      <w:r>
        <w:rPr>
          <w:rFonts w:ascii="Arial" w:cs="Arial" w:eastAsia="Arial" w:hAnsi="Arial"/>
          <w:sz w:val="18"/>
          <w:szCs w:val="18"/>
          <w:color w:val="auto"/>
        </w:rPr>
        <w:t xml:space="preserve">The 2026 Annual Meeting will be held on Monday, June 3, 2026 at 10:00 a.m., Eastern Time. The 2026 Annual Meeting will be a completely virtual meeting, which will be conducted via live webcast. You will be able to attend the 2026 Annual Meeting online and submit your questions during the meeting by visiting </w:t>
      </w:r>
      <w:r>
        <w:rPr>
          <w:rFonts w:ascii="Arial" w:cs="Arial" w:eastAsia="Arial" w:hAnsi="Arial"/>
          <w:sz w:val="18"/>
          <w:szCs w:val="18"/>
          <w:color w:val="E7417A"/>
        </w:rPr>
        <w:t xml:space="preserve">www.virtualshareholdermeeting.com/RBBN2026 </w:t>
      </w:r>
      <w:r>
        <w:rPr>
          <w:rFonts w:ascii="Arial" w:cs="Arial" w:eastAsia="Arial" w:hAnsi="Arial"/>
          <w:sz w:val="18"/>
          <w:szCs w:val="18"/>
          <w:color w:val="000000"/>
        </w:rPr>
        <w:t>and entering your 16-digit control number, as described</w:t>
      </w:r>
      <w:r>
        <w:rPr>
          <w:rFonts w:ascii="Arial" w:cs="Arial" w:eastAsia="Arial" w:hAnsi="Arial"/>
          <w:sz w:val="18"/>
          <w:szCs w:val="18"/>
          <w:color w:val="E7417A"/>
        </w:rPr>
        <w:t xml:space="preserve"> </w:t>
      </w:r>
      <w:r>
        <w:rPr>
          <w:rFonts w:ascii="Arial" w:cs="Arial" w:eastAsia="Arial" w:hAnsi="Arial"/>
          <w:sz w:val="18"/>
          <w:szCs w:val="18"/>
          <w:color w:val="000000"/>
        </w:rPr>
        <w:t xml:space="preserve">under </w:t>
      </w:r>
      <w:r>
        <w:rPr>
          <w:rFonts w:ascii="Arial" w:cs="Arial" w:eastAsia="Arial" w:hAnsi="Arial"/>
          <w:sz w:val="18"/>
          <w:szCs w:val="18"/>
          <w:i w:val="1"/>
          <w:iCs w:val="1"/>
          <w:color w:val="000000"/>
        </w:rPr>
        <w:t>“How can I attend the 2026 Annual Meeting</w:t>
      </w:r>
      <w:r>
        <w:rPr>
          <w:rFonts w:ascii="Arial" w:cs="Arial" w:eastAsia="Arial" w:hAnsi="Arial"/>
          <w:sz w:val="18"/>
          <w:szCs w:val="18"/>
          <w:color w:val="000000"/>
        </w:rPr>
        <w:t>” below. This solicitation is for proxies for use at the 2026 Annual Meeting or at any reconvened meeting after an adjournment or postponement of the 2026 Annual Meeting.</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236220</wp:posOffset>
            </wp:positionV>
            <wp:extent cx="5597525" cy="4718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311"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Who may vote at the meeting?</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right="239"/>
        <w:spacing w:after="0" w:line="252" w:lineRule="auto"/>
        <w:rPr>
          <w:sz w:val="20"/>
          <w:szCs w:val="20"/>
          <w:color w:val="auto"/>
        </w:rPr>
      </w:pPr>
      <w:r>
        <w:rPr>
          <w:rFonts w:ascii="Arial" w:cs="Arial" w:eastAsia="Arial" w:hAnsi="Arial"/>
          <w:sz w:val="18"/>
          <w:szCs w:val="18"/>
          <w:color w:val="auto"/>
        </w:rPr>
        <w:t>Stockholders of record at the close of business on April 6, 2026, the record date, or holders of a valid proxy, may attend and vote electronically at the meeting. Each stockholder is entitled to one vote for each share of common stock held on all matters to be voted. As of the close of business on April 6, 2026, an aggregate of 175,507,629 shares of our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120015</wp:posOffset>
            </wp:positionV>
            <wp:extent cx="5597525" cy="4718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127"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How many shares must be present to hold the meeting?</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right="99"/>
        <w:spacing w:after="0" w:line="243" w:lineRule="auto"/>
        <w:rPr>
          <w:sz w:val="20"/>
          <w:szCs w:val="20"/>
          <w:color w:val="auto"/>
        </w:rPr>
      </w:pPr>
      <w:r>
        <w:rPr>
          <w:rFonts w:ascii="Arial" w:cs="Arial" w:eastAsia="Arial" w:hAnsi="Arial"/>
          <w:sz w:val="18"/>
          <w:szCs w:val="18"/>
          <w:color w:val="auto"/>
        </w:rPr>
        <w:t>A majority of the 175,507,629 shares of our common stock that were outstanding as of the record date must be present at the meeting in order to hold the meeting and conduct business. This is called a quorum. For purposes of determining whether a quorum exists, we count as present any shares that are properly represented electronically at the meeting or that are represented by a valid proxy properly submitted over the Internet, by telephone or by mail. Further, for purposes of establishing a quorum, we count as present shares that a stockholder holds and that are represented by their proxy even if the stockholder does not vote on one or more of the matters to be voted upon. If a quorum is not present at the scheduled time of the 2026 Annual Meeting, the chairperson of the meeting is authorized by our by-laws to adjourn the meeting, without the vote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134620</wp:posOffset>
            </wp:positionV>
            <wp:extent cx="5597525" cy="4711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597525" cy="471170"/>
                    </a:xfrm>
                    <a:prstGeom prst="rect">
                      <a:avLst/>
                    </a:prstGeom>
                    <a:noFill/>
                  </pic:spPr>
                </pic:pic>
              </a:graphicData>
            </a:graphic>
          </wp:anchor>
        </w:drawing>
      </w:r>
    </w:p>
    <w:p>
      <w:pPr>
        <w:spacing w:after="0" w:line="150"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What vote is required to approve each matter, and how are votes counted?</w:t>
      </w:r>
      <w:r>
        <w:rPr>
          <w:sz w:val="20"/>
          <w:szCs w:val="20"/>
          <w:color w:val="auto"/>
        </w:rPr>
        <w:tab/>
      </w:r>
      <w:r>
        <w:rPr>
          <w:rFonts w:ascii="Arial" w:cs="Arial" w:eastAsia="Arial" w:hAnsi="Arial"/>
          <w:sz w:val="43"/>
          <w:szCs w:val="43"/>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172085</wp:posOffset>
            </wp:positionV>
            <wp:extent cx="5623560" cy="2825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623560" cy="2825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040" w:hanging="116"/>
        <w:spacing w:after="0"/>
        <w:tabs>
          <w:tab w:leader="none" w:pos="1040" w:val="left"/>
        </w:tabs>
        <w:numPr>
          <w:ilvl w:val="0"/>
          <w:numId w:val="142"/>
        </w:numPr>
        <w:rPr>
          <w:rFonts w:ascii="Arial" w:cs="Arial" w:eastAsia="Arial" w:hAnsi="Arial"/>
          <w:sz w:val="16"/>
          <w:szCs w:val="16"/>
          <w:b w:val="1"/>
          <w:bCs w:val="1"/>
          <w:color w:val="FEFEFE"/>
        </w:rPr>
      </w:pPr>
      <w:r>
        <w:rPr>
          <w:rFonts w:ascii="Arial" w:cs="Arial" w:eastAsia="Arial" w:hAnsi="Arial"/>
          <w:sz w:val="16"/>
          <w:szCs w:val="16"/>
          <w:b w:val="1"/>
          <w:bCs w:val="1"/>
          <w:color w:val="FEFEFE"/>
        </w:rPr>
        <w:t>Proposal</w:t>
      </w:r>
    </w:p>
    <w:p>
      <w:pPr>
        <w:spacing w:after="0" w:line="65" w:lineRule="exact"/>
        <w:rPr>
          <w:rFonts w:ascii="Arial" w:cs="Arial" w:eastAsia="Arial" w:hAnsi="Arial"/>
          <w:sz w:val="16"/>
          <w:szCs w:val="16"/>
          <w:b w:val="1"/>
          <w:bCs w:val="1"/>
          <w:color w:val="FEFEFE"/>
        </w:rPr>
      </w:pPr>
    </w:p>
    <w:p>
      <w:pPr>
        <w:ind w:left="1440" w:hanging="516"/>
        <w:spacing w:after="0" w:line="180" w:lineRule="auto"/>
        <w:tabs>
          <w:tab w:leader="none" w:pos="1035" w:val="left"/>
        </w:tabs>
        <w:numPr>
          <w:ilvl w:val="0"/>
          <w:numId w:val="142"/>
        </w:numPr>
        <w:rPr>
          <w:rFonts w:ascii="Arial" w:cs="Arial" w:eastAsia="Arial" w:hAnsi="Arial"/>
          <w:sz w:val="21"/>
          <w:szCs w:val="21"/>
          <w:color w:val="auto"/>
          <w:vertAlign w:val="subscript"/>
        </w:rPr>
      </w:pPr>
      <w:r>
        <w:rPr>
          <w:rFonts w:ascii="Arial" w:cs="Arial" w:eastAsia="Arial" w:hAnsi="Arial"/>
          <w:sz w:val="38"/>
          <w:szCs w:val="38"/>
          <w:color w:val="62259D"/>
          <w:vertAlign w:val="subscript"/>
        </w:rPr>
        <w:t>1</w:t>
      </w:r>
      <w:r>
        <w:rPr>
          <w:rFonts w:ascii="Arial" w:cs="Arial" w:eastAsia="Arial" w:hAnsi="Arial"/>
          <w:sz w:val="20"/>
          <w:szCs w:val="20"/>
          <w:color w:val="auto"/>
          <w:vertAlign w:val="subscript"/>
        </w:rPr>
        <w:t>​ ​</w:t>
      </w:r>
      <w:r>
        <w:rPr>
          <w:rFonts w:ascii="Arial" w:cs="Arial" w:eastAsia="Arial" w:hAnsi="Arial"/>
          <w:sz w:val="13"/>
          <w:szCs w:val="13"/>
          <w:color w:val="auto"/>
        </w:rPr>
        <w:t xml:space="preserve"> Election of nine directors as named in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6" w:lineRule="exact"/>
        <w:rPr>
          <w:sz w:val="20"/>
          <w:szCs w:val="20"/>
          <w:color w:val="auto"/>
        </w:rPr>
      </w:pPr>
    </w:p>
    <w:p>
      <w:pPr>
        <w:ind w:left="99" w:hanging="99"/>
        <w:spacing w:after="0"/>
        <w:tabs>
          <w:tab w:leader="none" w:pos="99" w:val="left"/>
        </w:tabs>
        <w:numPr>
          <w:ilvl w:val="0"/>
          <w:numId w:val="143"/>
        </w:numPr>
        <w:rPr>
          <w:rFonts w:ascii="Arial" w:cs="Arial" w:eastAsia="Arial" w:hAnsi="Arial"/>
          <w:sz w:val="16"/>
          <w:szCs w:val="16"/>
          <w:b w:val="1"/>
          <w:bCs w:val="1"/>
          <w:color w:val="FEFEFE"/>
        </w:rPr>
      </w:pPr>
      <w:r>
        <w:rPr>
          <w:rFonts w:ascii="Arial" w:cs="Arial" w:eastAsia="Arial" w:hAnsi="Arial"/>
          <w:sz w:val="16"/>
          <w:szCs w:val="16"/>
          <w:b w:val="1"/>
          <w:bCs w:val="1"/>
          <w:color w:val="FEFEFE"/>
        </w:rPr>
        <w:t>​ Vote Required</w:t>
      </w:r>
    </w:p>
    <w:p>
      <w:pPr>
        <w:spacing w:after="0" w:line="65" w:lineRule="exact"/>
        <w:rPr>
          <w:rFonts w:ascii="Arial" w:cs="Arial" w:eastAsia="Arial" w:hAnsi="Arial"/>
          <w:sz w:val="16"/>
          <w:szCs w:val="16"/>
          <w:b w:val="1"/>
          <w:bCs w:val="1"/>
          <w:color w:val="FEFEFE"/>
        </w:rPr>
      </w:pPr>
    </w:p>
    <w:p>
      <w:pPr>
        <w:ind w:left="219" w:hanging="219"/>
        <w:spacing w:after="0" w:line="207" w:lineRule="auto"/>
        <w:tabs>
          <w:tab w:leader="none" w:pos="111" w:val="left"/>
        </w:tabs>
        <w:numPr>
          <w:ilvl w:val="0"/>
          <w:numId w:val="143"/>
        </w:numPr>
        <w:rPr>
          <w:rFonts w:ascii="Arial" w:cs="Arial" w:eastAsia="Arial" w:hAnsi="Arial"/>
          <w:sz w:val="31"/>
          <w:szCs w:val="31"/>
          <w:color w:val="auto"/>
          <w:vertAlign w:val="subscript"/>
        </w:rPr>
      </w:pPr>
      <w:r>
        <w:rPr>
          <w:rFonts w:ascii="Arial" w:cs="Arial" w:eastAsia="Arial" w:hAnsi="Arial"/>
          <w:sz w:val="30"/>
          <w:szCs w:val="30"/>
          <w:color w:val="auto"/>
          <w:vertAlign w:val="subscript"/>
        </w:rPr>
        <w:t>​</w:t>
      </w:r>
      <w:r>
        <w:rPr>
          <w:rFonts w:ascii="Arial" w:cs="Arial" w:eastAsia="Arial" w:hAnsi="Arial"/>
          <w:sz w:val="15"/>
          <w:szCs w:val="15"/>
          <w:color w:val="auto"/>
        </w:rPr>
        <w:t xml:space="preserve"> In an uncontested election, such as the election of directors at the 2026 Annual Meeting, to be elected, each of the nominees for director must receive more votes “For” such nominee’s election than “Against” such election. With respect to each nominee, you may vote “For,” “Against,” 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-1560830</wp:posOffset>
            </wp:positionH>
            <wp:positionV relativeFrom="paragraph">
              <wp:posOffset>-1905</wp:posOffset>
            </wp:positionV>
            <wp:extent cx="56235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FEFEFE"/>
        </w:rPr>
        <w:t>Effect of</w:t>
      </w:r>
    </w:p>
    <w:p>
      <w:pPr>
        <w:spacing w:after="0" w:line="21" w:lineRule="exact"/>
        <w:rPr>
          <w:sz w:val="20"/>
          <w:szCs w:val="20"/>
          <w:color w:val="auto"/>
        </w:rPr>
      </w:pPr>
    </w:p>
    <w:p>
      <w:pPr>
        <w:spacing w:after="0"/>
        <w:tabs>
          <w:tab w:leader="none" w:pos="340" w:val="left"/>
          <w:tab w:leader="none" w:pos="1500" w:val="left"/>
        </w:tabs>
        <w:rPr>
          <w:sz w:val="20"/>
          <w:szCs w:val="20"/>
          <w:color w:val="auto"/>
        </w:rPr>
      </w:pPr>
      <w:r>
        <w:rPr>
          <w:rFonts w:ascii="Arial" w:cs="Arial" w:eastAsia="Arial" w:hAnsi="Arial"/>
          <w:sz w:val="16"/>
          <w:szCs w:val="16"/>
          <w:b w:val="1"/>
          <w:bCs w:val="1"/>
          <w:color w:val="FEFEFE"/>
        </w:rPr>
        <w:t>​ ​</w:t>
        <w:tab/>
        <w:t>Abstentions</w:t>
        <w:tab/>
        <w:t>​</w:t>
      </w:r>
    </w:p>
    <w:p>
      <w:pPr>
        <w:spacing w:after="0" w:line="50" w:lineRule="exact"/>
        <w:rPr>
          <w:sz w:val="20"/>
          <w:szCs w:val="20"/>
          <w:color w:val="auto"/>
        </w:rPr>
      </w:pPr>
    </w:p>
    <w:p>
      <w:pPr>
        <w:ind w:left="220" w:right="179" w:hanging="215"/>
        <w:spacing w:after="0" w:line="181" w:lineRule="auto"/>
        <w:rPr>
          <w:sz w:val="20"/>
          <w:szCs w:val="20"/>
          <w:color w:val="auto"/>
        </w:rPr>
      </w:pPr>
      <w:r>
        <w:rPr>
          <w:rFonts w:ascii="Arial" w:cs="Arial" w:eastAsia="Arial" w:hAnsi="Arial"/>
          <w:sz w:val="30"/>
          <w:szCs w:val="30"/>
          <w:color w:val="auto"/>
          <w:vertAlign w:val="subscript"/>
        </w:rPr>
        <w:t>​ ​</w:t>
      </w:r>
      <w:r>
        <w:rPr>
          <w:rFonts w:ascii="Arial" w:cs="Arial" w:eastAsia="Arial" w:hAnsi="Arial"/>
          <w:sz w:val="15"/>
          <w:szCs w:val="15"/>
          <w:color w:val="auto"/>
        </w:rPr>
        <w:t xml:space="preserve"> Abstaining will</w:t>
      </w:r>
      <w:r>
        <w:rPr>
          <w:sz w:val="20"/>
          <w:szCs w:val="20"/>
          <w:color w:val="auto"/>
        </w:rPr>
        <w:t xml:space="preserve"> </w:t>
      </w:r>
      <w:r>
        <w:rPr>
          <w:rFonts w:ascii="Arial" w:cs="Arial" w:eastAsia="Arial" w:hAnsi="Arial"/>
          <w:sz w:val="28"/>
          <w:szCs w:val="28"/>
          <w:color w:val="auto"/>
          <w:vertAlign w:val="subscript"/>
        </w:rPr>
        <w:t>​ have no effect on the outcome of the election.</w:t>
      </w:r>
    </w:p>
    <w:p>
      <w:pPr>
        <w:spacing w:after="0" w:line="177" w:lineRule="exact"/>
        <w:rPr>
          <w:sz w:val="20"/>
          <w:szCs w:val="20"/>
          <w:color w:val="auto"/>
        </w:rPr>
      </w:pPr>
    </w:p>
    <w:p>
      <w:pPr>
        <w:sectPr>
          <w:pgSz w:w="11900" w:h="16838" w:orient="portrait"/>
          <w:cols w:equalWidth="0" w:num="3">
            <w:col w:w="3180" w:space="201"/>
            <w:col w:w="4579" w:space="180"/>
            <w:col w:w="1739"/>
          </w:cols>
          <w:pgMar w:left="580" w:top="97" w:right="1440" w:bottom="1440" w:gutter="0" w:footer="0" w:header="0"/>
          <w:type w:val="continuous"/>
        </w:sectPr>
      </w:pPr>
    </w:p>
    <w:p>
      <w:pPr>
        <w:ind w:left="1440" w:hanging="516"/>
        <w:spacing w:after="0" w:line="181" w:lineRule="auto"/>
        <w:tabs>
          <w:tab w:leader="none" w:pos="1035" w:val="left"/>
        </w:tabs>
        <w:numPr>
          <w:ilvl w:val="0"/>
          <w:numId w:val="144"/>
        </w:numPr>
        <w:rPr>
          <w:rFonts w:ascii="Arial" w:cs="Arial" w:eastAsia="Arial" w:hAnsi="Arial"/>
          <w:sz w:val="19"/>
          <w:szCs w:val="19"/>
          <w:color w:val="auto"/>
          <w:vertAlign w:val="subscript"/>
        </w:rPr>
      </w:pPr>
      <w:r>
        <w:rPr>
          <w:rFonts w:ascii="Arial" w:cs="Arial" w:eastAsia="Arial" w:hAnsi="Arial"/>
          <w:sz w:val="33"/>
          <w:szCs w:val="33"/>
          <w:color w:val="62259D"/>
          <w:vertAlign w:val="subscript"/>
        </w:rPr>
        <w:t>2</w:t>
      </w:r>
      <w:r>
        <w:rPr>
          <w:rFonts w:ascii="Arial" w:cs="Arial" w:eastAsia="Arial" w:hAnsi="Arial"/>
          <w:sz w:val="19"/>
          <w:szCs w:val="19"/>
          <w:color w:val="auto"/>
          <w:vertAlign w:val="subscript"/>
        </w:rPr>
        <w:t>​ ​</w:t>
      </w:r>
      <w:r>
        <w:rPr>
          <w:rFonts w:ascii="Arial" w:cs="Arial" w:eastAsia="Arial" w:hAnsi="Arial"/>
          <w:sz w:val="12"/>
          <w:szCs w:val="12"/>
          <w:color w:val="auto"/>
        </w:rPr>
        <w:t xml:space="preserve"> Ratification of the appointment of auditors</w:t>
      </w:r>
    </w:p>
    <w:p>
      <w:pPr>
        <w:spacing w:after="0" w:line="20" w:lineRule="exact"/>
        <w:rPr>
          <w:sz w:val="20"/>
          <w:szCs w:val="20"/>
          <w:color w:val="auto"/>
        </w:rPr>
      </w:pPr>
      <w:r>
        <w:rPr>
          <w:sz w:val="20"/>
          <w:szCs w:val="20"/>
          <w:color w:val="auto"/>
        </w:rPr>
        <w:br w:type="column"/>
      </w:r>
    </w:p>
    <w:p>
      <w:pPr>
        <w:ind w:right="179" w:hanging="215"/>
        <w:spacing w:after="0"/>
        <w:rPr>
          <w:sz w:val="20"/>
          <w:szCs w:val="20"/>
          <w:color w:val="auto"/>
        </w:rPr>
      </w:pPr>
      <w:r>
        <w:rPr>
          <w:rFonts w:ascii="Arial" w:cs="Arial" w:eastAsia="Arial" w:hAnsi="Arial"/>
          <w:sz w:val="30"/>
          <w:szCs w:val="30"/>
          <w:color w:val="auto"/>
          <w:vertAlign w:val="subscript"/>
        </w:rPr>
        <w:t>​ ​</w:t>
      </w:r>
      <w:r>
        <w:rPr>
          <w:rFonts w:ascii="Arial" w:cs="Arial" w:eastAsia="Arial" w:hAnsi="Arial"/>
          <w:sz w:val="15"/>
          <w:szCs w:val="15"/>
          <w:color w:val="auto"/>
        </w:rPr>
        <w:t xml:space="preserve"> The affirmative vote of a majority of the shares of common stock </w:t>
      </w:r>
      <w:r>
        <w:rPr>
          <w:rFonts w:ascii="Arial" w:cs="Arial" w:eastAsia="Arial" w:hAnsi="Arial"/>
          <w:sz w:val="30"/>
          <w:szCs w:val="30"/>
          <w:color w:val="auto"/>
          <w:vertAlign w:val="subscript"/>
        </w:rPr>
        <w:t>​ ​</w:t>
      </w:r>
      <w:r>
        <w:rPr>
          <w:rFonts w:ascii="Arial" w:cs="Arial" w:eastAsia="Arial" w:hAnsi="Arial"/>
          <w:sz w:val="15"/>
          <w:szCs w:val="15"/>
          <w:color w:val="auto"/>
        </w:rPr>
        <w:t xml:space="preserve"> Abstaining from</w:t>
      </w:r>
      <w:r>
        <w:rPr>
          <w:sz w:val="20"/>
          <w:szCs w:val="20"/>
          <w:color w:val="auto"/>
        </w:rPr>
        <w:t xml:space="preserve"> </w:t>
      </w:r>
      <w:r>
        <w:rPr>
          <w:rFonts w:ascii="Arial" w:cs="Arial" w:eastAsia="Arial" w:hAnsi="Arial"/>
          <w:sz w:val="25"/>
          <w:szCs w:val="25"/>
          <w:color w:val="auto"/>
          <w:vertAlign w:val="subscript"/>
        </w:rPr>
        <w:t>​ present or represented at the 2026 Annual Meeting and entitled voting on this</w:t>
      </w:r>
    </w:p>
    <w:p>
      <w:pPr>
        <w:spacing w:after="0" w:line="104" w:lineRule="exact"/>
        <w:rPr>
          <w:sz w:val="20"/>
          <w:szCs w:val="20"/>
          <w:color w:val="auto"/>
        </w:rPr>
      </w:pPr>
    </w:p>
    <w:p>
      <w:pPr>
        <w:spacing w:after="0"/>
        <w:tabs>
          <w:tab w:leader="none" w:pos="4740" w:val="left"/>
        </w:tabs>
        <w:rPr>
          <w:sz w:val="20"/>
          <w:szCs w:val="20"/>
          <w:color w:val="auto"/>
        </w:rPr>
      </w:pPr>
      <w:r>
        <w:rPr>
          <w:rFonts w:ascii="Arial" w:cs="Arial" w:eastAsia="Arial" w:hAnsi="Arial"/>
          <w:sz w:val="15"/>
          <w:szCs w:val="15"/>
          <w:color w:val="auto"/>
        </w:rPr>
        <w:t>to vote on this proposal will be required to approve this</w:t>
      </w:r>
      <w:r>
        <w:rPr>
          <w:sz w:val="20"/>
          <w:szCs w:val="20"/>
          <w:color w:val="auto"/>
        </w:rPr>
        <w:tab/>
      </w:r>
      <w:r>
        <w:rPr>
          <w:rFonts w:ascii="Arial" w:cs="Arial" w:eastAsia="Arial" w:hAnsi="Arial"/>
          <w:sz w:val="15"/>
          <w:szCs w:val="15"/>
          <w:color w:val="auto"/>
        </w:rPr>
        <w:t>proposal will have</w:t>
      </w:r>
    </w:p>
    <w:p>
      <w:pPr>
        <w:spacing w:after="0" w:line="6" w:lineRule="exact"/>
        <w:rPr>
          <w:sz w:val="20"/>
          <w:szCs w:val="20"/>
          <w:color w:val="auto"/>
        </w:rPr>
      </w:pPr>
    </w:p>
    <w:p>
      <w:pPr>
        <w:spacing w:after="0"/>
        <w:tabs>
          <w:tab w:leader="none" w:pos="4740" w:val="left"/>
        </w:tabs>
        <w:rPr>
          <w:sz w:val="20"/>
          <w:szCs w:val="20"/>
          <w:color w:val="auto"/>
        </w:rPr>
      </w:pPr>
      <w:r>
        <w:rPr>
          <w:rFonts w:ascii="Arial" w:cs="Arial" w:eastAsia="Arial" w:hAnsi="Arial"/>
          <w:sz w:val="15"/>
          <w:szCs w:val="15"/>
          <w:color w:val="auto"/>
        </w:rPr>
        <w:t>proposal. You may vote “For,” “Against,” or “Abstain” from voting</w:t>
      </w:r>
      <w:r>
        <w:rPr>
          <w:sz w:val="20"/>
          <w:szCs w:val="20"/>
          <w:color w:val="auto"/>
        </w:rPr>
        <w:tab/>
      </w:r>
      <w:r>
        <w:rPr>
          <w:rFonts w:ascii="Arial" w:cs="Arial" w:eastAsia="Arial" w:hAnsi="Arial"/>
          <w:sz w:val="15"/>
          <w:szCs w:val="15"/>
          <w:color w:val="auto"/>
        </w:rPr>
        <w:t>the effect of a</w:t>
      </w:r>
    </w:p>
    <w:p>
      <w:pPr>
        <w:spacing w:after="0" w:line="3" w:lineRule="exact"/>
        <w:rPr>
          <w:sz w:val="20"/>
          <w:szCs w:val="20"/>
          <w:color w:val="auto"/>
        </w:rPr>
      </w:pPr>
    </w:p>
    <w:p>
      <w:pPr>
        <w:spacing w:after="0"/>
        <w:tabs>
          <w:tab w:leader="none" w:pos="4740" w:val="left"/>
        </w:tabs>
        <w:rPr>
          <w:sz w:val="20"/>
          <w:szCs w:val="20"/>
          <w:color w:val="auto"/>
        </w:rPr>
      </w:pPr>
      <w:r>
        <w:rPr>
          <w:rFonts w:ascii="Arial" w:cs="Arial" w:eastAsia="Arial" w:hAnsi="Arial"/>
          <w:sz w:val="15"/>
          <w:szCs w:val="15"/>
          <w:color w:val="auto"/>
        </w:rPr>
        <w:t>on this proposal.</w:t>
      </w:r>
      <w:r>
        <w:rPr>
          <w:sz w:val="20"/>
          <w:szCs w:val="20"/>
          <w:color w:val="auto"/>
        </w:rPr>
        <w:tab/>
      </w:r>
      <w:r>
        <w:rPr>
          <w:rFonts w:ascii="Arial" w:cs="Arial" w:eastAsia="Arial" w:hAnsi="Arial"/>
          <w:sz w:val="15"/>
          <w:szCs w:val="15"/>
          <w:color w:val="auto"/>
        </w:rPr>
        <w:t>vote against this</w:t>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5"/>
          <w:szCs w:val="15"/>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3810</wp:posOffset>
            </wp:positionV>
            <wp:extent cx="56235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623560" cy="825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3100" w:space="500"/>
            <w:col w:w="6279"/>
          </w:cols>
          <w:pgMar w:left="580" w:top="97" w:right="1440" w:bottom="1440" w:gutter="0" w:footer="0" w:header="0"/>
          <w:type w:val="continuous"/>
        </w:sectPr>
      </w:pPr>
    </w:p>
    <w:tbl>
      <w:tblPr>
        <w:tblLayout w:type="fixed"/>
        <w:tblInd w:w="920" w:type="dxa"/>
        <w:tblCellMar>
          <w:top w:w="0" w:type="dxa"/>
          <w:left w:w="0" w:type="dxa"/>
          <w:bottom w:w="0" w:type="dxa"/>
          <w:right w:w="0" w:type="dxa"/>
        </w:tblCellMar>
      </w:tblPr>
      <w:tr>
        <w:trPr>
          <w:trHeight w:val="191"/>
        </w:trPr>
        <w:tc>
          <w:tcPr>
            <w:tcW w:w="480" w:type="dxa"/>
            <w:vAlign w:val="bottom"/>
            <w:vMerge w:val="restart"/>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32"/>
                <w:szCs w:val="32"/>
                <w:color w:val="62259D"/>
              </w:rPr>
              <w:t>3</w:t>
            </w:r>
            <w:r>
              <w:rPr>
                <w:rFonts w:ascii="Arial" w:cs="Arial" w:eastAsia="Arial" w:hAnsi="Arial"/>
                <w:sz w:val="15"/>
                <w:szCs w:val="15"/>
                <w:color w:val="auto"/>
              </w:rPr>
              <w:t>​ ​</w:t>
            </w:r>
          </w:p>
        </w:tc>
        <w:tc>
          <w:tcPr>
            <w:tcW w:w="1960" w:type="dxa"/>
            <w:vAlign w:val="bottom"/>
          </w:tcPr>
          <w:p>
            <w:pPr>
              <w:ind w:left="40"/>
              <w:spacing w:after="0"/>
              <w:rPr>
                <w:sz w:val="20"/>
                <w:szCs w:val="20"/>
                <w:color w:val="auto"/>
              </w:rPr>
            </w:pPr>
            <w:r>
              <w:rPr>
                <w:rFonts w:ascii="Arial" w:cs="Arial" w:eastAsia="Arial" w:hAnsi="Arial"/>
                <w:sz w:val="15"/>
                <w:szCs w:val="15"/>
                <w:color w:val="auto"/>
              </w:rPr>
              <w:t>Approval, on a non-binding</w:t>
            </w:r>
          </w:p>
        </w:tc>
        <w:tc>
          <w:tcPr>
            <w:tcW w:w="200" w:type="dxa"/>
            <w:vAlign w:val="bottom"/>
            <w:vMerge w:val="restart"/>
          </w:tcPr>
          <w:p>
            <w:pPr>
              <w:ind w:left="20"/>
              <w:spacing w:after="0"/>
              <w:rPr>
                <w:sz w:val="20"/>
                <w:szCs w:val="20"/>
                <w:color w:val="auto"/>
              </w:rPr>
            </w:pPr>
            <w:r>
              <w:rPr>
                <w:rFonts w:ascii="Arial" w:cs="Arial" w:eastAsia="Arial" w:hAnsi="Arial"/>
                <w:sz w:val="15"/>
                <w:szCs w:val="15"/>
                <w:color w:val="auto"/>
              </w:rPr>
              <w:t>​ ​</w:t>
            </w:r>
          </w:p>
        </w:tc>
        <w:tc>
          <w:tcPr>
            <w:tcW w:w="4580" w:type="dxa"/>
            <w:vAlign w:val="bottom"/>
          </w:tcPr>
          <w:p>
            <w:pPr>
              <w:ind w:left="40"/>
              <w:spacing w:after="0"/>
              <w:rPr>
                <w:sz w:val="20"/>
                <w:szCs w:val="20"/>
                <w:color w:val="auto"/>
              </w:rPr>
            </w:pPr>
            <w:r>
              <w:rPr>
                <w:rFonts w:ascii="Arial" w:cs="Arial" w:eastAsia="Arial" w:hAnsi="Arial"/>
                <w:sz w:val="15"/>
                <w:szCs w:val="15"/>
                <w:color w:val="auto"/>
              </w:rPr>
              <w:t>The vote on the compensation of the named executive officers is</w:t>
            </w:r>
          </w:p>
        </w:tc>
        <w:tc>
          <w:tcPr>
            <w:tcW w:w="180" w:type="dxa"/>
            <w:vAlign w:val="bottom"/>
            <w:vMerge w:val="restart"/>
          </w:tcPr>
          <w:p>
            <w:pPr>
              <w:spacing w:after="0"/>
              <w:rPr>
                <w:sz w:val="20"/>
                <w:szCs w:val="20"/>
                <w:color w:val="auto"/>
              </w:rPr>
            </w:pPr>
            <w:r>
              <w:rPr>
                <w:rFonts w:ascii="Arial" w:cs="Arial" w:eastAsia="Arial" w:hAnsi="Arial"/>
                <w:sz w:val="15"/>
                <w:szCs w:val="15"/>
                <w:color w:val="auto"/>
              </w:rPr>
              <w:t>​ ​</w:t>
            </w:r>
          </w:p>
        </w:tc>
        <w:tc>
          <w:tcPr>
            <w:tcW w:w="1320" w:type="dxa"/>
            <w:vAlign w:val="bottom"/>
          </w:tcPr>
          <w:p>
            <w:pPr>
              <w:ind w:left="40"/>
              <w:spacing w:after="0"/>
              <w:rPr>
                <w:sz w:val="20"/>
                <w:szCs w:val="20"/>
                <w:color w:val="auto"/>
              </w:rPr>
            </w:pPr>
            <w:r>
              <w:rPr>
                <w:rFonts w:ascii="Arial" w:cs="Arial" w:eastAsia="Arial" w:hAnsi="Arial"/>
                <w:sz w:val="15"/>
                <w:szCs w:val="15"/>
                <w:color w:val="auto"/>
              </w:rPr>
              <w:t>Abstaining from</w:t>
            </w:r>
          </w:p>
        </w:tc>
        <w:tc>
          <w:tcPr>
            <w:tcW w:w="140" w:type="dxa"/>
            <w:vAlign w:val="bottom"/>
            <w:vMerge w:val="restart"/>
          </w:tcPr>
          <w:p>
            <w:pPr>
              <w:ind w:lef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80" w:type="dxa"/>
            <w:vAlign w:val="bottom"/>
            <w:vMerge w:val="continue"/>
          </w:tcPr>
          <w:p>
            <w:pPr>
              <w:spacing w:after="0"/>
              <w:rPr>
                <w:sz w:val="16"/>
                <w:szCs w:val="16"/>
                <w:color w:val="auto"/>
              </w:rPr>
            </w:pPr>
          </w:p>
        </w:tc>
        <w:tc>
          <w:tcPr>
            <w:tcW w:w="1960" w:type="dxa"/>
            <w:vAlign w:val="bottom"/>
          </w:tcPr>
          <w:p>
            <w:pPr>
              <w:ind w:left="40"/>
              <w:spacing w:after="0"/>
              <w:rPr>
                <w:sz w:val="20"/>
                <w:szCs w:val="20"/>
                <w:color w:val="auto"/>
              </w:rPr>
            </w:pPr>
            <w:r>
              <w:rPr>
                <w:rFonts w:ascii="Arial" w:cs="Arial" w:eastAsia="Arial" w:hAnsi="Arial"/>
                <w:sz w:val="15"/>
                <w:szCs w:val="15"/>
                <w:color w:val="auto"/>
              </w:rPr>
              <w:t>advisory basis, of the</w:t>
            </w:r>
          </w:p>
        </w:tc>
        <w:tc>
          <w:tcPr>
            <w:tcW w:w="200" w:type="dxa"/>
            <w:vAlign w:val="bottom"/>
            <w:vMerge w:val="continue"/>
          </w:tcPr>
          <w:p>
            <w:pPr>
              <w:spacing w:after="0"/>
              <w:rPr>
                <w:sz w:val="16"/>
                <w:szCs w:val="16"/>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non-binding, as provided by law. However, our Board and its</w:t>
            </w:r>
          </w:p>
        </w:tc>
        <w:tc>
          <w:tcPr>
            <w:tcW w:w="180" w:type="dxa"/>
            <w:vAlign w:val="bottom"/>
            <w:vMerge w:val="continue"/>
          </w:tcPr>
          <w:p>
            <w:pPr>
              <w:spacing w:after="0"/>
              <w:rPr>
                <w:sz w:val="16"/>
                <w:szCs w:val="16"/>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voting on this</w:t>
            </w:r>
          </w:p>
        </w:tc>
        <w:tc>
          <w:tcPr>
            <w:tcW w:w="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Arial" w:cs="Arial" w:eastAsia="Arial" w:hAnsi="Arial"/>
                <w:sz w:val="15"/>
                <w:szCs w:val="15"/>
                <w:color w:val="auto"/>
              </w:rPr>
              <w:t>compensation of our</w:t>
            </w:r>
          </w:p>
        </w:tc>
        <w:tc>
          <w:tcPr>
            <w:tcW w:w="20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Compensation Committee will review and consider the outcome</w:t>
            </w:r>
          </w:p>
        </w:tc>
        <w:tc>
          <w:tcPr>
            <w:tcW w:w="18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proposal will have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Arial" w:cs="Arial" w:eastAsia="Arial" w:hAnsi="Arial"/>
                <w:sz w:val="15"/>
                <w:szCs w:val="15"/>
                <w:color w:val="auto"/>
              </w:rPr>
              <w:t>named executive officers</w:t>
            </w:r>
          </w:p>
        </w:tc>
        <w:tc>
          <w:tcPr>
            <w:tcW w:w="20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of this vote when making future compensation decisions for our</w:t>
            </w:r>
          </w:p>
        </w:tc>
        <w:tc>
          <w:tcPr>
            <w:tcW w:w="18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the effect of a</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named executive officers. The affirmative vote of a majority of</w:t>
            </w:r>
          </w:p>
        </w:tc>
        <w:tc>
          <w:tcPr>
            <w:tcW w:w="18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vote against this</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the shares of common stock present or represented at the 2026</w:t>
            </w:r>
          </w:p>
        </w:tc>
        <w:tc>
          <w:tcPr>
            <w:tcW w:w="180" w:type="dxa"/>
            <w:vAlign w:val="bottom"/>
          </w:tcPr>
          <w:p>
            <w:pPr>
              <w:spacing w:after="0"/>
              <w:rPr>
                <w:sz w:val="15"/>
                <w:szCs w:val="15"/>
                <w:color w:val="auto"/>
              </w:rPr>
            </w:pPr>
          </w:p>
        </w:tc>
        <w:tc>
          <w:tcPr>
            <w:tcW w:w="1320" w:type="dxa"/>
            <w:vAlign w:val="bottom"/>
          </w:tcPr>
          <w:p>
            <w:pPr>
              <w:ind w:left="40"/>
              <w:spacing w:after="0"/>
              <w:rPr>
                <w:sz w:val="20"/>
                <w:szCs w:val="20"/>
                <w:color w:val="auto"/>
              </w:rPr>
            </w:pPr>
            <w:r>
              <w:rPr>
                <w:rFonts w:ascii="Arial" w:cs="Arial" w:eastAsia="Arial" w:hAnsi="Arial"/>
                <w:sz w:val="15"/>
                <w:szCs w:val="15"/>
                <w:color w:val="auto"/>
              </w:rPr>
              <w:t>proposal.</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Annual Meeting and entitled to vote on this proposal will be</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80" w:type="dxa"/>
            <w:vAlign w:val="bottom"/>
          </w:tcPr>
          <w:p>
            <w:pPr>
              <w:ind w:left="40"/>
              <w:spacing w:after="0"/>
              <w:rPr>
                <w:sz w:val="20"/>
                <w:szCs w:val="20"/>
                <w:color w:val="auto"/>
              </w:rPr>
            </w:pPr>
            <w:r>
              <w:rPr>
                <w:rFonts w:ascii="Arial" w:cs="Arial" w:eastAsia="Arial" w:hAnsi="Arial"/>
                <w:sz w:val="15"/>
                <w:szCs w:val="15"/>
                <w:color w:val="auto"/>
              </w:rPr>
              <w:t>required to approve this proposal. You may vote “For,” “Against,”</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80" w:type="dxa"/>
            <w:vAlign w:val="bottom"/>
            <w:tcBorders>
              <w:bottom w:val="single" w:sz="8" w:color="62259D"/>
            </w:tcBorders>
          </w:tcPr>
          <w:p>
            <w:pPr>
              <w:spacing w:after="0"/>
              <w:rPr>
                <w:sz w:val="18"/>
                <w:szCs w:val="18"/>
                <w:color w:val="auto"/>
              </w:rPr>
            </w:pPr>
          </w:p>
        </w:tc>
        <w:tc>
          <w:tcPr>
            <w:tcW w:w="1960" w:type="dxa"/>
            <w:vAlign w:val="bottom"/>
            <w:tcBorders>
              <w:bottom w:val="single" w:sz="8" w:color="62259D"/>
            </w:tcBorders>
          </w:tcPr>
          <w:p>
            <w:pPr>
              <w:spacing w:after="0"/>
              <w:rPr>
                <w:sz w:val="18"/>
                <w:szCs w:val="18"/>
                <w:color w:val="auto"/>
              </w:rPr>
            </w:pPr>
          </w:p>
        </w:tc>
        <w:tc>
          <w:tcPr>
            <w:tcW w:w="200" w:type="dxa"/>
            <w:vAlign w:val="bottom"/>
            <w:tcBorders>
              <w:bottom w:val="single" w:sz="8" w:color="62259D"/>
            </w:tcBorders>
          </w:tcPr>
          <w:p>
            <w:pPr>
              <w:spacing w:after="0"/>
              <w:rPr>
                <w:sz w:val="18"/>
                <w:szCs w:val="18"/>
                <w:color w:val="auto"/>
              </w:rPr>
            </w:pPr>
          </w:p>
        </w:tc>
        <w:tc>
          <w:tcPr>
            <w:tcW w:w="4580" w:type="dxa"/>
            <w:vAlign w:val="bottom"/>
            <w:tcBorders>
              <w:bottom w:val="single" w:sz="8" w:color="62259D"/>
            </w:tcBorders>
          </w:tcPr>
          <w:p>
            <w:pPr>
              <w:ind w:left="40"/>
              <w:spacing w:after="0"/>
              <w:rPr>
                <w:sz w:val="20"/>
                <w:szCs w:val="20"/>
                <w:color w:val="auto"/>
              </w:rPr>
            </w:pPr>
            <w:r>
              <w:rPr>
                <w:rFonts w:ascii="Arial" w:cs="Arial" w:eastAsia="Arial" w:hAnsi="Arial"/>
                <w:sz w:val="15"/>
                <w:szCs w:val="15"/>
                <w:color w:val="auto"/>
              </w:rPr>
              <w:t>or “Abstain” from voting on this proposal.</w:t>
            </w:r>
          </w:p>
        </w:tc>
        <w:tc>
          <w:tcPr>
            <w:tcW w:w="180" w:type="dxa"/>
            <w:vAlign w:val="bottom"/>
            <w:tcBorders>
              <w:bottom w:val="single" w:sz="8" w:color="62259D"/>
            </w:tcBorders>
          </w:tcPr>
          <w:p>
            <w:pPr>
              <w:spacing w:after="0"/>
              <w:rPr>
                <w:sz w:val="18"/>
                <w:szCs w:val="18"/>
                <w:color w:val="auto"/>
              </w:rPr>
            </w:pPr>
          </w:p>
        </w:tc>
        <w:tc>
          <w:tcPr>
            <w:tcW w:w="1320" w:type="dxa"/>
            <w:vAlign w:val="bottom"/>
            <w:tcBorders>
              <w:bottom w:val="single" w:sz="8" w:color="62259D"/>
            </w:tcBorders>
          </w:tcPr>
          <w:p>
            <w:pPr>
              <w:spacing w:after="0"/>
              <w:rPr>
                <w:sz w:val="18"/>
                <w:szCs w:val="18"/>
                <w:color w:val="auto"/>
              </w:rPr>
            </w:pPr>
          </w:p>
        </w:tc>
        <w:tc>
          <w:tcPr>
            <w:tcW w:w="140" w:type="dxa"/>
            <w:vAlign w:val="bottom"/>
            <w:tcBorders>
              <w:bottom w:val="single" w:sz="8" w:color="62259D"/>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119"/>
        <w:spacing w:after="0" w:line="245" w:lineRule="auto"/>
        <w:rPr>
          <w:sz w:val="20"/>
          <w:szCs w:val="20"/>
          <w:color w:val="auto"/>
        </w:rPr>
      </w:pPr>
      <w:r>
        <w:rPr>
          <w:rFonts w:ascii="Arial" w:cs="Arial" w:eastAsia="Arial" w:hAnsi="Arial"/>
          <w:sz w:val="18"/>
          <w:szCs w:val="18"/>
          <w:color w:val="auto"/>
        </w:rPr>
        <w:t>For the proposals relating to (i) the election of directors (Proposal 1) and (ii) the approval, on a non-binding, advisory basis, of the compensation of our named executive officers (Proposal 3), please note that if you are a beneficial owner of our common stock and your stock is held through a broker, bank or other nominee (in “</w:t>
      </w:r>
      <w:r>
        <w:rPr>
          <w:rFonts w:ascii="Arial" w:cs="Arial" w:eastAsia="Arial" w:hAnsi="Arial"/>
          <w:sz w:val="18"/>
          <w:szCs w:val="18"/>
          <w:i w:val="1"/>
          <w:iCs w:val="1"/>
          <w:color w:val="auto"/>
        </w:rPr>
        <w:t>street name</w:t>
      </w:r>
      <w:r>
        <w:rPr>
          <w:rFonts w:ascii="Arial" w:cs="Arial" w:eastAsia="Arial" w:hAnsi="Arial"/>
          <w:sz w:val="18"/>
          <w:szCs w:val="18"/>
          <w:color w:val="auto"/>
        </w:rPr>
        <w:t>”), under stock exchange rules a broker, bank or other nominee subject to those rules is not permitted to vote your shares on these three proposals without your instruction. Therefore, if a beneficial owner of our common stock fails to instruct such a broker, bank or other nominee how to vote on Proposals 1 and 3, that beneficial owner’s shares cannot be voted on these matters — in other words, your broker, bank or other nominee’s proxy will be treated as a “broker non-vote,” which is explained in the following question and explanation.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124460</wp:posOffset>
            </wp:positionV>
            <wp:extent cx="5597525" cy="4718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135"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What are broker non-votes, and what is the effect of broker non-votes?</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right="119"/>
        <w:spacing w:after="0" w:line="242" w:lineRule="auto"/>
        <w:rPr>
          <w:sz w:val="20"/>
          <w:szCs w:val="20"/>
          <w:color w:val="auto"/>
        </w:rPr>
      </w:pPr>
      <w:r>
        <w:rPr>
          <w:rFonts w:ascii="Arial" w:cs="Arial" w:eastAsia="Arial" w:hAnsi="Arial"/>
          <w:sz w:val="18"/>
          <w:szCs w:val="18"/>
          <w:color w:val="auto"/>
        </w:rPr>
        <w:t>Brokers, banks and other nominees have the discretion to vote shares held in “street name” — a term that means the shares are held in the name of the broker, bank or other nominee on behalf of its customer, the beneficial owner — on routine matters, such as the ratification of the appointment of our independent registered public accounting firm, but not on non-routine matters. Generally, broker non-votes occur when shares held by a broker, bank or other nominee for a beneficial owner are not voted with respect to a non-routine matter because the broker, bank or other nominee has not received voting instructions from the beneficial owner and the broker, bank or other nominee lacks discretionary authority to vote the shares because of the non-routine nature of the matter. The election of directors (Proposal 1) and the approval, on a non-binding, advisory basis, of the compensation of our named executive officers (Proposal 3) are “non-routine” matters for which brokers, banks and other nominees, under applicable stock exchange rules, may not exercise discretionary voting power without instructions from the beneficial owner, and therefore broker non-votes will not affect the outcome of the vote on Proposals 1 and 3.</w:t>
      </w:r>
    </w:p>
    <w:p>
      <w:pPr>
        <w:spacing w:after="0" w:line="114" w:lineRule="exact"/>
        <w:rPr>
          <w:sz w:val="20"/>
          <w:szCs w:val="20"/>
          <w:color w:val="auto"/>
        </w:rPr>
      </w:pPr>
    </w:p>
    <w:p>
      <w:pPr>
        <w:ind w:left="920" w:right="159"/>
        <w:spacing w:after="0" w:line="246" w:lineRule="auto"/>
        <w:rPr>
          <w:sz w:val="20"/>
          <w:szCs w:val="20"/>
          <w:color w:val="auto"/>
        </w:rPr>
      </w:pPr>
      <w:r>
        <w:rPr>
          <w:rFonts w:ascii="Arial" w:cs="Arial" w:eastAsia="Arial" w:hAnsi="Arial"/>
          <w:sz w:val="18"/>
          <w:szCs w:val="18"/>
          <w:color w:val="auto"/>
        </w:rPr>
        <w:t>The ratification of the appointment of our independent registered public accounting firm (Proposal 2) is a “routine” matter for which brokers have discretionary authority to vote. Therefore, we do not expect any broker non-votes in connection with that proposal. Broker non -votes are counted as shares present for purposes of determining the presence of a quorum. Your vote is very important, whether you hold directly or through a broker, bank or other nominee. We encourage you to read this Proxy Statement and the 2025 Annual Report carefully and if you are a beneficial owner, please be sure to give voting instructions to your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208915</wp:posOffset>
            </wp:positionV>
            <wp:extent cx="5623560" cy="643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6235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8340" w:type="dxa"/>
            <w:vAlign w:val="bottom"/>
          </w:tcPr>
          <w:p>
            <w:pPr>
              <w:ind w:left="380"/>
              <w:spacing w:after="0"/>
              <w:rPr>
                <w:sz w:val="20"/>
                <w:szCs w:val="20"/>
                <w:color w:val="auto"/>
              </w:rPr>
            </w:pPr>
            <w:r>
              <w:rPr>
                <w:rFonts w:ascii="Arial" w:cs="Arial" w:eastAsia="Arial" w:hAnsi="Arial"/>
                <w:sz w:val="20"/>
                <w:szCs w:val="20"/>
                <w:b w:val="1"/>
                <w:bCs w:val="1"/>
                <w:color w:val="auto"/>
              </w:rPr>
              <w:t>What happens if an incumbent director nominee fails to receive more “</w:t>
            </w:r>
            <w:r>
              <w:rPr>
                <w:rFonts w:ascii="Arial" w:cs="Arial" w:eastAsia="Arial" w:hAnsi="Arial"/>
                <w:sz w:val="20"/>
                <w:szCs w:val="20"/>
                <w:b w:val="1"/>
                <w:bCs w:val="1"/>
                <w:color w:val="E7417A"/>
              </w:rPr>
              <w:t>FOR</w:t>
            </w:r>
            <w:r>
              <w:rPr>
                <w:rFonts w:ascii="Arial" w:cs="Arial" w:eastAsia="Arial" w:hAnsi="Arial"/>
                <w:sz w:val="20"/>
                <w:szCs w:val="20"/>
                <w:b w:val="1"/>
                <w:bCs w:val="1"/>
                <w:color w:val="auto"/>
              </w:rPr>
              <w:t>”</w:t>
            </w:r>
          </w:p>
        </w:tc>
        <w:tc>
          <w:tcPr>
            <w:tcW w:w="140" w:type="dxa"/>
            <w:vAlign w:val="bottom"/>
          </w:tcPr>
          <w:p>
            <w:pPr>
              <w:spacing w:after="0"/>
              <w:rPr>
                <w:sz w:val="19"/>
                <w:szCs w:val="19"/>
                <w:color w:val="auto"/>
              </w:rPr>
            </w:pPr>
          </w:p>
        </w:tc>
      </w:tr>
      <w:tr>
        <w:trPr>
          <w:trHeight w:val="335"/>
        </w:trPr>
        <w:tc>
          <w:tcPr>
            <w:tcW w:w="440" w:type="dxa"/>
            <w:vAlign w:val="bottom"/>
          </w:tcPr>
          <w:p>
            <w:pPr>
              <w:spacing w:after="0"/>
              <w:rPr>
                <w:sz w:val="20"/>
                <w:szCs w:val="20"/>
                <w:color w:val="auto"/>
              </w:rPr>
            </w:pPr>
            <w:r>
              <w:rPr>
                <w:rFonts w:ascii="Arial" w:cs="Arial" w:eastAsia="Arial" w:hAnsi="Arial"/>
                <w:sz w:val="22"/>
                <w:szCs w:val="22"/>
                <w:color w:val="auto"/>
              </w:rPr>
              <w:t>​</w:t>
            </w:r>
          </w:p>
        </w:tc>
        <w:tc>
          <w:tcPr>
            <w:tcW w:w="8340" w:type="dxa"/>
            <w:vAlign w:val="bottom"/>
          </w:tcPr>
          <w:p>
            <w:pPr>
              <w:ind w:left="380"/>
              <w:spacing w:after="0"/>
              <w:rPr>
                <w:sz w:val="20"/>
                <w:szCs w:val="20"/>
                <w:color w:val="auto"/>
              </w:rPr>
            </w:pPr>
            <w:r>
              <w:rPr>
                <w:rFonts w:ascii="Arial" w:cs="Arial" w:eastAsia="Arial" w:hAnsi="Arial"/>
                <w:sz w:val="20"/>
                <w:szCs w:val="20"/>
                <w:b w:val="1"/>
                <w:bCs w:val="1"/>
                <w:color w:val="auto"/>
              </w:rPr>
              <w:t>votes than “</w:t>
            </w:r>
            <w:r>
              <w:rPr>
                <w:rFonts w:ascii="Arial" w:cs="Arial" w:eastAsia="Arial" w:hAnsi="Arial"/>
                <w:sz w:val="20"/>
                <w:szCs w:val="20"/>
                <w:b w:val="1"/>
                <w:bCs w:val="1"/>
                <w:color w:val="62259D"/>
              </w:rPr>
              <w:t>AGAINST</w:t>
            </w:r>
            <w:r>
              <w:rPr>
                <w:rFonts w:ascii="Arial" w:cs="Arial" w:eastAsia="Arial" w:hAnsi="Arial"/>
                <w:sz w:val="20"/>
                <w:szCs w:val="20"/>
                <w:b w:val="1"/>
                <w:bCs w:val="1"/>
                <w:color w:val="auto"/>
              </w:rPr>
              <w:t>” votes?</w:t>
            </w:r>
          </w:p>
        </w:tc>
        <w:tc>
          <w:tcPr>
            <w:tcW w:w="140" w:type="dxa"/>
            <w:vAlign w:val="bottom"/>
          </w:tcPr>
          <w:p>
            <w:pPr>
              <w:ind w:left="80"/>
              <w:spacing w:after="0"/>
              <w:rPr>
                <w:sz w:val="20"/>
                <w:szCs w:val="20"/>
                <w:color w:val="auto"/>
              </w:rPr>
            </w:pPr>
            <w:r>
              <w:rPr>
                <w:rFonts w:ascii="Arial" w:cs="Arial" w:eastAsia="Arial" w:hAnsi="Arial"/>
                <w:sz w:val="22"/>
                <w:szCs w:val="22"/>
                <w:color w:val="auto"/>
              </w:rPr>
              <w:t>​</w:t>
            </w:r>
          </w:p>
        </w:tc>
      </w:tr>
    </w:tbl>
    <w:p>
      <w:pPr>
        <w:spacing w:after="0" w:line="183" w:lineRule="exact"/>
        <w:rPr>
          <w:sz w:val="20"/>
          <w:szCs w:val="20"/>
          <w:color w:val="auto"/>
        </w:rPr>
      </w:pPr>
    </w:p>
    <w:p>
      <w:pPr>
        <w:ind w:left="920" w:right="239"/>
        <w:spacing w:after="0" w:line="253" w:lineRule="auto"/>
        <w:rPr>
          <w:sz w:val="20"/>
          <w:szCs w:val="20"/>
          <w:color w:val="auto"/>
        </w:rPr>
      </w:pPr>
      <w:r>
        <w:rPr>
          <w:rFonts w:ascii="Arial" w:cs="Arial" w:eastAsia="Arial" w:hAnsi="Arial"/>
          <w:sz w:val="18"/>
          <w:szCs w:val="18"/>
          <w:color w:val="auto"/>
        </w:rPr>
        <w:t>Our Corporate Governance Guidelines require that as a condition to being nominated by the Board for re-election as a director, each incumbent director must deliver to the Board an irrevocable resignation from the Board that will become effective if, and only if, both:</w:t>
      </w:r>
    </w:p>
    <w:p>
      <w:pPr>
        <w:spacing w:after="0" w:line="101" w:lineRule="exact"/>
        <w:rPr>
          <w:sz w:val="20"/>
          <w:szCs w:val="20"/>
          <w:color w:val="auto"/>
        </w:rPr>
      </w:pPr>
    </w:p>
    <w:p>
      <w:pPr>
        <w:ind w:left="1640" w:right="339" w:hanging="356"/>
        <w:spacing w:after="0" w:line="287" w:lineRule="auto"/>
        <w:tabs>
          <w:tab w:leader="none" w:pos="16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an uncontested election, such nominee does not receive more votes “</w:t>
      </w:r>
      <w:r>
        <w:rPr>
          <w:rFonts w:ascii="Arial" w:cs="Arial" w:eastAsia="Arial" w:hAnsi="Arial"/>
          <w:sz w:val="18"/>
          <w:szCs w:val="18"/>
          <w:color w:val="E7417A"/>
        </w:rPr>
        <w:t>FOR</w:t>
      </w:r>
      <w:r>
        <w:rPr>
          <w:rFonts w:ascii="Arial" w:cs="Arial" w:eastAsia="Arial" w:hAnsi="Arial"/>
          <w:sz w:val="18"/>
          <w:szCs w:val="18"/>
          <w:color w:val="auto"/>
        </w:rPr>
        <w:t>” his or her election than votes “</w:t>
      </w:r>
      <w:r>
        <w:rPr>
          <w:rFonts w:ascii="Arial" w:cs="Arial" w:eastAsia="Arial" w:hAnsi="Arial"/>
          <w:sz w:val="18"/>
          <w:szCs w:val="18"/>
          <w:color w:val="62259D"/>
        </w:rPr>
        <w:t>AGAINST</w:t>
      </w:r>
      <w:r>
        <w:rPr>
          <w:rFonts w:ascii="Arial" w:cs="Arial" w:eastAsia="Arial" w:hAnsi="Arial"/>
          <w:sz w:val="18"/>
          <w:szCs w:val="18"/>
          <w:color w:val="auto"/>
        </w:rPr>
        <w:t>” such election, and</w:t>
      </w:r>
    </w:p>
    <w:p>
      <w:pPr>
        <w:spacing w:after="0" w:line="71" w:lineRule="exact"/>
        <w:rPr>
          <w:rFonts w:ascii="Arial" w:cs="Arial" w:eastAsia="Arial" w:hAnsi="Arial"/>
          <w:sz w:val="18"/>
          <w:szCs w:val="18"/>
          <w:color w:val="auto"/>
        </w:rPr>
      </w:pPr>
    </w:p>
    <w:p>
      <w:pPr>
        <w:ind w:left="1640" w:hanging="356"/>
        <w:spacing w:after="0"/>
        <w:tabs>
          <w:tab w:leader="none" w:pos="16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Board accepts such resignation.</w:t>
      </w:r>
    </w:p>
    <w:p>
      <w:pPr>
        <w:spacing w:after="0" w:line="144" w:lineRule="exact"/>
        <w:rPr>
          <w:sz w:val="20"/>
          <w:szCs w:val="20"/>
          <w:color w:val="auto"/>
        </w:rPr>
      </w:pPr>
    </w:p>
    <w:p>
      <w:pPr>
        <w:ind w:left="920" w:right="279"/>
        <w:spacing w:after="0" w:line="271" w:lineRule="auto"/>
        <w:rPr>
          <w:sz w:val="20"/>
          <w:szCs w:val="20"/>
          <w:color w:val="auto"/>
        </w:rPr>
      </w:pPr>
      <w:r>
        <w:rPr>
          <w:rFonts w:ascii="Arial" w:cs="Arial" w:eastAsia="Arial" w:hAnsi="Arial"/>
          <w:sz w:val="18"/>
          <w:szCs w:val="18"/>
          <w:color w:val="auto"/>
        </w:rPr>
        <w:t>The Board will decide (based on the recommendation of a committee of the Board) whether to accept the director’s resignation within 90 days after the election results are certified.</w:t>
      </w:r>
    </w:p>
    <w:p>
      <w:pPr>
        <w:spacing w:after="0" w:line="86" w:lineRule="exact"/>
        <w:rPr>
          <w:sz w:val="20"/>
          <w:szCs w:val="20"/>
          <w:color w:val="auto"/>
        </w:rPr>
      </w:pPr>
    </w:p>
    <w:p>
      <w:pPr>
        <w:ind w:left="920" w:right="119"/>
        <w:spacing w:after="0" w:line="252" w:lineRule="auto"/>
        <w:rPr>
          <w:sz w:val="20"/>
          <w:szCs w:val="20"/>
          <w:color w:val="auto"/>
        </w:rPr>
      </w:pPr>
      <w:r>
        <w:rPr>
          <w:rFonts w:ascii="Arial" w:cs="Arial" w:eastAsia="Arial" w:hAnsi="Arial"/>
          <w:sz w:val="18"/>
          <w:szCs w:val="18"/>
          <w:color w:val="auto"/>
        </w:rPr>
        <w:t>An incumbent director who does not receive the required vote in an uncontested election will continue to serve as a director while the Nominating, Sustainability and Corporate Governance Committee and the Board decide whether to accept or reject such director’s resignation. If the Board accepts such resignation, the Board may fill the remaining vacancy or may decrease the size of</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74</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719"/>
        <w:spacing w:after="0" w:line="271" w:lineRule="auto"/>
        <w:rPr>
          <w:sz w:val="20"/>
          <w:szCs w:val="20"/>
          <w:color w:val="auto"/>
        </w:rPr>
      </w:pPr>
      <w:r>
        <w:rPr>
          <w:rFonts w:ascii="Arial" w:cs="Arial" w:eastAsia="Arial" w:hAnsi="Arial"/>
          <w:sz w:val="18"/>
          <w:szCs w:val="18"/>
          <w:color w:val="auto"/>
        </w:rPr>
        <w:t xml:space="preserve">the Board in accordance with our by-laws. Our Corporate Governance Guidelines are posted on our website at </w:t>
      </w:r>
      <w:r>
        <w:rPr>
          <w:rFonts w:ascii="Arial" w:cs="Arial" w:eastAsia="Arial" w:hAnsi="Arial"/>
          <w:sz w:val="18"/>
          <w:szCs w:val="18"/>
          <w:color w:val="E7417A"/>
        </w:rPr>
        <w:t>www.ribboncommunications.com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83820</wp:posOffset>
            </wp:positionV>
            <wp:extent cx="5597525" cy="4718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70"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How can I attend the 2026 Annual Meeting?</w:t>
      </w:r>
      <w:r>
        <w:rPr>
          <w:sz w:val="20"/>
          <w:szCs w:val="20"/>
          <w:color w:val="auto"/>
        </w:rPr>
        <w:tab/>
      </w:r>
      <w:r>
        <w:rPr>
          <w:rFonts w:ascii="Arial" w:cs="Arial" w:eastAsia="Arial" w:hAnsi="Arial"/>
          <w:sz w:val="43"/>
          <w:szCs w:val="43"/>
          <w:color w:val="auto"/>
          <w:vertAlign w:val="subscript"/>
        </w:rPr>
        <w:t>​</w:t>
      </w:r>
    </w:p>
    <w:p>
      <w:pPr>
        <w:spacing w:after="0" w:line="252" w:lineRule="exact"/>
        <w:rPr>
          <w:sz w:val="20"/>
          <w:szCs w:val="20"/>
          <w:color w:val="auto"/>
        </w:rPr>
      </w:pPr>
    </w:p>
    <w:p>
      <w:pPr>
        <w:ind w:left="920" w:right="179"/>
        <w:spacing w:after="0" w:line="261" w:lineRule="auto"/>
        <w:rPr>
          <w:sz w:val="20"/>
          <w:szCs w:val="20"/>
          <w:color w:val="auto"/>
        </w:rPr>
      </w:pPr>
      <w:r>
        <w:rPr>
          <w:rFonts w:ascii="Arial" w:cs="Arial" w:eastAsia="Arial" w:hAnsi="Arial"/>
          <w:sz w:val="18"/>
          <w:szCs w:val="18"/>
          <w:color w:val="auto"/>
        </w:rPr>
        <w:t xml:space="preserve">In order to encourage attendance by all stockholders, the 2026 Annual Meeting will be held entirely online. Stockholders may participate in the 2026 Annual Meeting by visiting the following website: </w:t>
      </w:r>
      <w:r>
        <w:rPr>
          <w:rFonts w:ascii="Arial" w:cs="Arial" w:eastAsia="Arial" w:hAnsi="Arial"/>
          <w:sz w:val="18"/>
          <w:szCs w:val="18"/>
          <w:color w:val="E7417A"/>
        </w:rPr>
        <w:t>www.virtualshareholdermeeting.com/RBBN2026</w:t>
      </w:r>
      <w:r>
        <w:rPr>
          <w:rFonts w:ascii="Arial" w:cs="Arial" w:eastAsia="Arial" w:hAnsi="Arial"/>
          <w:sz w:val="18"/>
          <w:szCs w:val="18"/>
          <w:color w:val="000000"/>
        </w:rPr>
        <w:t>.</w:t>
      </w:r>
    </w:p>
    <w:p>
      <w:pPr>
        <w:spacing w:after="0" w:line="94" w:lineRule="exact"/>
        <w:rPr>
          <w:sz w:val="20"/>
          <w:szCs w:val="20"/>
          <w:color w:val="auto"/>
        </w:rPr>
      </w:pPr>
    </w:p>
    <w:p>
      <w:pPr>
        <w:ind w:left="920" w:right="139"/>
        <w:spacing w:after="0" w:line="252" w:lineRule="auto"/>
        <w:rPr>
          <w:sz w:val="20"/>
          <w:szCs w:val="20"/>
          <w:color w:val="auto"/>
        </w:rPr>
      </w:pPr>
      <w:r>
        <w:rPr>
          <w:rFonts w:ascii="Arial" w:cs="Arial" w:eastAsia="Arial" w:hAnsi="Arial"/>
          <w:sz w:val="18"/>
          <w:szCs w:val="18"/>
          <w:color w:val="auto"/>
        </w:rPr>
        <w:t>Whether you are a registered holder or if you hold your shares in “street name” through a broker, bank or other nominee, you will need to provide your name, email address, phone number and your 16-digit control number included in the Notice of Internet Availability of Proxy Materials, proxy card, or voting instruction form to enter the virtual meeting.</w:t>
      </w:r>
    </w:p>
    <w:p>
      <w:pPr>
        <w:spacing w:after="0" w:line="103" w:lineRule="exact"/>
        <w:rPr>
          <w:sz w:val="20"/>
          <w:szCs w:val="20"/>
          <w:color w:val="auto"/>
        </w:rPr>
      </w:pPr>
    </w:p>
    <w:p>
      <w:pPr>
        <w:ind w:left="920" w:right="259"/>
        <w:spacing w:after="0" w:line="271" w:lineRule="auto"/>
        <w:rPr>
          <w:sz w:val="20"/>
          <w:szCs w:val="20"/>
          <w:color w:val="auto"/>
        </w:rPr>
      </w:pPr>
      <w:r>
        <w:rPr>
          <w:rFonts w:ascii="Arial" w:cs="Arial" w:eastAsia="Arial" w:hAnsi="Arial"/>
          <w:sz w:val="18"/>
          <w:szCs w:val="18"/>
          <w:color w:val="auto"/>
        </w:rPr>
        <w:t>We encourage you to access the meeting prior to the start time. The online portal will open approximately 15 minutes before the start of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83820</wp:posOffset>
            </wp:positionV>
            <wp:extent cx="5597525" cy="4718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70"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How can I vote during the 2026 Annual Meeting?</w:t>
      </w:r>
      <w:r>
        <w:rPr>
          <w:sz w:val="20"/>
          <w:szCs w:val="20"/>
          <w:color w:val="auto"/>
        </w:rPr>
        <w:tab/>
      </w:r>
      <w:r>
        <w:rPr>
          <w:rFonts w:ascii="Arial" w:cs="Arial" w:eastAsia="Arial" w:hAnsi="Arial"/>
          <w:sz w:val="43"/>
          <w:szCs w:val="43"/>
          <w:color w:val="auto"/>
          <w:vertAlign w:val="subscript"/>
        </w:rPr>
        <w:t>​</w:t>
      </w:r>
    </w:p>
    <w:p>
      <w:pPr>
        <w:spacing w:after="0" w:line="252" w:lineRule="exact"/>
        <w:rPr>
          <w:sz w:val="20"/>
          <w:szCs w:val="20"/>
          <w:color w:val="auto"/>
        </w:rPr>
      </w:pPr>
    </w:p>
    <w:p>
      <w:pPr>
        <w:ind w:left="920" w:right="279"/>
        <w:spacing w:after="0" w:line="251" w:lineRule="auto"/>
        <w:rPr>
          <w:sz w:val="20"/>
          <w:szCs w:val="20"/>
          <w:color w:val="auto"/>
        </w:rPr>
      </w:pPr>
      <w:r>
        <w:rPr>
          <w:rFonts w:ascii="Arial" w:cs="Arial" w:eastAsia="Arial" w:hAnsi="Arial"/>
          <w:sz w:val="18"/>
          <w:szCs w:val="18"/>
          <w:color w:val="auto"/>
        </w:rPr>
        <w:t xml:space="preserve">Please visit </w:t>
      </w:r>
      <w:r>
        <w:rPr>
          <w:rFonts w:ascii="Arial" w:cs="Arial" w:eastAsia="Arial" w:hAnsi="Arial"/>
          <w:sz w:val="18"/>
          <w:szCs w:val="18"/>
          <w:color w:val="E7417A"/>
        </w:rPr>
        <w:t>www.virtualshareholdermeeting.com/RBBN2026</w:t>
      </w:r>
      <w:r>
        <w:rPr>
          <w:rFonts w:ascii="Arial" w:cs="Arial" w:eastAsia="Arial" w:hAnsi="Arial"/>
          <w:sz w:val="18"/>
          <w:szCs w:val="18"/>
          <w:color w:val="auto"/>
        </w:rPr>
        <w:t xml:space="preserve"> in order to vote your shares during the 2026 Annual Meeting until the polls are closed. You will need your 16-digit control number in order to vote your shares. Your 16 -digit control number can be found on your proxy card, Notice of Internet Availability of Proxy Materials or voting instruction form. For additional information regarding how to register for and attend the 2026 Annual Meeting, see “</w:t>
      </w:r>
      <w:r>
        <w:rPr>
          <w:rFonts w:ascii="Arial" w:cs="Arial" w:eastAsia="Arial" w:hAnsi="Arial"/>
          <w:sz w:val="18"/>
          <w:szCs w:val="18"/>
          <w:i w:val="1"/>
          <w:iCs w:val="1"/>
          <w:color w:val="auto"/>
        </w:rPr>
        <w:t>How can I attend the 2026 Annual Meeting?”</w:t>
      </w:r>
      <w:r>
        <w:rPr>
          <w:rFonts w:ascii="Arial" w:cs="Arial" w:eastAsia="Arial" w:hAnsi="Arial"/>
          <w:sz w:val="18"/>
          <w:szCs w:val="18"/>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198755</wp:posOffset>
            </wp:positionV>
            <wp:extent cx="5597525" cy="4718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252"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How can I vote my shares without attending the meeting?</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you are a stockholder of record, you may vote by proxy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120650</wp:posOffset>
            </wp:positionV>
            <wp:extent cx="2211705" cy="3600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211705" cy="3600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16" w:lineRule="exact"/>
        <w:rPr>
          <w:sz w:val="20"/>
          <w:szCs w:val="20"/>
          <w:color w:val="auto"/>
        </w:rPr>
      </w:pPr>
    </w:p>
    <w:tbl>
      <w:tblPr>
        <w:tblLayout w:type="fixed"/>
        <w:tblInd w:w="1520" w:type="dxa"/>
        <w:tblCellMar>
          <w:top w:w="0" w:type="dxa"/>
          <w:left w:w="0" w:type="dxa"/>
          <w:bottom w:w="0" w:type="dxa"/>
          <w:right w:w="0" w:type="dxa"/>
        </w:tblCellMar>
      </w:tblPr>
      <w:tr>
        <w:trPr>
          <w:trHeight w:val="184"/>
        </w:trPr>
        <w:tc>
          <w:tcPr>
            <w:tcW w:w="2400" w:type="dxa"/>
            <w:vAlign w:val="bottom"/>
          </w:tcPr>
          <w:p>
            <w:pPr>
              <w:ind w:left="320"/>
              <w:spacing w:after="0"/>
              <w:rPr>
                <w:sz w:val="20"/>
                <w:szCs w:val="20"/>
                <w:color w:val="auto"/>
              </w:rPr>
            </w:pPr>
            <w:r>
              <w:rPr>
                <w:rFonts w:ascii="Arial" w:cs="Arial" w:eastAsia="Arial" w:hAnsi="Arial"/>
                <w:sz w:val="16"/>
                <w:szCs w:val="16"/>
                <w:b w:val="1"/>
                <w:bCs w:val="1"/>
                <w:color w:val="FEFEFE"/>
              </w:rPr>
              <w:t>Submit your proxy by</w:t>
            </w:r>
          </w:p>
        </w:tc>
        <w:tc>
          <w:tcPr>
            <w:tcW w:w="540" w:type="dxa"/>
            <w:vAlign w:val="bottom"/>
          </w:tcPr>
          <w:p>
            <w:pPr>
              <w:spacing w:after="0"/>
              <w:rPr>
                <w:sz w:val="16"/>
                <w:szCs w:val="16"/>
                <w:color w:val="auto"/>
              </w:rPr>
            </w:pPr>
          </w:p>
        </w:tc>
      </w:tr>
      <w:tr>
        <w:trPr>
          <w:trHeight w:val="313"/>
        </w:trPr>
        <w:tc>
          <w:tcPr>
            <w:tcW w:w="2400" w:type="dxa"/>
            <w:vAlign w:val="bottom"/>
          </w:tcPr>
          <w:p>
            <w:pPr>
              <w:spacing w:after="0" w:line="313" w:lineRule="exact"/>
              <w:rPr>
                <w:sz w:val="20"/>
                <w:szCs w:val="20"/>
                <w:color w:val="auto"/>
              </w:rPr>
            </w:pPr>
            <w:r>
              <w:rPr>
                <w:rFonts w:ascii="Arial" w:cs="Arial" w:eastAsia="Arial" w:hAnsi="Arial"/>
                <w:sz w:val="32"/>
                <w:szCs w:val="32"/>
                <w:b w:val="1"/>
                <w:bCs w:val="1"/>
                <w:color w:val="FEFEFE"/>
                <w:vertAlign w:val="subscript"/>
              </w:rPr>
              <w:t>​  ​</w:t>
            </w:r>
            <w:r>
              <w:rPr>
                <w:rFonts w:ascii="Arial" w:cs="Arial" w:eastAsia="Arial" w:hAnsi="Arial"/>
                <w:sz w:val="16"/>
                <w:szCs w:val="16"/>
                <w:b w:val="1"/>
                <w:bCs w:val="1"/>
                <w:color w:val="FEFEFE"/>
              </w:rPr>
              <w:t xml:space="preserve"> mail</w:t>
            </w:r>
          </w:p>
        </w:tc>
        <w:tc>
          <w:tcPr>
            <w:tcW w:w="540" w:type="dxa"/>
            <w:vAlign w:val="bottom"/>
          </w:tcPr>
          <w:p>
            <w:pPr>
              <w:ind w:left="280"/>
              <w:spacing w:after="0"/>
              <w:rPr>
                <w:sz w:val="20"/>
                <w:szCs w:val="20"/>
                <w:color w:val="auto"/>
              </w:rPr>
            </w:pPr>
            <w:r>
              <w:rPr>
                <w:rFonts w:ascii="Arial" w:cs="Arial" w:eastAsia="Arial" w:hAnsi="Arial"/>
                <w:sz w:val="16"/>
                <w:szCs w:val="16"/>
                <w:b w:val="1"/>
                <w:bCs w:val="1"/>
                <w:color w:val="FEFEFE"/>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-34925</wp:posOffset>
            </wp:positionV>
            <wp:extent cx="5623560" cy="6343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623560" cy="634365"/>
                    </a:xfrm>
                    <a:prstGeom prst="rect">
                      <a:avLst/>
                    </a:prstGeom>
                    <a:noFill/>
                  </pic:spPr>
                </pic:pic>
              </a:graphicData>
            </a:graphic>
          </wp:anchor>
        </w:drawing>
      </w:r>
    </w:p>
    <w:p>
      <w:pPr>
        <w:ind w:left="1040"/>
        <w:spacing w:after="0" w:line="238" w:lineRule="auto"/>
        <w:rPr>
          <w:sz w:val="20"/>
          <w:szCs w:val="20"/>
          <w:color w:val="auto"/>
        </w:rPr>
      </w:pPr>
      <w:r>
        <w:rPr>
          <w:rFonts w:ascii="Arial" w:cs="Arial" w:eastAsia="Arial" w:hAnsi="Arial"/>
          <w:sz w:val="16"/>
          <w:szCs w:val="16"/>
          <w:color w:val="auto"/>
        </w:rPr>
        <w:t>You may complete, date and sign the proxy card and mail it in the postage-prepaid envelope that you received. The persons named in the proxy card will vote the shares you own in accordance with your instructions on the proxy card you return. If you return the proxy card but do not give any instructions on a particular matter described in this Proxy Statement, the persons named in the proxy card will vote the shares you own in accordance with the recommendations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113665</wp:posOffset>
            </wp:positionV>
            <wp:extent cx="2219960" cy="3346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219960" cy="334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FEFEFE"/>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982" w:lineRule="exact"/>
        <w:rPr>
          <w:sz w:val="20"/>
          <w:szCs w:val="20"/>
          <w:color w:val="auto"/>
        </w:rPr>
      </w:pPr>
    </w:p>
    <w:p>
      <w:pPr>
        <w:sectPr>
          <w:pgSz w:w="11900" w:h="16838" w:orient="portrait"/>
          <w:cols w:equalWidth="0" w:num="2">
            <w:col w:w="9620" w:space="160"/>
            <w:col w:w="99"/>
          </w:cols>
          <w:pgMar w:left="580" w:top="97" w:right="1440" w:bottom="1440" w:gutter="0" w:footer="0" w:header="0"/>
          <w:type w:val="continuous"/>
        </w:sectPr>
      </w:pPr>
    </w:p>
    <w:p>
      <w:pPr>
        <w:spacing w:after="0" w:line="65"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2480" w:type="dxa"/>
            <w:vAlign w:val="bottom"/>
          </w:tcPr>
          <w:p>
            <w:pPr>
              <w:ind w:left="320"/>
              <w:spacing w:after="0"/>
              <w:rPr>
                <w:sz w:val="20"/>
                <w:szCs w:val="20"/>
                <w:color w:val="auto"/>
              </w:rPr>
            </w:pPr>
            <w:r>
              <w:rPr>
                <w:rFonts w:ascii="Arial" w:cs="Arial" w:eastAsia="Arial" w:hAnsi="Arial"/>
                <w:sz w:val="16"/>
                <w:szCs w:val="16"/>
                <w:b w:val="1"/>
                <w:bCs w:val="1"/>
                <w:color w:val="FEFEFE"/>
              </w:rPr>
              <w:t>Submit your proxy over</w:t>
            </w:r>
          </w:p>
        </w:tc>
        <w:tc>
          <w:tcPr>
            <w:tcW w:w="440" w:type="dxa"/>
            <w:vAlign w:val="bottom"/>
          </w:tcPr>
          <w:p>
            <w:pPr>
              <w:spacing w:after="0"/>
              <w:rPr>
                <w:sz w:val="16"/>
                <w:szCs w:val="16"/>
                <w:color w:val="auto"/>
              </w:rPr>
            </w:pPr>
          </w:p>
        </w:tc>
      </w:tr>
      <w:tr>
        <w:trPr>
          <w:trHeight w:val="313"/>
        </w:trPr>
        <w:tc>
          <w:tcPr>
            <w:tcW w:w="2480" w:type="dxa"/>
            <w:vAlign w:val="bottom"/>
          </w:tcPr>
          <w:p>
            <w:pPr>
              <w:spacing w:after="0" w:line="313" w:lineRule="exact"/>
              <w:rPr>
                <w:sz w:val="20"/>
                <w:szCs w:val="20"/>
                <w:color w:val="auto"/>
              </w:rPr>
            </w:pPr>
            <w:r>
              <w:rPr>
                <w:rFonts w:ascii="Arial" w:cs="Arial" w:eastAsia="Arial" w:hAnsi="Arial"/>
                <w:sz w:val="32"/>
                <w:szCs w:val="32"/>
                <w:b w:val="1"/>
                <w:bCs w:val="1"/>
                <w:color w:val="FEFEFE"/>
                <w:vertAlign w:val="subscript"/>
              </w:rPr>
              <w:t>​  ​</w:t>
            </w:r>
            <w:r>
              <w:rPr>
                <w:rFonts w:ascii="Arial" w:cs="Arial" w:eastAsia="Arial" w:hAnsi="Arial"/>
                <w:sz w:val="16"/>
                <w:szCs w:val="16"/>
                <w:b w:val="1"/>
                <w:bCs w:val="1"/>
                <w:color w:val="FEFEFE"/>
              </w:rPr>
              <w:t xml:space="preserve"> the Internet</w:t>
            </w:r>
          </w:p>
        </w:tc>
        <w:tc>
          <w:tcPr>
            <w:tcW w:w="440" w:type="dxa"/>
            <w:vAlign w:val="bottom"/>
          </w:tcPr>
          <w:p>
            <w:pPr>
              <w:ind w:left="180"/>
              <w:spacing w:after="0"/>
              <w:rPr>
                <w:sz w:val="20"/>
                <w:szCs w:val="20"/>
                <w:color w:val="auto"/>
              </w:rPr>
            </w:pPr>
            <w:r>
              <w:rPr>
                <w:rFonts w:ascii="Arial" w:cs="Arial" w:eastAsia="Arial" w:hAnsi="Arial"/>
                <w:sz w:val="16"/>
                <w:szCs w:val="16"/>
                <w:b w:val="1"/>
                <w:bCs w:val="1"/>
                <w:color w:val="FEFEFE"/>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-34925</wp:posOffset>
            </wp:positionV>
            <wp:extent cx="5623560" cy="4114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623560" cy="411480"/>
                    </a:xfrm>
                    <a:prstGeom prst="rect">
                      <a:avLst/>
                    </a:prstGeom>
                    <a:noFill/>
                  </pic:spPr>
                </pic:pic>
              </a:graphicData>
            </a:graphic>
          </wp:anchor>
        </w:drawing>
      </w:r>
    </w:p>
    <w:p>
      <w:pPr>
        <w:ind w:left="1040"/>
        <w:spacing w:after="0" w:line="248" w:lineRule="auto"/>
        <w:rPr>
          <w:sz w:val="20"/>
          <w:szCs w:val="20"/>
          <w:color w:val="auto"/>
        </w:rPr>
      </w:pPr>
      <w:r>
        <w:rPr>
          <w:rFonts w:ascii="Arial" w:cs="Arial" w:eastAsia="Arial" w:hAnsi="Arial"/>
          <w:sz w:val="16"/>
          <w:szCs w:val="16"/>
          <w:color w:val="auto"/>
        </w:rPr>
        <w:t xml:space="preserve">If you have Internet access, you may vote over the Internet at </w:t>
      </w:r>
      <w:r>
        <w:rPr>
          <w:rFonts w:ascii="Arial" w:cs="Arial" w:eastAsia="Arial" w:hAnsi="Arial"/>
          <w:sz w:val="16"/>
          <w:szCs w:val="16"/>
          <w:color w:val="E7417A"/>
        </w:rPr>
        <w:t>www.proxyvote.com</w:t>
      </w:r>
      <w:r>
        <w:rPr>
          <w:rFonts w:ascii="Arial" w:cs="Arial" w:eastAsia="Arial" w:hAnsi="Arial"/>
          <w:sz w:val="16"/>
          <w:szCs w:val="16"/>
          <w:color w:val="auto"/>
        </w:rPr>
        <w:t xml:space="preserve"> by following the instructions set forth on your proxy card. If you submit your proxy over the Internet, it is not necessary to return your proxy card.</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FEFEFE"/>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50" w:lineRule="exact"/>
        <w:rPr>
          <w:sz w:val="20"/>
          <w:szCs w:val="20"/>
          <w:color w:val="auto"/>
        </w:rPr>
      </w:pPr>
    </w:p>
    <w:p>
      <w:pPr>
        <w:sectPr>
          <w:pgSz w:w="11900" w:h="16838" w:orient="portrait"/>
          <w:cols w:equalWidth="0" w:num="2">
            <w:col w:w="9520" w:space="260"/>
            <w:col w:w="99"/>
          </w:cols>
          <w:pgMar w:left="580" w:top="97" w:right="1440" w:bottom="1440" w:gutter="0" w:footer="0" w:header="0"/>
          <w:type w:val="continuous"/>
        </w:sectPr>
      </w:pP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310"/>
        </w:trPr>
        <w:tc>
          <w:tcPr>
            <w:tcW w:w="3100" w:type="dxa"/>
            <w:vAlign w:val="bottom"/>
            <w:shd w:val="clear" w:color="auto" w:fill="62259D"/>
          </w:tcPr>
          <w:p>
            <w:pPr>
              <w:ind w:left="900"/>
              <w:spacing w:after="0"/>
              <w:rPr>
                <w:sz w:val="20"/>
                <w:szCs w:val="20"/>
                <w:color w:val="auto"/>
              </w:rPr>
            </w:pPr>
            <w:r>
              <w:rPr>
                <w:rFonts w:ascii="Arial" w:cs="Arial" w:eastAsia="Arial" w:hAnsi="Arial"/>
                <w:sz w:val="16"/>
                <w:szCs w:val="16"/>
                <w:b w:val="1"/>
                <w:bCs w:val="1"/>
                <w:color w:val="FEFEFE"/>
              </w:rPr>
              <w:t>Submit your proxy using</w:t>
            </w:r>
          </w:p>
        </w:tc>
        <w:tc>
          <w:tcPr>
            <w:tcW w:w="340" w:type="dxa"/>
            <w:vAlign w:val="bottom"/>
            <w:shd w:val="clear" w:color="auto" w:fill="62259D"/>
          </w:tcPr>
          <w:p>
            <w:pPr>
              <w:spacing w:after="0"/>
              <w:rPr>
                <w:sz w:val="24"/>
                <w:szCs w:val="24"/>
                <w:color w:val="auto"/>
              </w:rPr>
            </w:pPr>
          </w:p>
        </w:tc>
        <w:tc>
          <w:tcPr>
            <w:tcW w:w="4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100" w:type="dxa"/>
            <w:vAlign w:val="bottom"/>
            <w:shd w:val="clear" w:color="auto" w:fill="62259D"/>
          </w:tcPr>
          <w:p>
            <w:pPr>
              <w:ind w:left="580"/>
              <w:spacing w:after="0" w:line="243" w:lineRule="exact"/>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5"/>
                <w:szCs w:val="15"/>
                <w:b w:val="1"/>
                <w:bCs w:val="1"/>
                <w:color w:val="FEFEFE"/>
              </w:rPr>
              <w:t xml:space="preserve"> your mobile device</w:t>
            </w:r>
          </w:p>
        </w:tc>
        <w:tc>
          <w:tcPr>
            <w:tcW w:w="340" w:type="dxa"/>
            <w:vAlign w:val="bottom"/>
            <w:shd w:val="clear" w:color="auto" w:fill="62259D"/>
          </w:tcPr>
          <w:p>
            <w:pPr>
              <w:ind w:left="140"/>
              <w:spacing w:after="0"/>
              <w:rPr>
                <w:sz w:val="20"/>
                <w:szCs w:val="20"/>
                <w:color w:val="auto"/>
              </w:rPr>
            </w:pPr>
            <w:r>
              <w:rPr>
                <w:rFonts w:ascii="Arial" w:cs="Arial" w:eastAsia="Arial" w:hAnsi="Arial"/>
                <w:sz w:val="16"/>
                <w:szCs w:val="16"/>
                <w:b w:val="1"/>
                <w:bCs w:val="1"/>
                <w:color w:val="FEFEFE"/>
              </w:rPr>
              <w:t>​</w:t>
            </w:r>
          </w:p>
        </w:tc>
        <w:tc>
          <w:tcPr>
            <w:tcW w:w="4060" w:type="dxa"/>
            <w:vAlign w:val="bottom"/>
          </w:tcPr>
          <w:p>
            <w:pPr>
              <w:spacing w:after="0"/>
              <w:rPr>
                <w:sz w:val="20"/>
                <w:szCs w:val="20"/>
                <w:color w:val="auto"/>
              </w:rPr>
            </w:pPr>
            <w:r>
              <w:rPr>
                <w:rFonts w:ascii="Arial" w:cs="Arial" w:eastAsia="Arial" w:hAnsi="Arial"/>
                <w:sz w:val="16"/>
                <w:szCs w:val="16"/>
                <w:b w:val="1"/>
                <w:bCs w:val="1"/>
                <w:color w:val="FEFEFE"/>
              </w:rPr>
              <w:t>​</w:t>
            </w:r>
          </w:p>
        </w:tc>
        <w:tc>
          <w:tcPr>
            <w:tcW w:w="220" w:type="dxa"/>
            <w:vAlign w:val="bottom"/>
          </w:tcPr>
          <w:p>
            <w:pPr>
              <w:spacing w:after="0"/>
              <w:rPr>
                <w:sz w:val="20"/>
                <w:szCs w:val="20"/>
                <w:color w:val="auto"/>
              </w:rPr>
            </w:pPr>
            <w:r>
              <w:rPr>
                <w:rFonts w:ascii="Arial" w:cs="Arial" w:eastAsia="Arial" w:hAnsi="Arial"/>
                <w:sz w:val="16"/>
                <w:szCs w:val="16"/>
                <w:b w:val="1"/>
                <w:bCs w:val="1"/>
                <w:color w:val="FEFEFE"/>
              </w:rPr>
              <w:t>​</w:t>
            </w: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440" w:type="dxa"/>
            <w:vAlign w:val="bottom"/>
            <w:gridSpan w:val="2"/>
            <w:shd w:val="clear" w:color="auto" w:fill="F2F2F2"/>
          </w:tcPr>
          <w:p>
            <w:pPr>
              <w:ind w:left="120"/>
              <w:spacing w:after="0"/>
              <w:rPr>
                <w:sz w:val="20"/>
                <w:szCs w:val="20"/>
                <w:color w:val="auto"/>
              </w:rPr>
            </w:pPr>
            <w:r>
              <w:rPr>
                <w:rFonts w:ascii="Arial" w:cs="Arial" w:eastAsia="Arial" w:hAnsi="Arial"/>
                <w:sz w:val="16"/>
                <w:szCs w:val="16"/>
                <w:color w:val="auto"/>
              </w:rPr>
              <w:t xml:space="preserve">Scan the QR code to visit </w:t>
            </w:r>
            <w:r>
              <w:rPr>
                <w:rFonts w:ascii="Arial" w:cs="Arial" w:eastAsia="Arial" w:hAnsi="Arial"/>
                <w:sz w:val="16"/>
                <w:szCs w:val="16"/>
                <w:color w:val="E7417A"/>
              </w:rPr>
              <w:t>www.proxyvote.com</w:t>
            </w:r>
          </w:p>
        </w:tc>
        <w:tc>
          <w:tcPr>
            <w:tcW w:w="4060" w:type="dxa"/>
            <w:vAlign w:val="bottom"/>
            <w:shd w:val="clear" w:color="auto" w:fill="F2F2F2"/>
          </w:tcPr>
          <w:p>
            <w:pPr>
              <w:ind w:left="160"/>
              <w:spacing w:after="0"/>
              <w:rPr>
                <w:sz w:val="20"/>
                <w:szCs w:val="20"/>
                <w:color w:val="auto"/>
              </w:rPr>
            </w:pPr>
            <w:r>
              <w:rPr>
                <w:rFonts w:ascii="Arial" w:cs="Arial" w:eastAsia="Arial" w:hAnsi="Arial"/>
                <w:sz w:val="16"/>
                <w:szCs w:val="16"/>
                <w:color w:val="auto"/>
              </w:rPr>
              <w:t>on your mobile device</w:t>
            </w:r>
          </w:p>
        </w:tc>
        <w:tc>
          <w:tcPr>
            <w:tcW w:w="220" w:type="dxa"/>
            <w:vAlign w:val="bottom"/>
            <w:vMerge w:val="restart"/>
            <w:shd w:val="clear" w:color="auto" w:fill="FEFEFE"/>
          </w:tcPr>
          <w:p>
            <w:pPr>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spacing w:after="0"/>
              <w:rPr>
                <w:sz w:val="20"/>
                <w:szCs w:val="20"/>
                <w:color w:val="auto"/>
              </w:rPr>
            </w:pPr>
            <w:r>
              <w:rPr>
                <w:rFonts w:ascii="Arial" w:cs="Arial" w:eastAsia="Arial" w:hAnsi="Arial"/>
                <w:sz w:val="16"/>
                <w:szCs w:val="16"/>
                <w:b w:val="1"/>
                <w:bCs w:val="1"/>
                <w:color w:val="FEFEFE"/>
              </w:rPr>
              <w:t>​</w:t>
            </w:r>
          </w:p>
        </w:tc>
        <w:tc>
          <w:tcPr>
            <w:tcW w:w="600" w:type="dxa"/>
            <w:vAlign w:val="bottom"/>
            <w:vMerge w:val="restart"/>
          </w:tcPr>
          <w:p>
            <w:pPr>
              <w:ind w:left="540"/>
              <w:spacing w:after="0" w:line="296" w:lineRule="exact"/>
              <w:rPr>
                <w:sz w:val="20"/>
                <w:szCs w:val="20"/>
                <w:color w:val="auto"/>
              </w:rPr>
            </w:pPr>
            <w:r>
              <w:rPr>
                <w:rFonts w:ascii="Arial" w:cs="Arial" w:eastAsia="Arial" w:hAnsi="Arial"/>
                <w:sz w:val="16"/>
                <w:szCs w:val="16"/>
                <w:b w:val="1"/>
                <w:bCs w:val="1"/>
                <w:color w:val="FEFEFE"/>
              </w:rPr>
              <w:t>​</w:t>
            </w:r>
            <w:r>
              <w:rPr>
                <w:rFonts w:ascii="Arial" w:cs="Arial" w:eastAsia="Arial" w:hAnsi="Arial"/>
                <w:sz w:val="32"/>
                <w:szCs w:val="32"/>
                <w:color w:val="000000"/>
                <w:vertAlign w:val="superscript"/>
              </w:rPr>
              <w:t>​</w:t>
            </w:r>
          </w:p>
        </w:tc>
        <w:tc>
          <w:tcPr>
            <w:tcW w:w="0" w:type="dxa"/>
            <w:vAlign w:val="bottom"/>
          </w:tcPr>
          <w:p>
            <w:pPr>
              <w:spacing w:after="0"/>
              <w:rPr>
                <w:sz w:val="1"/>
                <w:szCs w:val="1"/>
                <w:color w:val="auto"/>
              </w:rPr>
            </w:pPr>
          </w:p>
        </w:tc>
      </w:tr>
      <w:tr>
        <w:trPr>
          <w:trHeight w:val="96"/>
        </w:trPr>
        <w:tc>
          <w:tcPr>
            <w:tcW w:w="3100" w:type="dxa"/>
            <w:vAlign w:val="bottom"/>
            <w:shd w:val="clear" w:color="auto" w:fill="F2F2F2"/>
          </w:tcPr>
          <w:p>
            <w:pPr>
              <w:spacing w:after="0"/>
              <w:rPr>
                <w:sz w:val="8"/>
                <w:szCs w:val="8"/>
                <w:color w:val="auto"/>
              </w:rPr>
            </w:pPr>
          </w:p>
        </w:tc>
        <w:tc>
          <w:tcPr>
            <w:tcW w:w="340" w:type="dxa"/>
            <w:vAlign w:val="bottom"/>
            <w:shd w:val="clear" w:color="auto" w:fill="F2F2F2"/>
          </w:tcPr>
          <w:p>
            <w:pPr>
              <w:spacing w:after="0"/>
              <w:rPr>
                <w:sz w:val="8"/>
                <w:szCs w:val="8"/>
                <w:color w:val="auto"/>
              </w:rPr>
            </w:pPr>
          </w:p>
        </w:tc>
        <w:tc>
          <w:tcPr>
            <w:tcW w:w="4060" w:type="dxa"/>
            <w:vAlign w:val="bottom"/>
            <w:shd w:val="clear" w:color="auto" w:fill="F2F2F2"/>
          </w:tcPr>
          <w:p>
            <w:pPr>
              <w:spacing w:after="0"/>
              <w:rPr>
                <w:sz w:val="8"/>
                <w:szCs w:val="8"/>
                <w:color w:val="auto"/>
              </w:rPr>
            </w:pPr>
          </w:p>
        </w:tc>
        <w:tc>
          <w:tcPr>
            <w:tcW w:w="220" w:type="dxa"/>
            <w:vAlign w:val="bottom"/>
            <w:vMerge w:val="continue"/>
            <w:shd w:val="clear" w:color="auto" w:fill="FEFEF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-179705</wp:posOffset>
            </wp:positionV>
            <wp:extent cx="763270" cy="685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3270" cy="68580"/>
                    </a:xfrm>
                    <a:prstGeom prst="rect">
                      <a:avLst/>
                    </a:prstGeom>
                    <a:noFill/>
                  </pic:spPr>
                </pic:pic>
              </a:graphicData>
            </a:graphic>
          </wp:anchor>
        </w:drawing>
        <w:drawing>
          <wp:anchor simplePos="0" relativeHeight="251657728" behindDoc="1" locked="0" layoutInCell="0" allowOverlap="1">
            <wp:simplePos x="0" y="0"/>
            <wp:positionH relativeFrom="column">
              <wp:posOffset>654050</wp:posOffset>
            </wp:positionH>
            <wp:positionV relativeFrom="paragraph">
              <wp:posOffset>-488315</wp:posOffset>
            </wp:positionV>
            <wp:extent cx="213995" cy="2317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13995" cy="23177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-427990</wp:posOffset>
            </wp:positionV>
            <wp:extent cx="420370" cy="419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20370" cy="41973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236855</wp:posOffset>
            </wp:positionV>
            <wp:extent cx="2202815" cy="3689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202815" cy="36893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tbl>
      <w:tblPr>
        <w:tblLayout w:type="fixed"/>
        <w:tblInd w:w="1500" w:type="dxa"/>
        <w:tblCellMar>
          <w:top w:w="0" w:type="dxa"/>
          <w:left w:w="0" w:type="dxa"/>
          <w:bottom w:w="0" w:type="dxa"/>
          <w:right w:w="0" w:type="dxa"/>
        </w:tblCellMar>
      </w:tblPr>
      <w:tr>
        <w:trPr>
          <w:trHeight w:val="184"/>
        </w:trPr>
        <w:tc>
          <w:tcPr>
            <w:tcW w:w="2420" w:type="dxa"/>
            <w:vAlign w:val="bottom"/>
          </w:tcPr>
          <w:p>
            <w:pPr>
              <w:ind w:left="320"/>
              <w:spacing w:after="0"/>
              <w:rPr>
                <w:sz w:val="20"/>
                <w:szCs w:val="20"/>
                <w:color w:val="auto"/>
              </w:rPr>
            </w:pPr>
            <w:r>
              <w:rPr>
                <w:rFonts w:ascii="Arial" w:cs="Arial" w:eastAsia="Arial" w:hAnsi="Arial"/>
                <w:sz w:val="16"/>
                <w:szCs w:val="16"/>
                <w:b w:val="1"/>
                <w:bCs w:val="1"/>
                <w:color w:val="FEFEFE"/>
              </w:rPr>
              <w:t>Submit your proxy by</w:t>
            </w:r>
          </w:p>
        </w:tc>
        <w:tc>
          <w:tcPr>
            <w:tcW w:w="520" w:type="dxa"/>
            <w:vAlign w:val="bottom"/>
          </w:tcPr>
          <w:p>
            <w:pPr>
              <w:spacing w:after="0"/>
              <w:rPr>
                <w:sz w:val="16"/>
                <w:szCs w:val="16"/>
                <w:color w:val="auto"/>
              </w:rPr>
            </w:pPr>
          </w:p>
        </w:tc>
      </w:tr>
      <w:tr>
        <w:trPr>
          <w:trHeight w:val="313"/>
        </w:trPr>
        <w:tc>
          <w:tcPr>
            <w:tcW w:w="2420" w:type="dxa"/>
            <w:vAlign w:val="bottom"/>
          </w:tcPr>
          <w:p>
            <w:pPr>
              <w:spacing w:after="0" w:line="313" w:lineRule="exact"/>
              <w:rPr>
                <w:sz w:val="20"/>
                <w:szCs w:val="20"/>
                <w:color w:val="auto"/>
              </w:rPr>
            </w:pPr>
            <w:r>
              <w:rPr>
                <w:rFonts w:ascii="Arial" w:cs="Arial" w:eastAsia="Arial" w:hAnsi="Arial"/>
                <w:sz w:val="32"/>
                <w:szCs w:val="32"/>
                <w:b w:val="1"/>
                <w:bCs w:val="1"/>
                <w:color w:val="FEFEFE"/>
                <w:vertAlign w:val="subscript"/>
              </w:rPr>
              <w:t>​  ​</w:t>
            </w:r>
            <w:r>
              <w:rPr>
                <w:rFonts w:ascii="Arial" w:cs="Arial" w:eastAsia="Arial" w:hAnsi="Arial"/>
                <w:sz w:val="16"/>
                <w:szCs w:val="16"/>
                <w:b w:val="1"/>
                <w:bCs w:val="1"/>
                <w:color w:val="FEFEFE"/>
              </w:rPr>
              <w:t xml:space="preserve"> telephone</w:t>
            </w:r>
          </w:p>
        </w:tc>
        <w:tc>
          <w:tcPr>
            <w:tcW w:w="520" w:type="dxa"/>
            <w:vAlign w:val="bottom"/>
          </w:tcPr>
          <w:p>
            <w:pPr>
              <w:ind w:left="260"/>
              <w:spacing w:after="0"/>
              <w:rPr>
                <w:sz w:val="20"/>
                <w:szCs w:val="20"/>
                <w:color w:val="auto"/>
              </w:rPr>
            </w:pPr>
            <w:r>
              <w:rPr>
                <w:rFonts w:ascii="Arial" w:cs="Arial" w:eastAsia="Arial" w:hAnsi="Arial"/>
                <w:sz w:val="16"/>
                <w:szCs w:val="16"/>
                <w:b w:val="1"/>
                <w:bCs w:val="1"/>
                <w:color w:val="FEFEFE"/>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-34925</wp:posOffset>
            </wp:positionV>
            <wp:extent cx="5623560" cy="41148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623560" cy="411480"/>
                    </a:xfrm>
                    <a:prstGeom prst="rect">
                      <a:avLst/>
                    </a:prstGeom>
                    <a:noFill/>
                  </pic:spPr>
                </pic:pic>
              </a:graphicData>
            </a:graphic>
          </wp:anchor>
        </w:drawing>
      </w:r>
    </w:p>
    <w:p>
      <w:pPr>
        <w:ind w:left="1040"/>
        <w:spacing w:after="0" w:line="247" w:lineRule="auto"/>
        <w:rPr>
          <w:sz w:val="20"/>
          <w:szCs w:val="20"/>
          <w:color w:val="auto"/>
        </w:rPr>
      </w:pPr>
      <w:r>
        <w:rPr>
          <w:rFonts w:ascii="Arial" w:cs="Arial" w:eastAsia="Arial" w:hAnsi="Arial"/>
          <w:sz w:val="16"/>
          <w:szCs w:val="16"/>
          <w:color w:val="auto"/>
        </w:rPr>
        <w:t>If you are located in the United States or Canada, you may vote by telephone by calling 1-800- 690-6903 and following the instructions set forth on your proxy card. If you submit your proxy by telephone, it is not necessary to return your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FEFEFE"/>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592" w:lineRule="exact"/>
        <w:rPr>
          <w:sz w:val="20"/>
          <w:szCs w:val="20"/>
          <w:color w:val="auto"/>
        </w:rPr>
      </w:pPr>
    </w:p>
    <w:p>
      <w:pPr>
        <w:sectPr>
          <w:pgSz w:w="11900" w:h="16838" w:orient="portrait"/>
          <w:cols w:equalWidth="0" w:num="2">
            <w:col w:w="9500" w:space="280"/>
            <w:col w:w="99"/>
          </w:cols>
          <w:pgMar w:left="580" w:top="97" w:right="1440" w:bottom="1440" w:gutter="0" w:footer="0" w:header="0"/>
          <w:type w:val="continuous"/>
        </w:sectPr>
      </w:pPr>
    </w:p>
    <w:p>
      <w:pPr>
        <w:ind w:left="2440" w:right="20" w:hanging="652"/>
        <w:spacing w:after="0" w:line="252" w:lineRule="auto"/>
        <w:tabs>
          <w:tab w:leader="none" w:pos="222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 The ability to vote by telephone or over the Internet for stockholders of record will be available until 11:59 p.m., Eastern Daylight Time on June 2, 2026. In light of potential delays in mail service, we encourage stockholders to submit their proxy via telephone or online.</w:t>
      </w:r>
    </w:p>
    <w:p>
      <w:pPr>
        <w:spacing w:after="0" w:line="35" w:lineRule="exact"/>
        <w:rPr>
          <w:rFonts w:ascii="Arial" w:cs="Arial" w:eastAsia="Arial" w:hAnsi="Arial"/>
          <w:sz w:val="18"/>
          <w:szCs w:val="18"/>
          <w:color w:val="auto"/>
        </w:rPr>
      </w:pPr>
    </w:p>
    <w:p>
      <w:pPr>
        <w:ind w:left="2440" w:hanging="652"/>
        <w:spacing w:after="0" w:line="196" w:lineRule="auto"/>
        <w:tabs>
          <w:tab w:leader="none" w:pos="2224" w:val="left"/>
        </w:tabs>
        <w:numPr>
          <w:ilvl w:val="0"/>
          <w:numId w:val="146"/>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If your shares are held in the name of a broker, bank or other nominee, please follow the voting instructions on the forms you received from such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-883920</wp:posOffset>
            </wp:positionV>
            <wp:extent cx="240030" cy="2489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40030" cy="248920"/>
                    </a:xfrm>
                    <a:prstGeom prst="rect">
                      <a:avLst/>
                    </a:prstGeom>
                    <a:noFill/>
                  </pic:spPr>
                </pic:pic>
              </a:graphicData>
            </a:graphic>
          </wp:anchor>
        </w:drawing>
        <w:drawing>
          <wp:anchor simplePos="0" relativeHeight="251657728" behindDoc="1" locked="0" layoutInCell="0" allowOverlap="1">
            <wp:simplePos x="0" y="0"/>
            <wp:positionH relativeFrom="column">
              <wp:posOffset>1134110</wp:posOffset>
            </wp:positionH>
            <wp:positionV relativeFrom="paragraph">
              <wp:posOffset>-266700</wp:posOffset>
            </wp:positionV>
            <wp:extent cx="248920" cy="2654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48920" cy="265430"/>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204470</wp:posOffset>
            </wp:positionV>
            <wp:extent cx="5597525" cy="47180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0" w:lineRule="exact"/>
        <w:rPr>
          <w:sz w:val="20"/>
          <w:szCs w:val="20"/>
          <w:color w:val="auto"/>
        </w:rPr>
      </w:pPr>
    </w:p>
    <w:p>
      <w:pPr>
        <w:sectPr>
          <w:pgSz w:w="11900" w:h="16838" w:orient="portrait"/>
          <w:cols w:equalWidth="0" w:num="2">
            <w:col w:w="9740" w:space="40"/>
            <w:col w:w="99"/>
          </w:cols>
          <w:pgMar w:left="580" w:top="97" w:right="1440" w:bottom="1440" w:gutter="0" w:footer="0" w:header="0"/>
          <w:type w:val="continuous"/>
        </w:sectPr>
      </w:pPr>
    </w:p>
    <w:p>
      <w:pPr>
        <w:spacing w:after="0" w:line="80"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Who is serving as the Company’s inspector of elections?</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right="259"/>
        <w:spacing w:after="0" w:line="271" w:lineRule="auto"/>
        <w:rPr>
          <w:sz w:val="20"/>
          <w:szCs w:val="20"/>
          <w:color w:val="auto"/>
        </w:rPr>
      </w:pPr>
      <w:r>
        <w:rPr>
          <w:rFonts w:ascii="Arial" w:cs="Arial" w:eastAsia="Arial" w:hAnsi="Arial"/>
          <w:sz w:val="18"/>
          <w:szCs w:val="18"/>
          <w:color w:val="auto"/>
        </w:rPr>
        <w:t>Anna Hagberg has been engaged as our independent inspector of elections to tabulate stockholder votes for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83820</wp:posOffset>
            </wp:positionV>
            <wp:extent cx="5597525" cy="4711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597525" cy="471170"/>
                    </a:xfrm>
                    <a:prstGeom prst="rect">
                      <a:avLst/>
                    </a:prstGeom>
                    <a:noFill/>
                  </pic:spPr>
                </pic:pic>
              </a:graphicData>
            </a:graphic>
          </wp:anchor>
        </w:drawing>
      </w:r>
    </w:p>
    <w:p>
      <w:pPr>
        <w:spacing w:after="0" w:line="70"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How can I change my vote?</w:t>
      </w:r>
      <w:r>
        <w:rPr>
          <w:sz w:val="20"/>
          <w:szCs w:val="20"/>
          <w:color w:val="auto"/>
        </w:rPr>
        <w:tab/>
      </w:r>
      <w:r>
        <w:rPr>
          <w:rFonts w:ascii="Arial" w:cs="Arial" w:eastAsia="Arial" w:hAnsi="Arial"/>
          <w:sz w:val="43"/>
          <w:szCs w:val="43"/>
          <w:color w:val="auto"/>
          <w:vertAlign w:val="subscript"/>
        </w:rPr>
        <w:t>​</w:t>
      </w:r>
    </w:p>
    <w:p>
      <w:pPr>
        <w:spacing w:after="0" w:line="252" w:lineRule="exact"/>
        <w:rPr>
          <w:sz w:val="20"/>
          <w:szCs w:val="20"/>
          <w:color w:val="auto"/>
        </w:rPr>
      </w:pPr>
    </w:p>
    <w:p>
      <w:pPr>
        <w:ind w:left="920" w:right="99"/>
        <w:spacing w:after="0" w:line="246" w:lineRule="auto"/>
        <w:rPr>
          <w:sz w:val="20"/>
          <w:szCs w:val="20"/>
          <w:color w:val="auto"/>
        </w:rPr>
      </w:pPr>
      <w:r>
        <w:rPr>
          <w:rFonts w:ascii="Arial" w:cs="Arial" w:eastAsia="Arial" w:hAnsi="Arial"/>
          <w:sz w:val="18"/>
          <w:szCs w:val="18"/>
          <w:color w:val="auto"/>
        </w:rPr>
        <w:t>You may revoke your proxy and change your vote at any time before the polls close at the meeting. You may do this by signing and submitting a new proxy card with a later date, submitting a proxy by telephone or submitting a proxy over the Internet (your latest telephone or Internet proxy is counted), by giving written notice of revocation to our Corporate Secretary prior to the 2026 Annual Meeting or by attending the meeting and voting electronically. If your shares are held in street name, you may change or revoke your voting instructions by following the specific directions provided to you by your bank or broker. Attending the meeting by itself, however, will not revoke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208915</wp:posOffset>
            </wp:positionV>
            <wp:extent cx="5597525" cy="47180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268"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Why are you holding a virtual meeting?</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right="99"/>
        <w:spacing w:after="0" w:line="243" w:lineRule="auto"/>
        <w:rPr>
          <w:sz w:val="20"/>
          <w:szCs w:val="20"/>
          <w:color w:val="auto"/>
        </w:rPr>
      </w:pPr>
      <w:r>
        <w:rPr>
          <w:rFonts w:ascii="Arial" w:cs="Arial" w:eastAsia="Arial" w:hAnsi="Arial"/>
          <w:sz w:val="18"/>
          <w:szCs w:val="18"/>
          <w:color w:val="auto"/>
        </w:rPr>
        <w:t xml:space="preserve">As a public company we have stockholders located all over the world. In order to encourage as many stockholders as possible to participate in the meeting, no matter where they are located, we believe that hosting a virtual meeting is in the best interest of the Company and its stockholders. We have designed our virtual format to enhance, rather than constrain, stockholder access, participation and communication. For example, the virtual format allows stockholders to communicate with us in advance of, and during, the 2026 Annual Meeting so they can ask questions of our Board and/or management. You will be able to attend the 2026 Annual Meeting online and submit your questions by visiting </w:t>
      </w:r>
      <w:r>
        <w:rPr>
          <w:rFonts w:ascii="Arial" w:cs="Arial" w:eastAsia="Arial" w:hAnsi="Arial"/>
          <w:sz w:val="18"/>
          <w:szCs w:val="18"/>
          <w:color w:val="E7417A"/>
        </w:rPr>
        <w:t>www.virtualshareholdermeeting.com/RBBN2026</w:t>
      </w:r>
      <w:r>
        <w:rPr>
          <w:rFonts w:ascii="Arial" w:cs="Arial" w:eastAsia="Arial" w:hAnsi="Arial"/>
          <w:sz w:val="18"/>
          <w:szCs w:val="18"/>
          <w:color w:val="000000"/>
        </w:rPr>
        <w:t>. You also will be able to vote your shares electronically at</w:t>
      </w:r>
      <w:r>
        <w:rPr>
          <w:rFonts w:ascii="Arial" w:cs="Arial" w:eastAsia="Arial" w:hAnsi="Arial"/>
          <w:sz w:val="18"/>
          <w:szCs w:val="18"/>
          <w:color w:val="E7417A"/>
        </w:rPr>
        <w:t xml:space="preserve"> </w:t>
      </w:r>
      <w:r>
        <w:rPr>
          <w:rFonts w:ascii="Arial" w:cs="Arial" w:eastAsia="Arial" w:hAnsi="Arial"/>
          <w:sz w:val="18"/>
          <w:szCs w:val="18"/>
          <w:color w:val="000000"/>
        </w:rPr>
        <w:t>the 2026 Annual Meeting by following the instructions above.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76</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236220</wp:posOffset>
            </wp:positionV>
            <wp:extent cx="5623560" cy="643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6235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740"/>
        <w:spacing w:after="0"/>
        <w:rPr>
          <w:sz w:val="20"/>
          <w:szCs w:val="20"/>
          <w:color w:val="auto"/>
        </w:rPr>
      </w:pPr>
      <w:r>
        <w:rPr>
          <w:rFonts w:ascii="Arial" w:cs="Arial" w:eastAsia="Arial" w:hAnsi="Arial"/>
          <w:sz w:val="20"/>
          <w:szCs w:val="20"/>
          <w:b w:val="1"/>
          <w:bCs w:val="1"/>
          <w:color w:val="auto"/>
        </w:rPr>
        <w:t>What if during the check-in time or during the 2026 Annual Meeting I have</w:t>
      </w:r>
    </w:p>
    <w:p>
      <w:pPr>
        <w:ind w:left="920"/>
        <w:spacing w:after="0" w:line="183" w:lineRule="auto"/>
        <w:tabs>
          <w:tab w:leader="none" w:pos="1720" w:val="left"/>
          <w:tab w:leader="none" w:pos="9760" w:val="left"/>
        </w:tabs>
        <w:rPr>
          <w:sz w:val="20"/>
          <w:szCs w:val="20"/>
          <w:color w:val="auto"/>
        </w:rPr>
      </w:pPr>
      <w:r>
        <w:rPr>
          <w:rFonts w:ascii="Arial" w:cs="Arial" w:eastAsia="Arial" w:hAnsi="Arial"/>
          <w:sz w:val="31"/>
          <w:szCs w:val="31"/>
          <w:color w:val="auto"/>
          <w:vertAlign w:val="subscript"/>
        </w:rPr>
        <w:t>​</w:t>
      </w:r>
      <w:r>
        <w:rPr>
          <w:sz w:val="20"/>
          <w:szCs w:val="20"/>
          <w:color w:val="auto"/>
        </w:rPr>
        <w:tab/>
      </w:r>
      <w:r>
        <w:rPr>
          <w:rFonts w:ascii="Arial" w:cs="Arial" w:eastAsia="Arial" w:hAnsi="Arial"/>
          <w:sz w:val="16"/>
          <w:szCs w:val="16"/>
          <w:b w:val="1"/>
          <w:bCs w:val="1"/>
          <w:color w:val="auto"/>
        </w:rPr>
        <w:t>technical difficulties or trouble accessing the virtual meeting website?</w:t>
      </w:r>
      <w:r>
        <w:rPr>
          <w:sz w:val="20"/>
          <w:szCs w:val="20"/>
          <w:color w:val="auto"/>
        </w:rPr>
        <w:tab/>
      </w:r>
      <w:r>
        <w:rPr>
          <w:rFonts w:ascii="Arial" w:cs="Arial" w:eastAsia="Arial" w:hAnsi="Arial"/>
          <w:sz w:val="38"/>
          <w:szCs w:val="38"/>
          <w:color w:val="auto"/>
          <w:vertAlign w:val="subscript"/>
        </w:rPr>
        <w:t>​</w:t>
      </w:r>
    </w:p>
    <w:p>
      <w:pPr>
        <w:spacing w:after="0" w:line="184" w:lineRule="exact"/>
        <w:rPr>
          <w:sz w:val="20"/>
          <w:szCs w:val="20"/>
          <w:color w:val="auto"/>
        </w:rPr>
      </w:pPr>
    </w:p>
    <w:p>
      <w:pPr>
        <w:ind w:left="920" w:right="379"/>
        <w:spacing w:after="0" w:line="271" w:lineRule="auto"/>
        <w:rPr>
          <w:sz w:val="20"/>
          <w:szCs w:val="20"/>
          <w:color w:val="auto"/>
        </w:rPr>
      </w:pPr>
      <w:r>
        <w:rPr>
          <w:rFonts w:ascii="Arial" w:cs="Arial" w:eastAsia="Arial" w:hAnsi="Arial"/>
          <w:sz w:val="18"/>
          <w:szCs w:val="18"/>
          <w:color w:val="auto"/>
        </w:rPr>
        <w:t>If you encounter technical difficulties accessing the virtual 2026 Annual Meeting website, please call the technical support number that will be posted on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109220</wp:posOffset>
            </wp:positionV>
            <wp:extent cx="5597525" cy="4718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97525" cy="471805"/>
                    </a:xfrm>
                    <a:prstGeom prst="rect">
                      <a:avLst/>
                    </a:prstGeom>
                    <a:noFill/>
                  </pic:spPr>
                </pic:pic>
              </a:graphicData>
            </a:graphic>
          </wp:anchor>
        </w:drawing>
      </w:r>
    </w:p>
    <w:p>
      <w:pPr>
        <w:spacing w:after="0" w:line="111" w:lineRule="exact"/>
        <w:rPr>
          <w:sz w:val="20"/>
          <w:szCs w:val="20"/>
          <w:color w:val="auto"/>
        </w:rPr>
      </w:pPr>
    </w:p>
    <w:p>
      <w:pPr>
        <w:ind w:left="920"/>
        <w:spacing w:after="0"/>
        <w:tabs>
          <w:tab w:leader="none" w:pos="1720" w:val="left"/>
          <w:tab w:leader="none" w:pos="9760" w:val="left"/>
        </w:tabs>
        <w:rPr>
          <w:sz w:val="20"/>
          <w:szCs w:val="20"/>
          <w:color w:val="auto"/>
        </w:rPr>
      </w:pPr>
      <w:r>
        <w:rPr>
          <w:rFonts w:ascii="Arial" w:cs="Arial" w:eastAsia="Arial" w:hAnsi="Arial"/>
          <w:sz w:val="43"/>
          <w:szCs w:val="43"/>
          <w:color w:val="auto"/>
          <w:vertAlign w:val="subscript"/>
        </w:rPr>
        <w:t>​</w:t>
      </w:r>
      <w:r>
        <w:rPr>
          <w:sz w:val="20"/>
          <w:szCs w:val="20"/>
          <w:color w:val="auto"/>
        </w:rPr>
        <w:tab/>
      </w:r>
      <w:r>
        <w:rPr>
          <w:rFonts w:ascii="Arial" w:cs="Arial" w:eastAsia="Arial" w:hAnsi="Arial"/>
          <w:sz w:val="20"/>
          <w:szCs w:val="20"/>
          <w:b w:val="1"/>
          <w:bCs w:val="1"/>
          <w:color w:val="auto"/>
        </w:rPr>
        <w:t>Will there be a question-and-answer session during the Annual Meeting?</w:t>
      </w:r>
      <w:r>
        <w:rPr>
          <w:sz w:val="20"/>
          <w:szCs w:val="20"/>
          <w:color w:val="auto"/>
        </w:rPr>
        <w:tab/>
      </w:r>
      <w:r>
        <w:rPr>
          <w:rFonts w:ascii="Arial" w:cs="Arial" w:eastAsia="Arial" w:hAnsi="Arial"/>
          <w:sz w:val="43"/>
          <w:szCs w:val="43"/>
          <w:color w:val="auto"/>
          <w:vertAlign w:val="subscript"/>
        </w:rPr>
        <w:t>​</w:t>
      </w:r>
    </w:p>
    <w:p>
      <w:pPr>
        <w:spacing w:after="0" w:line="265" w:lineRule="exact"/>
        <w:rPr>
          <w:sz w:val="20"/>
          <w:szCs w:val="20"/>
          <w:color w:val="auto"/>
        </w:rPr>
      </w:pPr>
    </w:p>
    <w:p>
      <w:pPr>
        <w:ind w:left="920" w:right="99"/>
        <w:spacing w:after="0" w:line="261" w:lineRule="auto"/>
        <w:rPr>
          <w:sz w:val="20"/>
          <w:szCs w:val="20"/>
          <w:color w:val="auto"/>
        </w:rPr>
      </w:pPr>
      <w:r>
        <w:rPr>
          <w:rFonts w:ascii="Arial" w:cs="Arial" w:eastAsia="Arial" w:hAnsi="Arial"/>
          <w:sz w:val="18"/>
          <w:szCs w:val="18"/>
          <w:color w:val="auto"/>
        </w:rPr>
        <w:t>As part of the 2026 Annual Meeting, we intend to hold a live question and answer session, during which we expect to answer appropriate questions submitted during and in advance of the meeting that are pertinent to the Company and the meeting matters, as time permits.</w:t>
      </w:r>
    </w:p>
    <w:p>
      <w:pPr>
        <w:spacing w:after="0" w:line="129" w:lineRule="exact"/>
        <w:rPr>
          <w:sz w:val="20"/>
          <w:szCs w:val="20"/>
          <w:color w:val="auto"/>
        </w:rPr>
      </w:pPr>
    </w:p>
    <w:p>
      <w:pPr>
        <w:ind w:left="920" w:right="699"/>
        <w:spacing w:after="0" w:line="274" w:lineRule="auto"/>
        <w:rPr>
          <w:sz w:val="20"/>
          <w:szCs w:val="20"/>
          <w:color w:val="auto"/>
        </w:rPr>
      </w:pPr>
      <w:r>
        <w:rPr>
          <w:rFonts w:ascii="Arial" w:cs="Arial" w:eastAsia="Arial" w:hAnsi="Arial"/>
          <w:sz w:val="36"/>
          <w:szCs w:val="36"/>
          <w:b w:val="1"/>
          <w:bCs w:val="1"/>
          <w:color w:val="E7417A"/>
        </w:rPr>
        <w:t>Stockholder Proposals for Inclusion in 2027 Proxy Statement</w:t>
      </w:r>
    </w:p>
    <w:p>
      <w:pPr>
        <w:spacing w:after="0" w:line="19" w:lineRule="exact"/>
        <w:rPr>
          <w:sz w:val="20"/>
          <w:szCs w:val="20"/>
          <w:color w:val="auto"/>
        </w:rPr>
      </w:pPr>
    </w:p>
    <w:p>
      <w:pPr>
        <w:ind w:left="920" w:right="179"/>
        <w:spacing w:after="0" w:line="246" w:lineRule="auto"/>
        <w:rPr>
          <w:sz w:val="20"/>
          <w:szCs w:val="20"/>
          <w:color w:val="auto"/>
        </w:rPr>
      </w:pPr>
      <w:r>
        <w:rPr>
          <w:rFonts w:ascii="Arial" w:cs="Arial" w:eastAsia="Arial" w:hAnsi="Arial"/>
          <w:sz w:val="18"/>
          <w:szCs w:val="18"/>
          <w:color w:val="auto"/>
        </w:rPr>
        <w:t>To be considered for inclusion in the proxy statement relating to our annual meeting of stockholders to be held in 2027, stockholder proposals must be received at our principal executive offices no later than December 18, 2026, which is 120 calendar days before the anniversary date of when our proxy statement was released to our stockholders in connection with the 2026 Annual Meeting, and must otherwise comply with the rules promulgated by the SEC. If the date of next year’s annual meeting is changed by more than 30 days from the anniversary date of this year’s annual meeting on June 3, 2026, then the deadline is a reasonable time before we begin to print and mail proxy materials.</w:t>
      </w:r>
    </w:p>
    <w:p>
      <w:pPr>
        <w:spacing w:after="0" w:line="157" w:lineRule="exact"/>
        <w:rPr>
          <w:sz w:val="20"/>
          <w:szCs w:val="20"/>
          <w:color w:val="auto"/>
        </w:rPr>
      </w:pPr>
    </w:p>
    <w:p>
      <w:pPr>
        <w:ind w:left="920" w:right="719"/>
        <w:spacing w:after="0" w:line="274" w:lineRule="auto"/>
        <w:rPr>
          <w:sz w:val="20"/>
          <w:szCs w:val="20"/>
          <w:color w:val="auto"/>
        </w:rPr>
      </w:pPr>
      <w:r>
        <w:rPr>
          <w:rFonts w:ascii="Arial" w:cs="Arial" w:eastAsia="Arial" w:hAnsi="Arial"/>
          <w:sz w:val="36"/>
          <w:szCs w:val="36"/>
          <w:b w:val="1"/>
          <w:bCs w:val="1"/>
          <w:color w:val="E7417A"/>
        </w:rPr>
        <w:t>Stockholder Nominations and Proposals for Presentation at 2027 Annual Meeting</w:t>
      </w:r>
    </w:p>
    <w:p>
      <w:pPr>
        <w:spacing w:after="0" w:line="19" w:lineRule="exact"/>
        <w:rPr>
          <w:sz w:val="20"/>
          <w:szCs w:val="20"/>
          <w:color w:val="auto"/>
        </w:rPr>
      </w:pPr>
    </w:p>
    <w:p>
      <w:pPr>
        <w:ind w:left="920" w:right="139"/>
        <w:spacing w:after="0" w:line="242" w:lineRule="auto"/>
        <w:rPr>
          <w:sz w:val="20"/>
          <w:szCs w:val="20"/>
          <w:color w:val="auto"/>
        </w:rPr>
      </w:pPr>
      <w:r>
        <w:rPr>
          <w:rFonts w:ascii="Arial" w:cs="Arial" w:eastAsia="Arial" w:hAnsi="Arial"/>
          <w:sz w:val="18"/>
          <w:szCs w:val="18"/>
          <w:color w:val="auto"/>
        </w:rPr>
        <w:t>According to our by-laws, we must receive proposals of stockholders and director nominations intended to be presented at the 2027 Annual Meeting but not included in the proxy statement by the close of business on March 5, 2027, but not before February 3, 2027, which is not later than the 90th day nor earlier than the 120th day prior to the first anniversary of the date of the 2026 Annual Meeting. Such proposals must be delivered to the Corporate Secretary of the Company at our principal executive office. However, in the event the 2027 Annual Meeting is scheduled to be held on a date before May 4, 2027, or after August 12, 2027, which are dates 30 days before or 70 days after the first anniversary of our 2026 Annual Meeting, then your notice must be received by us at our principal executive office not earlier than the close of business on the 120th day prior to such annual meeting and not later than the close of business on the later of the 90th day before the scheduled date of such annual meeting or the 10th day after the day on which we first make a public announcement of the date of such annual meeting. Any proposals that are not made in accordance with the above standards may not be presented at the 2027 Annual Meeting.</w:t>
      </w:r>
    </w:p>
    <w:p>
      <w:pPr>
        <w:spacing w:after="0" w:line="114" w:lineRule="exact"/>
        <w:rPr>
          <w:sz w:val="20"/>
          <w:szCs w:val="20"/>
          <w:color w:val="auto"/>
        </w:rPr>
      </w:pPr>
    </w:p>
    <w:p>
      <w:pPr>
        <w:ind w:left="920" w:right="119"/>
        <w:spacing w:after="0" w:line="261" w:lineRule="auto"/>
        <w:rPr>
          <w:sz w:val="20"/>
          <w:szCs w:val="20"/>
          <w:color w:val="auto"/>
        </w:rPr>
      </w:pPr>
      <w:r>
        <w:rPr>
          <w:rFonts w:ascii="Arial" w:cs="Arial" w:eastAsia="Arial" w:hAnsi="Arial"/>
          <w:sz w:val="18"/>
          <w:szCs w:val="18"/>
          <w:color w:val="auto"/>
        </w:rPr>
        <w:t>In addition, to comply with the universal proxy rules, stockholders who intend to solicit proxies in support of director nominees other than our nominees must comply with our by-laws and Rule 14a-19 under the Securities Exchange Act of 1934.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21"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Stockholders Sharing the Same Address</w:t>
      </w:r>
    </w:p>
    <w:p>
      <w:pPr>
        <w:spacing w:after="0" w:line="158" w:lineRule="exact"/>
        <w:rPr>
          <w:sz w:val="20"/>
          <w:szCs w:val="20"/>
          <w:color w:val="auto"/>
        </w:rPr>
      </w:pPr>
    </w:p>
    <w:p>
      <w:pPr>
        <w:ind w:left="920" w:right="199"/>
        <w:spacing w:after="0" w:line="248" w:lineRule="auto"/>
        <w:rPr>
          <w:sz w:val="20"/>
          <w:szCs w:val="20"/>
          <w:color w:val="auto"/>
        </w:rPr>
      </w:pPr>
      <w:r>
        <w:rPr>
          <w:rFonts w:ascii="Arial" w:cs="Arial" w:eastAsia="Arial" w:hAnsi="Arial"/>
          <w:sz w:val="18"/>
          <w:szCs w:val="18"/>
          <w:color w:val="auto"/>
        </w:rPr>
        <w:t>We have adopted a procedure called “householding.” Under this procedure, we are delivering only one copy of the Notice of Internet Availability of Proxy Materials or, if requested, printed proxy materials to multiple stockholders who share the same address, unless we have received contrary instructions from an affected stockholder. Stockholders who participate in householding will continue to receive separate proxy cards.</w:t>
      </w:r>
    </w:p>
    <w:p>
      <w:pPr>
        <w:spacing w:after="0" w:line="319" w:lineRule="exact"/>
        <w:rPr>
          <w:sz w:val="20"/>
          <w:szCs w:val="20"/>
          <w:color w:val="auto"/>
        </w:rPr>
      </w:pPr>
    </w:p>
    <w:p>
      <w:pPr>
        <w:ind w:left="920" w:right="119"/>
        <w:spacing w:after="0" w:line="252" w:lineRule="auto"/>
        <w:rPr>
          <w:sz w:val="20"/>
          <w:szCs w:val="20"/>
          <w:color w:val="auto"/>
        </w:rPr>
      </w:pPr>
      <w:r>
        <w:rPr>
          <w:rFonts w:ascii="Arial" w:cs="Arial" w:eastAsia="Arial" w:hAnsi="Arial"/>
          <w:sz w:val="18"/>
          <w:szCs w:val="18"/>
          <w:color w:val="auto"/>
        </w:rPr>
        <w:t>We will deliver promptly upon written or oral request a separate copy of the Notice of Internet Availability of Proxy Materials or, if requested, printed proxy materials, to any stockholder at a shared address to which a single copy of either of those documents was delivered. To receive a separate copy of these proxy materials, please submit your request to:</w:t>
      </w:r>
    </w:p>
    <w:p>
      <w:pPr>
        <w:sectPr>
          <w:pgSz w:w="11900" w:h="16838" w:orient="portrait"/>
          <w:cols w:equalWidth="0" w:num="1">
            <w:col w:w="9879"/>
          </w:cols>
          <w:pgMar w:left="580" w:top="97" w:right="1440" w:bottom="1440" w:gutter="0" w:footer="0" w:header="0"/>
        </w:sectPr>
      </w:pP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3640" w:type="dxa"/>
            <w:vAlign w:val="bottom"/>
          </w:tcPr>
          <w:p>
            <w:pPr>
              <w:ind w:left="3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ind w:left="80"/>
              <w:spacing w:after="0"/>
              <w:rPr>
                <w:sz w:val="20"/>
                <w:szCs w:val="20"/>
                <w:color w:val="auto"/>
              </w:rPr>
            </w:pPr>
            <w:r>
              <w:rPr>
                <w:rFonts w:ascii="Arial" w:cs="Arial" w:eastAsia="Arial" w:hAnsi="Arial"/>
                <w:sz w:val="17"/>
                <w:szCs w:val="17"/>
                <w:color w:val="auto"/>
              </w:rPr>
              <w:t>​</w:t>
            </w: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spacing w:after="0"/>
              <w:rPr>
                <w:sz w:val="5"/>
                <w:szCs w:val="5"/>
                <w:color w:val="auto"/>
              </w:rPr>
            </w:pPr>
          </w:p>
        </w:tc>
        <w:tc>
          <w:tcPr>
            <w:tcW w:w="3640" w:type="dxa"/>
            <w:vAlign w:val="bottom"/>
          </w:tcPr>
          <w:p>
            <w:pPr>
              <w:ind w:left="34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line="68" w:lineRule="exact"/>
              <w:rPr>
                <w:sz w:val="20"/>
                <w:szCs w:val="20"/>
                <w:color w:val="auto"/>
              </w:rPr>
            </w:pPr>
            <w:r>
              <w:rPr>
                <w:rFonts w:ascii="Arial" w:cs="Arial" w:eastAsia="Arial" w:hAnsi="Arial"/>
                <w:sz w:val="7"/>
                <w:szCs w:val="7"/>
                <w:color w:val="auto"/>
              </w:rPr>
              <w:t>​</w:t>
            </w:r>
          </w:p>
        </w:tc>
        <w:tc>
          <w:tcPr>
            <w:tcW w:w="2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r>
      <w:tr>
        <w:trPr>
          <w:trHeight w:val="108"/>
        </w:trPr>
        <w:tc>
          <w:tcPr>
            <w:tcW w:w="12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9"/>
                <w:szCs w:val="9"/>
                <w:color w:val="auto"/>
              </w:rPr>
            </w:pPr>
          </w:p>
        </w:tc>
        <w:tc>
          <w:tcPr>
            <w:tcW w:w="3640" w:type="dxa"/>
            <w:vAlign w:val="bottom"/>
          </w:tcPr>
          <w:p>
            <w:pPr>
              <w:ind w:left="340"/>
              <w:spacing w:after="0" w:line="108" w:lineRule="exact"/>
              <w:rPr>
                <w:sz w:val="20"/>
                <w:szCs w:val="20"/>
                <w:color w:val="auto"/>
              </w:rPr>
            </w:pPr>
            <w:r>
              <w:rPr>
                <w:rFonts w:ascii="Arial" w:cs="Arial" w:eastAsia="Arial" w:hAnsi="Arial"/>
                <w:sz w:val="12"/>
                <w:szCs w:val="12"/>
                <w:color w:val="auto"/>
              </w:rPr>
              <w:t>​</w:t>
            </w:r>
          </w:p>
        </w:tc>
        <w:tc>
          <w:tcPr>
            <w:tcW w:w="14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220" w:type="dxa"/>
            <w:vAlign w:val="bottom"/>
          </w:tcPr>
          <w:p>
            <w:pPr>
              <w:ind w:left="80"/>
              <w:spacing w:after="0" w:line="108"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9"/>
                <w:szCs w:val="9"/>
                <w:color w:val="auto"/>
              </w:rPr>
            </w:pPr>
          </w:p>
        </w:tc>
      </w:tr>
      <w:tr>
        <w:trPr>
          <w:trHeight w:val="72"/>
        </w:trPr>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40" w:type="dxa"/>
            <w:vAlign w:val="bottom"/>
          </w:tcPr>
          <w:p>
            <w:pPr>
              <w:ind w:left="340"/>
              <w:spacing w:after="0" w:line="73" w:lineRule="exact"/>
              <w:rPr>
                <w:sz w:val="20"/>
                <w:szCs w:val="20"/>
                <w:color w:val="auto"/>
              </w:rPr>
            </w:pPr>
            <w:r>
              <w:rPr>
                <w:rFonts w:ascii="Arial" w:cs="Arial" w:eastAsia="Arial" w:hAnsi="Arial"/>
                <w:sz w:val="7"/>
                <w:szCs w:val="7"/>
                <w:color w:val="auto"/>
              </w:rPr>
              <w:t>Broadridge Financial Solutions by calling</w:t>
            </w: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225"/>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40" w:type="dxa"/>
            <w:vAlign w:val="bottom"/>
          </w:tcPr>
          <w:p>
            <w:pPr>
              <w:ind w:left="340"/>
              <w:spacing w:after="0"/>
              <w:rPr>
                <w:sz w:val="20"/>
                <w:szCs w:val="20"/>
                <w:color w:val="auto"/>
              </w:rPr>
            </w:pPr>
            <w:r>
              <w:rPr>
                <w:rFonts w:ascii="Arial" w:cs="Arial" w:eastAsia="Arial" w:hAnsi="Arial"/>
                <w:sz w:val="17"/>
                <w:szCs w:val="17"/>
                <w:color w:val="auto"/>
              </w:rPr>
              <w:t>1-800-579-1639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-290830</wp:posOffset>
            </wp:positionV>
            <wp:extent cx="257175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71750" cy="8890"/>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-239395</wp:posOffset>
            </wp:positionV>
            <wp:extent cx="171450" cy="2489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1450" cy="24892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-239395</wp:posOffset>
            </wp:positionV>
            <wp:extent cx="240030" cy="2400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auto"/>
        <w:rPr>
          <w:sz w:val="20"/>
          <w:szCs w:val="20"/>
          <w:color w:val="auto"/>
        </w:rPr>
      </w:pPr>
      <w:r>
        <w:rPr>
          <w:rFonts w:ascii="Arial" w:cs="Arial" w:eastAsia="Arial" w:hAnsi="Arial"/>
          <w:sz w:val="13"/>
          <w:szCs w:val="13"/>
          <w:color w:val="auto"/>
        </w:rPr>
        <w:t>​</w:t>
      </w:r>
    </w:p>
    <w:p>
      <w:pPr>
        <w:spacing w:after="0" w:line="188" w:lineRule="auto"/>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-3810</wp:posOffset>
            </wp:positionV>
            <wp:extent cx="257175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87" w:lineRule="auto"/>
        <w:rPr>
          <w:sz w:val="20"/>
          <w:szCs w:val="20"/>
          <w:color w:val="auto"/>
        </w:rPr>
      </w:pPr>
      <w:r>
        <w:rPr>
          <w:rFonts w:ascii="Arial" w:cs="Arial" w:eastAsia="Arial" w:hAnsi="Arial"/>
          <w:sz w:val="6"/>
          <w:szCs w:val="6"/>
          <w:color w:val="auto"/>
        </w:rPr>
        <w:t>​</w:t>
      </w:r>
    </w:p>
    <w:p>
      <w:pPr>
        <w:ind w:right="440"/>
        <w:spacing w:after="0" w:line="232" w:lineRule="auto"/>
        <w:rPr>
          <w:sz w:val="20"/>
          <w:szCs w:val="20"/>
          <w:color w:val="auto"/>
        </w:rPr>
      </w:pPr>
      <w:r>
        <w:rPr>
          <w:rFonts w:ascii="Arial" w:cs="Arial" w:eastAsia="Arial" w:hAnsi="Arial"/>
          <w:sz w:val="17"/>
          <w:szCs w:val="17"/>
          <w:color w:val="auto"/>
        </w:rPr>
        <w:t>or in writing addressed to: Ribbon Communications Inc. Attn: Investor Relations</w:t>
      </w:r>
    </w:p>
    <w:p>
      <w:pPr>
        <w:spacing w:after="0" w:line="248" w:lineRule="auto"/>
        <w:rPr>
          <w:sz w:val="20"/>
          <w:szCs w:val="20"/>
          <w:color w:val="auto"/>
        </w:rPr>
      </w:pPr>
      <w:r>
        <w:rPr>
          <w:rFonts w:ascii="Arial" w:cs="Arial" w:eastAsia="Arial" w:hAnsi="Arial"/>
          <w:sz w:val="17"/>
          <w:szCs w:val="17"/>
          <w:color w:val="auto"/>
        </w:rPr>
        <w:t>6500 Chase Oaks Blvd., Suite 100 Plano, Texas 75023</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rPr>
          <w:sz w:val="20"/>
          <w:szCs w:val="20"/>
          <w:color w:val="auto"/>
        </w:rPr>
      </w:pPr>
      <w:r>
        <w:rPr>
          <w:rFonts w:ascii="Arial" w:cs="Arial" w:eastAsia="Arial" w:hAnsi="Arial"/>
          <w:sz w:val="17"/>
          <w:szCs w:val="17"/>
          <w:color w:val="auto"/>
        </w:rPr>
        <w:t>​</w:t>
      </w:r>
    </w:p>
    <w:p>
      <w:pPr>
        <w:spacing w:after="0" w:line="993" w:lineRule="exact"/>
        <w:rPr>
          <w:sz w:val="20"/>
          <w:szCs w:val="20"/>
          <w:color w:val="auto"/>
        </w:rPr>
      </w:pPr>
    </w:p>
    <w:p>
      <w:pPr>
        <w:sectPr>
          <w:pgSz w:w="11900" w:h="16838" w:orient="portrait"/>
          <w:cols w:equalWidth="0" w:num="3">
            <w:col w:w="5560" w:space="720"/>
            <w:col w:w="2700" w:space="580"/>
            <w:col w:w="319"/>
          </w:cols>
          <w:pgMar w:left="580" w:top="97" w:right="1440" w:bottom="1440" w:gutter="0" w:footer="0" w:header="0"/>
          <w:type w:val="continuous"/>
        </w:sectPr>
      </w:pPr>
    </w:p>
    <w:p>
      <w:pPr>
        <w:ind w:left="920" w:right="259"/>
        <w:spacing w:after="0" w:line="237" w:lineRule="auto"/>
        <w:rPr>
          <w:sz w:val="20"/>
          <w:szCs w:val="20"/>
          <w:color w:val="auto"/>
        </w:rPr>
      </w:pPr>
      <w:r>
        <w:rPr>
          <w:rFonts w:ascii="Arial" w:cs="Arial" w:eastAsia="Arial" w:hAnsi="Arial"/>
          <w:sz w:val="18"/>
          <w:szCs w:val="18"/>
          <w:color w:val="auto"/>
        </w:rPr>
        <w:t>If you are a holder of record and would like to revoke your householding consent and receive a separate copy of the Notice of Internet Availability of Proxy Materials or printed proxy materials in the future, or are</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currently receiving multiple copies and would like to receive only one copy, please contact:</w:t>
      </w:r>
    </w:p>
    <w:p>
      <w:pPr>
        <w:sectPr>
          <w:pgSz w:w="11900" w:h="16838" w:orient="portrait"/>
          <w:cols w:equalWidth="0" w:num="1">
            <w:col w:w="9879"/>
          </w:cols>
          <w:pgMar w:left="580" w:top="97" w:right="1440" w:bottom="1440" w:gutter="0" w:footer="0" w:header="0"/>
          <w:type w:val="continuous"/>
        </w:sectPr>
      </w:pPr>
    </w:p>
    <w:p>
      <w:pPr>
        <w:spacing w:after="0" w:line="30" w:lineRule="exact"/>
        <w:rPr>
          <w:sz w:val="20"/>
          <w:szCs w:val="20"/>
          <w:color w:val="auto"/>
        </w:rPr>
      </w:pPr>
    </w:p>
    <w:tbl>
      <w:tblPr>
        <w:tblLayout w:type="fixed"/>
        <w:tblInd w:w="92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3640" w:type="dxa"/>
            <w:vAlign w:val="bottom"/>
          </w:tcPr>
          <w:p>
            <w:pPr>
              <w:ind w:left="3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3640" w:type="dxa"/>
            <w:vAlign w:val="bottom"/>
          </w:tcPr>
          <w:p>
            <w:pPr>
              <w:ind w:left="360"/>
              <w:spacing w:after="0"/>
              <w:rPr>
                <w:sz w:val="20"/>
                <w:szCs w:val="20"/>
                <w:color w:val="auto"/>
              </w:rPr>
            </w:pPr>
            <w:r>
              <w:rPr>
                <w:rFonts w:ascii="Arial" w:cs="Arial" w:eastAsia="Arial" w:hAnsi="Arial"/>
                <w:sz w:val="17"/>
                <w:szCs w:val="17"/>
                <w:color w:val="auto"/>
              </w:rPr>
              <w:t>​</w:t>
            </w: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spacing w:after="0"/>
              <w:rPr>
                <w:sz w:val="5"/>
                <w:szCs w:val="5"/>
                <w:color w:val="auto"/>
              </w:rPr>
            </w:pPr>
          </w:p>
        </w:tc>
        <w:tc>
          <w:tcPr>
            <w:tcW w:w="3640" w:type="dxa"/>
            <w:vAlign w:val="bottom"/>
          </w:tcPr>
          <w:p>
            <w:pPr>
              <w:ind w:left="34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line="68" w:lineRule="exact"/>
              <w:rPr>
                <w:sz w:val="20"/>
                <w:szCs w:val="20"/>
                <w:color w:val="auto"/>
              </w:rPr>
            </w:pPr>
            <w:r>
              <w:rPr>
                <w:rFonts w:ascii="Arial" w:cs="Arial" w:eastAsia="Arial" w:hAnsi="Arial"/>
                <w:sz w:val="7"/>
                <w:szCs w:val="7"/>
                <w:color w:val="auto"/>
              </w:rPr>
              <w:t>​</w:t>
            </w:r>
          </w:p>
        </w:tc>
        <w:tc>
          <w:tcPr>
            <w:tcW w:w="30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spacing w:after="0"/>
              <w:rPr>
                <w:sz w:val="5"/>
                <w:szCs w:val="5"/>
                <w:color w:val="auto"/>
              </w:rPr>
            </w:pPr>
          </w:p>
        </w:tc>
        <w:tc>
          <w:tcPr>
            <w:tcW w:w="3640" w:type="dxa"/>
            <w:vAlign w:val="bottom"/>
          </w:tcPr>
          <w:p>
            <w:pPr>
              <w:ind w:left="360"/>
              <w:spacing w:after="0" w:line="68" w:lineRule="exact"/>
              <w:rPr>
                <w:sz w:val="20"/>
                <w:szCs w:val="20"/>
                <w:color w:val="auto"/>
              </w:rPr>
            </w:pPr>
            <w:r>
              <w:rPr>
                <w:rFonts w:ascii="Arial" w:cs="Arial" w:eastAsia="Arial" w:hAnsi="Arial"/>
                <w:sz w:val="7"/>
                <w:szCs w:val="7"/>
                <w:color w:val="auto"/>
              </w:rPr>
              <w:t>​</w:t>
            </w:r>
          </w:p>
        </w:tc>
      </w:tr>
      <w:tr>
        <w:trPr>
          <w:trHeight w:val="108"/>
        </w:trPr>
        <w:tc>
          <w:tcPr>
            <w:tcW w:w="12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9"/>
                <w:szCs w:val="9"/>
                <w:color w:val="auto"/>
              </w:rPr>
            </w:pPr>
          </w:p>
        </w:tc>
        <w:tc>
          <w:tcPr>
            <w:tcW w:w="3640" w:type="dxa"/>
            <w:vAlign w:val="bottom"/>
          </w:tcPr>
          <w:p>
            <w:pPr>
              <w:ind w:left="340"/>
              <w:spacing w:after="0" w:line="108" w:lineRule="exact"/>
              <w:rPr>
                <w:sz w:val="20"/>
                <w:szCs w:val="20"/>
                <w:color w:val="auto"/>
              </w:rPr>
            </w:pPr>
            <w:r>
              <w:rPr>
                <w:rFonts w:ascii="Arial" w:cs="Arial" w:eastAsia="Arial" w:hAnsi="Arial"/>
                <w:sz w:val="12"/>
                <w:szCs w:val="12"/>
                <w:color w:val="auto"/>
              </w:rPr>
              <w:t>​</w:t>
            </w:r>
          </w:p>
        </w:tc>
        <w:tc>
          <w:tcPr>
            <w:tcW w:w="14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300" w:type="dxa"/>
            <w:vAlign w:val="bottom"/>
          </w:tcPr>
          <w:p>
            <w:pPr>
              <w:ind w:left="80"/>
              <w:spacing w:after="0" w:line="108"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9"/>
                <w:szCs w:val="9"/>
                <w:color w:val="auto"/>
              </w:rPr>
            </w:pPr>
          </w:p>
        </w:tc>
        <w:tc>
          <w:tcPr>
            <w:tcW w:w="3640" w:type="dxa"/>
            <w:vAlign w:val="bottom"/>
          </w:tcPr>
          <w:p>
            <w:pPr>
              <w:ind w:left="360"/>
              <w:spacing w:after="0" w:line="108" w:lineRule="exact"/>
              <w:rPr>
                <w:sz w:val="20"/>
                <w:szCs w:val="20"/>
                <w:color w:val="auto"/>
              </w:rPr>
            </w:pPr>
            <w:r>
              <w:rPr>
                <w:rFonts w:ascii="Arial" w:cs="Arial" w:eastAsia="Arial" w:hAnsi="Arial"/>
                <w:sz w:val="12"/>
                <w:szCs w:val="12"/>
                <w:color w:val="auto"/>
              </w:rPr>
              <w:t>​</w:t>
            </w:r>
          </w:p>
        </w:tc>
      </w:tr>
      <w:tr>
        <w:trPr>
          <w:trHeight w:val="72"/>
        </w:trPr>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40" w:type="dxa"/>
            <w:vAlign w:val="bottom"/>
          </w:tcPr>
          <w:p>
            <w:pPr>
              <w:ind w:left="340"/>
              <w:spacing w:after="0" w:line="73" w:lineRule="exact"/>
              <w:rPr>
                <w:sz w:val="20"/>
                <w:szCs w:val="20"/>
                <w:color w:val="auto"/>
              </w:rPr>
            </w:pPr>
            <w:r>
              <w:rPr>
                <w:rFonts w:ascii="Arial" w:cs="Arial" w:eastAsia="Arial" w:hAnsi="Arial"/>
                <w:sz w:val="7"/>
                <w:szCs w:val="7"/>
                <w:color w:val="auto"/>
              </w:rPr>
              <w:t>Broadridge Householding Department</w:t>
            </w: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40" w:type="dxa"/>
            <w:vAlign w:val="bottom"/>
          </w:tcPr>
          <w:p>
            <w:pPr>
              <w:ind w:left="360"/>
              <w:spacing w:after="0" w:line="73" w:lineRule="exact"/>
              <w:rPr>
                <w:sz w:val="20"/>
                <w:szCs w:val="20"/>
                <w:color w:val="auto"/>
              </w:rPr>
            </w:pPr>
            <w:r>
              <w:rPr>
                <w:rFonts w:ascii="Arial" w:cs="Arial" w:eastAsia="Arial" w:hAnsi="Arial"/>
                <w:sz w:val="7"/>
                <w:szCs w:val="7"/>
                <w:color w:val="auto"/>
              </w:rPr>
              <w:t>or by calling Broadridge Householding</w:t>
            </w:r>
          </w:p>
        </w:tc>
      </w:tr>
      <w:tr>
        <w:trPr>
          <w:trHeight w:val="189"/>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tcPr>
          <w:p>
            <w:pPr>
              <w:ind w:left="340"/>
              <w:spacing w:after="0" w:line="189" w:lineRule="exact"/>
              <w:rPr>
                <w:sz w:val="20"/>
                <w:szCs w:val="20"/>
                <w:color w:val="auto"/>
              </w:rPr>
            </w:pPr>
            <w:r>
              <w:rPr>
                <w:rFonts w:ascii="Arial" w:cs="Arial" w:eastAsia="Arial" w:hAnsi="Arial"/>
                <w:sz w:val="17"/>
                <w:szCs w:val="17"/>
                <w:color w:val="auto"/>
              </w:rPr>
              <w:t>51 Mercedes Way</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40" w:type="dxa"/>
            <w:vAlign w:val="bottom"/>
          </w:tcPr>
          <w:p>
            <w:pPr>
              <w:ind w:left="360"/>
              <w:spacing w:after="0" w:line="189" w:lineRule="exact"/>
              <w:rPr>
                <w:sz w:val="20"/>
                <w:szCs w:val="20"/>
                <w:color w:val="auto"/>
              </w:rPr>
            </w:pPr>
            <w:r>
              <w:rPr>
                <w:rFonts w:ascii="Arial" w:cs="Arial" w:eastAsia="Arial" w:hAnsi="Arial"/>
                <w:sz w:val="17"/>
                <w:szCs w:val="17"/>
                <w:color w:val="auto"/>
              </w:rPr>
              <w:t>Department at:</w:t>
            </w:r>
          </w:p>
        </w:tc>
      </w:tr>
      <w:tr>
        <w:trPr>
          <w:trHeight w:val="225"/>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40" w:type="dxa"/>
            <w:vAlign w:val="bottom"/>
          </w:tcPr>
          <w:p>
            <w:pPr>
              <w:ind w:left="340"/>
              <w:spacing w:after="0"/>
              <w:rPr>
                <w:sz w:val="20"/>
                <w:szCs w:val="20"/>
                <w:color w:val="auto"/>
              </w:rPr>
            </w:pPr>
            <w:r>
              <w:rPr>
                <w:rFonts w:ascii="Arial" w:cs="Arial" w:eastAsia="Arial" w:hAnsi="Arial"/>
                <w:sz w:val="17"/>
                <w:szCs w:val="17"/>
                <w:color w:val="auto"/>
              </w:rPr>
              <w:t>Edgewood, New York 11717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40" w:type="dxa"/>
            <w:vAlign w:val="bottom"/>
          </w:tcPr>
          <w:p>
            <w:pPr>
              <w:ind w:left="360"/>
              <w:spacing w:after="0"/>
              <w:rPr>
                <w:sz w:val="20"/>
                <w:szCs w:val="20"/>
                <w:color w:val="auto"/>
              </w:rPr>
            </w:pPr>
            <w:r>
              <w:rPr>
                <w:rFonts w:ascii="Arial" w:cs="Arial" w:eastAsia="Arial" w:hAnsi="Arial"/>
                <w:sz w:val="17"/>
                <w:szCs w:val="17"/>
                <w:color w:val="auto"/>
              </w:rPr>
              <w:t>1-866-540-7095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-410845</wp:posOffset>
            </wp:positionV>
            <wp:extent cx="54178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417820" cy="8255"/>
                    </a:xfrm>
                    <a:prstGeom prst="rect">
                      <a:avLst/>
                    </a:prstGeom>
                    <a:noFill/>
                  </pic:spPr>
                </pic:pic>
              </a:graphicData>
            </a:graphic>
          </wp:anchor>
        </w:drawing>
        <w:drawing>
          <wp:anchor simplePos="0" relativeHeight="251657728" behindDoc="1" locked="0" layoutInCell="0" allowOverlap="1">
            <wp:simplePos x="0" y="0"/>
            <wp:positionH relativeFrom="column">
              <wp:posOffset>722630</wp:posOffset>
            </wp:positionH>
            <wp:positionV relativeFrom="paragraph">
              <wp:posOffset>-359410</wp:posOffset>
            </wp:positionV>
            <wp:extent cx="240030" cy="2400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-359410</wp:posOffset>
            </wp:positionV>
            <wp:extent cx="171450" cy="2482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450"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rPr>
          <w:sz w:val="20"/>
          <w:szCs w:val="20"/>
          <w:color w:val="auto"/>
        </w:rPr>
      </w:pPr>
      <w:r>
        <w:rPr>
          <w:rFonts w:ascii="Arial" w:cs="Arial" w:eastAsia="Arial" w:hAnsi="Arial"/>
          <w:sz w:val="17"/>
          <w:szCs w:val="17"/>
          <w:color w:val="auto"/>
        </w:rPr>
        <w:t>​</w:t>
      </w:r>
    </w:p>
    <w:p>
      <w:pPr>
        <w:spacing w:after="0" w:line="615" w:lineRule="exact"/>
        <w:rPr>
          <w:sz w:val="20"/>
          <w:szCs w:val="20"/>
          <w:color w:val="auto"/>
        </w:rPr>
      </w:pPr>
    </w:p>
    <w:p>
      <w:pPr>
        <w:sectPr>
          <w:pgSz w:w="11900" w:h="16838" w:orient="portrait"/>
          <w:cols w:equalWidth="0" w:num="2">
            <w:col w:w="9560" w:space="0"/>
            <w:col w:w="319"/>
          </w:cols>
          <w:pgMar w:left="580" w:top="97" w:right="1440" w:bottom="1440" w:gutter="0" w:footer="0" w:header="0"/>
          <w:type w:val="continuous"/>
        </w:sectPr>
      </w:pPr>
    </w:p>
    <w:p>
      <w:pPr>
        <w:ind w:left="920" w:right="139"/>
        <w:spacing w:after="0" w:line="256" w:lineRule="auto"/>
        <w:rPr>
          <w:sz w:val="20"/>
          <w:szCs w:val="20"/>
          <w:color w:val="auto"/>
        </w:rPr>
      </w:pPr>
      <w:r>
        <w:rPr>
          <w:rFonts w:ascii="Arial" w:cs="Arial" w:eastAsia="Arial" w:hAnsi="Arial"/>
          <w:sz w:val="18"/>
          <w:szCs w:val="18"/>
          <w:color w:val="auto"/>
        </w:rPr>
        <w:t>A number of brokerage firms have instituted householding. If you hold your shares in “street name,” please contact your bank, broker or other holder of record to request information about householding.</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Form 10-K</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2025 Annual Report on Form 10-K for the year ended December 31, 2025, which was filed with the</w:t>
      </w:r>
    </w:p>
    <w:p>
      <w:pPr>
        <w:spacing w:after="0" w:line="14"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color w:val="auto"/>
        </w:rPr>
        <w:t>SEC on February 26, 2026, is being delivered without charge to stockholders in connection with this proxy solicitation. With the payment of an appropriate processing fee, we will provide copies of the exhibits to our</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2025 Annual Report on Form 10-K. Please address all such requests to our principal executive offices:</w:t>
      </w:r>
    </w:p>
    <w:p>
      <w:pPr>
        <w:spacing w:after="0" w:line="30" w:lineRule="exact"/>
        <w:rPr>
          <w:sz w:val="20"/>
          <w:szCs w:val="20"/>
          <w:color w:val="auto"/>
        </w:rPr>
      </w:pPr>
    </w:p>
    <w:tbl>
      <w:tblPr>
        <w:tblLayout w:type="fixed"/>
        <w:tblInd w:w="3400" w:type="dxa"/>
        <w:tblCellMar>
          <w:top w:w="0" w:type="dxa"/>
          <w:left w:w="0" w:type="dxa"/>
          <w:bottom w:w="0" w:type="dxa"/>
          <w:right w:w="0" w:type="dxa"/>
        </w:tblCellMar>
      </w:tblPr>
      <w:tr>
        <w:trPr>
          <w:trHeight w:val="195"/>
        </w:trPr>
        <w:tc>
          <w:tcPr>
            <w:tcW w:w="1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3140" w:type="dxa"/>
            <w:vAlign w:val="bottom"/>
          </w:tcPr>
          <w:p>
            <w:pPr>
              <w:ind w:left="3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spacing w:after="0"/>
              <w:rPr>
                <w:sz w:val="5"/>
                <w:szCs w:val="5"/>
                <w:color w:val="auto"/>
              </w:rPr>
            </w:pPr>
          </w:p>
        </w:tc>
        <w:tc>
          <w:tcPr>
            <w:tcW w:w="3140" w:type="dxa"/>
            <w:vAlign w:val="bottom"/>
          </w:tcPr>
          <w:p>
            <w:pPr>
              <w:ind w:left="360"/>
              <w:spacing w:after="0" w:line="68" w:lineRule="exact"/>
              <w:rPr>
                <w:sz w:val="20"/>
                <w:szCs w:val="20"/>
                <w:color w:val="auto"/>
              </w:rPr>
            </w:pPr>
            <w:r>
              <w:rPr>
                <w:rFonts w:ascii="Arial" w:cs="Arial" w:eastAsia="Arial" w:hAnsi="Arial"/>
                <w:sz w:val="7"/>
                <w:szCs w:val="7"/>
                <w:color w:val="auto"/>
              </w:rPr>
              <w:t>​</w:t>
            </w:r>
          </w:p>
        </w:tc>
        <w:tc>
          <w:tcPr>
            <w:tcW w:w="60" w:type="dxa"/>
            <w:vAlign w:val="bottom"/>
          </w:tcPr>
          <w:p>
            <w:pPr>
              <w:spacing w:after="0" w:line="68" w:lineRule="exact"/>
              <w:rPr>
                <w:sz w:val="20"/>
                <w:szCs w:val="20"/>
                <w:color w:val="auto"/>
              </w:rPr>
            </w:pPr>
            <w:r>
              <w:rPr>
                <w:rFonts w:ascii="Arial" w:cs="Arial" w:eastAsia="Arial" w:hAnsi="Arial"/>
                <w:sz w:val="7"/>
                <w:szCs w:val="7"/>
                <w:color w:val="auto"/>
              </w:rPr>
              <w:t>​</w:t>
            </w:r>
          </w:p>
        </w:tc>
      </w:tr>
      <w:tr>
        <w:trPr>
          <w:trHeight w:val="108"/>
        </w:trPr>
        <w:tc>
          <w:tcPr>
            <w:tcW w:w="12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400" w:type="dxa"/>
            <w:vAlign w:val="bottom"/>
          </w:tcPr>
          <w:p>
            <w:pPr>
              <w:spacing w:after="0"/>
              <w:rPr>
                <w:sz w:val="9"/>
                <w:szCs w:val="9"/>
                <w:color w:val="auto"/>
              </w:rPr>
            </w:pPr>
          </w:p>
        </w:tc>
        <w:tc>
          <w:tcPr>
            <w:tcW w:w="3140" w:type="dxa"/>
            <w:vAlign w:val="bottom"/>
          </w:tcPr>
          <w:p>
            <w:pPr>
              <w:ind w:left="360"/>
              <w:spacing w:after="0" w:line="108" w:lineRule="exact"/>
              <w:rPr>
                <w:sz w:val="20"/>
                <w:szCs w:val="20"/>
                <w:color w:val="auto"/>
              </w:rPr>
            </w:pPr>
            <w:r>
              <w:rPr>
                <w:rFonts w:ascii="Arial" w:cs="Arial" w:eastAsia="Arial" w:hAnsi="Arial"/>
                <w:sz w:val="12"/>
                <w:szCs w:val="12"/>
                <w:color w:val="auto"/>
              </w:rPr>
              <w:t>​</w:t>
            </w:r>
          </w:p>
        </w:tc>
        <w:tc>
          <w:tcPr>
            <w:tcW w:w="60" w:type="dxa"/>
            <w:vAlign w:val="bottom"/>
          </w:tcPr>
          <w:p>
            <w:pPr>
              <w:spacing w:after="0" w:line="108" w:lineRule="exact"/>
              <w:rPr>
                <w:sz w:val="20"/>
                <w:szCs w:val="20"/>
                <w:color w:val="auto"/>
              </w:rPr>
            </w:pPr>
            <w:r>
              <w:rPr>
                <w:rFonts w:ascii="Arial" w:cs="Arial" w:eastAsia="Arial" w:hAnsi="Arial"/>
                <w:sz w:val="12"/>
                <w:szCs w:val="12"/>
                <w:color w:val="auto"/>
              </w:rPr>
              <w:t>​</w:t>
            </w:r>
          </w:p>
        </w:tc>
      </w:tr>
      <w:tr>
        <w:trPr>
          <w:trHeight w:val="72"/>
        </w:trPr>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140" w:type="dxa"/>
            <w:vAlign w:val="bottom"/>
          </w:tcPr>
          <w:p>
            <w:pPr>
              <w:ind w:left="360"/>
              <w:spacing w:after="0" w:line="73" w:lineRule="exact"/>
              <w:rPr>
                <w:sz w:val="20"/>
                <w:szCs w:val="20"/>
                <w:color w:val="auto"/>
              </w:rPr>
            </w:pPr>
            <w:r>
              <w:rPr>
                <w:rFonts w:ascii="Arial" w:cs="Arial" w:eastAsia="Arial" w:hAnsi="Arial"/>
                <w:sz w:val="7"/>
                <w:szCs w:val="7"/>
                <w:color w:val="auto"/>
              </w:rPr>
              <w:t>Investor Relations Department</w:t>
            </w:r>
          </w:p>
        </w:tc>
        <w:tc>
          <w:tcPr>
            <w:tcW w:w="60" w:type="dxa"/>
            <w:vAlign w:val="bottom"/>
          </w:tcPr>
          <w:p>
            <w:pPr>
              <w:spacing w:after="0"/>
              <w:rPr>
                <w:sz w:val="6"/>
                <w:szCs w:val="6"/>
                <w:color w:val="auto"/>
              </w:rPr>
            </w:pPr>
          </w:p>
        </w:tc>
      </w:tr>
      <w:tr>
        <w:trPr>
          <w:trHeight w:val="189"/>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tcPr>
          <w:p>
            <w:pPr>
              <w:ind w:left="360"/>
              <w:spacing w:after="0" w:line="189" w:lineRule="exact"/>
              <w:rPr>
                <w:sz w:val="20"/>
                <w:szCs w:val="20"/>
                <w:color w:val="auto"/>
              </w:rPr>
            </w:pPr>
            <w:r>
              <w:rPr>
                <w:rFonts w:ascii="Arial" w:cs="Arial" w:eastAsia="Arial" w:hAnsi="Arial"/>
                <w:sz w:val="17"/>
                <w:szCs w:val="17"/>
                <w:color w:val="auto"/>
              </w:rPr>
              <w:t>Ribbon Communications Inc.</w:t>
            </w:r>
          </w:p>
        </w:tc>
        <w:tc>
          <w:tcPr>
            <w:tcW w:w="6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tcPr>
          <w:p>
            <w:pPr>
              <w:ind w:left="360"/>
              <w:spacing w:after="0" w:line="189" w:lineRule="exact"/>
              <w:rPr>
                <w:sz w:val="20"/>
                <w:szCs w:val="20"/>
                <w:color w:val="auto"/>
              </w:rPr>
            </w:pPr>
            <w:r>
              <w:rPr>
                <w:rFonts w:ascii="Arial" w:cs="Arial" w:eastAsia="Arial" w:hAnsi="Arial"/>
                <w:sz w:val="17"/>
                <w:szCs w:val="17"/>
                <w:color w:val="auto"/>
              </w:rPr>
              <w:t>Attn: Investor Relations</w:t>
            </w:r>
          </w:p>
        </w:tc>
        <w:tc>
          <w:tcPr>
            <w:tcW w:w="60" w:type="dxa"/>
            <w:vAlign w:val="bottom"/>
          </w:tcPr>
          <w:p>
            <w:pPr>
              <w:spacing w:after="0"/>
              <w:rPr>
                <w:sz w:val="16"/>
                <w:szCs w:val="16"/>
                <w:color w:val="auto"/>
              </w:rPr>
            </w:pPr>
          </w:p>
        </w:tc>
      </w:tr>
      <w:tr>
        <w:trPr>
          <w:trHeight w:val="189"/>
        </w:trPr>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40" w:type="dxa"/>
            <w:vAlign w:val="bottom"/>
          </w:tcPr>
          <w:p>
            <w:pPr>
              <w:ind w:left="360"/>
              <w:spacing w:after="0" w:line="189" w:lineRule="exact"/>
              <w:rPr>
                <w:sz w:val="20"/>
                <w:szCs w:val="20"/>
                <w:color w:val="auto"/>
              </w:rPr>
            </w:pPr>
            <w:r>
              <w:rPr>
                <w:rFonts w:ascii="Arial" w:cs="Arial" w:eastAsia="Arial" w:hAnsi="Arial"/>
                <w:sz w:val="17"/>
                <w:szCs w:val="17"/>
                <w:color w:val="auto"/>
              </w:rPr>
              <w:t>6500 Chase Oaks Blvd., Suite 100</w:t>
            </w:r>
          </w:p>
        </w:tc>
        <w:tc>
          <w:tcPr>
            <w:tcW w:w="60" w:type="dxa"/>
            <w:vAlign w:val="bottom"/>
          </w:tcPr>
          <w:p>
            <w:pPr>
              <w:spacing w:after="0"/>
              <w:rPr>
                <w:sz w:val="16"/>
                <w:szCs w:val="16"/>
                <w:color w:val="auto"/>
              </w:rPr>
            </w:pPr>
          </w:p>
        </w:tc>
      </w:tr>
      <w:tr>
        <w:trPr>
          <w:trHeight w:val="225"/>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40" w:type="dxa"/>
            <w:vAlign w:val="bottom"/>
          </w:tcPr>
          <w:p>
            <w:pPr>
              <w:ind w:left="360"/>
              <w:spacing w:after="0"/>
              <w:rPr>
                <w:sz w:val="20"/>
                <w:szCs w:val="20"/>
                <w:color w:val="auto"/>
              </w:rPr>
            </w:pPr>
            <w:r>
              <w:rPr>
                <w:rFonts w:ascii="Arial" w:cs="Arial" w:eastAsia="Arial" w:hAnsi="Arial"/>
                <w:sz w:val="17"/>
                <w:szCs w:val="17"/>
                <w:color w:val="auto"/>
              </w:rPr>
              <w:t>Plano, Texas 75023</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-650875</wp:posOffset>
            </wp:positionV>
            <wp:extent cx="225425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254250" cy="889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-599440</wp:posOffset>
            </wp:positionV>
            <wp:extent cx="240030" cy="2400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36"/>
          <w:szCs w:val="36"/>
          <w:b w:val="1"/>
          <w:bCs w:val="1"/>
          <w:color w:val="E7417A"/>
        </w:rPr>
        <w:t>Other Matters</w:t>
      </w:r>
    </w:p>
    <w:p>
      <w:pPr>
        <w:spacing w:after="0" w:line="145" w:lineRule="exact"/>
        <w:rPr>
          <w:sz w:val="20"/>
          <w:szCs w:val="20"/>
          <w:color w:val="auto"/>
        </w:rPr>
      </w:pPr>
    </w:p>
    <w:p>
      <w:pPr>
        <w:ind w:left="920" w:right="259"/>
        <w:spacing w:after="0" w:line="245" w:lineRule="auto"/>
        <w:rPr>
          <w:sz w:val="20"/>
          <w:szCs w:val="20"/>
          <w:color w:val="auto"/>
        </w:rPr>
      </w:pPr>
      <w:r>
        <w:rPr>
          <w:rFonts w:ascii="Arial" w:cs="Arial" w:eastAsia="Arial" w:hAnsi="Arial"/>
          <w:sz w:val="18"/>
          <w:szCs w:val="18"/>
          <w:color w:val="auto"/>
        </w:rPr>
        <w:t>Our Board knows of no other matters to be submitted at the 2026 Annual Meeting and the deadline under our by-laws for submission of matters by stockholders has passed. If any other matters properly come</w:t>
      </w:r>
    </w:p>
    <w:p>
      <w:pPr>
        <w:ind w:left="920" w:right="679"/>
        <w:spacing w:after="0" w:line="237" w:lineRule="auto"/>
        <w:rPr>
          <w:sz w:val="20"/>
          <w:szCs w:val="20"/>
          <w:color w:val="auto"/>
        </w:rPr>
      </w:pPr>
      <w:r>
        <w:rPr>
          <w:rFonts w:ascii="Arial" w:cs="Arial" w:eastAsia="Arial" w:hAnsi="Arial"/>
          <w:sz w:val="18"/>
          <w:szCs w:val="18"/>
          <w:color w:val="auto"/>
        </w:rPr>
        <w:t>before the meeting, it is the intention of the persons named in the enclosed form of proxy to vote the shares they represent in their discretion.</w:t>
      </w:r>
    </w:p>
    <w:p>
      <w:pPr>
        <w:spacing w:after="0" w:line="100" w:lineRule="exact"/>
        <w:rPr>
          <w:sz w:val="20"/>
          <w:szCs w:val="20"/>
          <w:color w:val="auto"/>
        </w:rPr>
      </w:pPr>
    </w:p>
    <w:p>
      <w:pPr>
        <w:ind w:left="920" w:right="599"/>
        <w:spacing w:after="0" w:line="271" w:lineRule="auto"/>
        <w:rPr>
          <w:sz w:val="20"/>
          <w:szCs w:val="20"/>
          <w:color w:val="auto"/>
        </w:rPr>
      </w:pPr>
      <w:r>
        <w:rPr>
          <w:rFonts w:ascii="Arial" w:cs="Arial" w:eastAsia="Arial" w:hAnsi="Arial"/>
          <w:sz w:val="18"/>
          <w:szCs w:val="18"/>
          <w:color w:val="auto"/>
        </w:rPr>
        <w:t>The accompanying proxy is solicited by and on behalf of our Board. We will pay the costs of soliciting proxies from stockholders. In addition to soliciting proxies by mail, by telephone and via</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78</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159385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E7417A"/>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9166BA"/>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4C4C4C"/>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9166BA"/>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54" w:lineRule="exact"/>
        <w:rPr>
          <w:sz w:val="20"/>
          <w:szCs w:val="20"/>
          <w:color w:val="auto"/>
        </w:rPr>
      </w:pPr>
    </w:p>
    <w:p>
      <w:pPr>
        <w:ind w:left="920" w:right="159"/>
        <w:spacing w:after="0" w:line="247" w:lineRule="auto"/>
        <w:rPr>
          <w:sz w:val="20"/>
          <w:szCs w:val="20"/>
          <w:color w:val="auto"/>
        </w:rPr>
      </w:pPr>
      <w:r>
        <w:rPr>
          <w:rFonts w:ascii="Arial" w:cs="Arial" w:eastAsia="Arial" w:hAnsi="Arial"/>
          <w:sz w:val="18"/>
          <w:szCs w:val="18"/>
          <w:color w:val="auto"/>
        </w:rPr>
        <w:t>the Internet, our directors, executive officers and other employees may solicit proxies, either personally or by other electronic means, on our behalf, without special compensation. We will also request brokerage houses, custodians, nominees and fiduciaries to forward copies of the proxy materials to those persons for whom they hold shares and request instructions for voting the proxies. We will reimburse such brokerage houses and other persons for their reasonable expenses in connection with this distribution.</w:t>
      </w:r>
    </w:p>
    <w:p>
      <w:pPr>
        <w:spacing w:after="0" w:line="133" w:lineRule="exact"/>
        <w:rPr>
          <w:sz w:val="20"/>
          <w:szCs w:val="20"/>
          <w:color w:val="auto"/>
        </w:rPr>
      </w:pPr>
    </w:p>
    <w:p>
      <w:pPr>
        <w:ind w:left="920"/>
        <w:spacing w:after="0"/>
        <w:tabs>
          <w:tab w:leader="none" w:pos="3520" w:val="left"/>
          <w:tab w:leader="none" w:pos="5160" w:val="left"/>
          <w:tab w:leader="none" w:pos="97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 ​ By Order of the Board of Directors,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-109220</wp:posOffset>
            </wp:positionV>
            <wp:extent cx="2588895" cy="9004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88895" cy="90043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18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880" w:type="dxa"/>
            <w:vAlign w:val="bottom"/>
          </w:tcPr>
          <w:p>
            <w:pPr>
              <w:ind w:left="940"/>
              <w:spacing w:after="0"/>
              <w:rPr>
                <w:sz w:val="20"/>
                <w:szCs w:val="20"/>
                <w:color w:val="auto"/>
              </w:rPr>
            </w:pPr>
            <w:r>
              <w:rPr>
                <w:rFonts w:ascii="Arial" w:cs="Arial" w:eastAsia="Arial" w:hAnsi="Arial"/>
                <w:sz w:val="17"/>
                <w:szCs w:val="17"/>
                <w:b w:val="1"/>
                <w:bCs w:val="1"/>
                <w:color w:val="62259D"/>
              </w:rPr>
              <w:t>Patrick W. Macken</w:t>
            </w:r>
          </w:p>
        </w:tc>
        <w:tc>
          <w:tcPr>
            <w:tcW w:w="440" w:type="dxa"/>
            <w:vAlign w:val="bottom"/>
          </w:tcPr>
          <w:p>
            <w:pPr>
              <w:spacing w:after="0"/>
              <w:rPr>
                <w:sz w:val="17"/>
                <w:szCs w:val="17"/>
                <w:color w:val="auto"/>
              </w:rPr>
            </w:pPr>
          </w:p>
        </w:tc>
      </w:tr>
      <w:tr>
        <w:trPr>
          <w:trHeight w:val="189"/>
        </w:trPr>
        <w:tc>
          <w:tcPr>
            <w:tcW w:w="18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880" w:type="dxa"/>
            <w:vAlign w:val="bottom"/>
          </w:tcPr>
          <w:p>
            <w:pPr>
              <w:ind w:left="940"/>
              <w:spacing w:after="0" w:line="189" w:lineRule="exact"/>
              <w:rPr>
                <w:sz w:val="20"/>
                <w:szCs w:val="20"/>
                <w:color w:val="auto"/>
              </w:rPr>
            </w:pPr>
            <w:r>
              <w:rPr>
                <w:rFonts w:ascii="Arial" w:cs="Arial" w:eastAsia="Arial" w:hAnsi="Arial"/>
                <w:sz w:val="17"/>
                <w:szCs w:val="17"/>
                <w:color w:val="auto"/>
              </w:rPr>
              <w:t>Executive Vice President, Chief Legal Officer</w:t>
            </w:r>
          </w:p>
        </w:tc>
        <w:tc>
          <w:tcPr>
            <w:tcW w:w="440" w:type="dxa"/>
            <w:vAlign w:val="bottom"/>
          </w:tcPr>
          <w:p>
            <w:pPr>
              <w:spacing w:after="0"/>
              <w:rPr>
                <w:sz w:val="16"/>
                <w:szCs w:val="16"/>
                <w:color w:val="auto"/>
              </w:rPr>
            </w:pPr>
          </w:p>
        </w:tc>
      </w:tr>
      <w:tr>
        <w:trPr>
          <w:trHeight w:val="225"/>
        </w:trPr>
        <w:tc>
          <w:tcPr>
            <w:tcW w:w="18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880" w:type="dxa"/>
            <w:vAlign w:val="bottom"/>
          </w:tcPr>
          <w:p>
            <w:pPr>
              <w:ind w:left="940"/>
              <w:spacing w:after="0"/>
              <w:rPr>
                <w:sz w:val="20"/>
                <w:szCs w:val="20"/>
                <w:color w:val="auto"/>
              </w:rPr>
            </w:pPr>
            <w:r>
              <w:rPr>
                <w:rFonts w:ascii="Arial" w:cs="Arial" w:eastAsia="Arial" w:hAnsi="Arial"/>
                <w:sz w:val="17"/>
                <w:szCs w:val="17"/>
                <w:color w:val="auto"/>
              </w:rPr>
              <w:t>and Corporate Secretary</w:t>
            </w:r>
          </w:p>
        </w:tc>
        <w:tc>
          <w:tcPr>
            <w:tcW w:w="440" w:type="dxa"/>
            <w:vAlign w:val="bottom"/>
          </w:tcPr>
          <w:p>
            <w:pPr>
              <w:spacing w:after="0"/>
              <w:rPr>
                <w:sz w:val="19"/>
                <w:szCs w:val="19"/>
                <w:color w:val="auto"/>
              </w:rPr>
            </w:pPr>
          </w:p>
        </w:tc>
      </w:tr>
      <w:tr>
        <w:trPr>
          <w:trHeight w:val="450"/>
        </w:trPr>
        <w:tc>
          <w:tcPr>
            <w:tcW w:w="1860" w:type="dxa"/>
            <w:vAlign w:val="bottom"/>
          </w:tcPr>
          <w:p>
            <w:pPr>
              <w:spacing w:after="0"/>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Plano, Texas</w:t>
            </w:r>
          </w:p>
        </w:tc>
        <w:tc>
          <w:tcPr>
            <w:tcW w:w="1720" w:type="dxa"/>
            <w:vAlign w:val="bottom"/>
          </w:tcPr>
          <w:p>
            <w:pPr>
              <w:ind w:left="760"/>
              <w:spacing w:after="0"/>
              <w:rPr>
                <w:sz w:val="20"/>
                <w:szCs w:val="20"/>
                <w:color w:val="auto"/>
              </w:rPr>
            </w:pPr>
            <w:r>
              <w:rPr>
                <w:rFonts w:ascii="Arial" w:cs="Arial" w:eastAsia="Arial" w:hAnsi="Arial"/>
                <w:sz w:val="17"/>
                <w:szCs w:val="17"/>
                <w:color w:val="auto"/>
              </w:rPr>
              <w:t>​ ​ ​</w:t>
            </w:r>
          </w:p>
        </w:tc>
        <w:tc>
          <w:tcPr>
            <w:tcW w:w="4880" w:type="dxa"/>
            <w:vAlign w:val="bottom"/>
          </w:tcPr>
          <w:p>
            <w:pPr>
              <w:ind w:left="680"/>
              <w:spacing w:after="0"/>
              <w:rPr>
                <w:sz w:val="20"/>
                <w:szCs w:val="20"/>
                <w:color w:val="auto"/>
              </w:rPr>
            </w:pPr>
            <w:r>
              <w:rPr>
                <w:rFonts w:ascii="Arial" w:cs="Arial" w:eastAsia="Arial" w:hAnsi="Arial"/>
                <w:sz w:val="17"/>
                <w:szCs w:val="17"/>
                <w:color w:val="auto"/>
              </w:rPr>
              <w:t>​ ​ ​</w:t>
            </w:r>
          </w:p>
        </w:tc>
        <w:tc>
          <w:tcPr>
            <w:tcW w:w="440" w:type="dxa"/>
            <w:vAlign w:val="bottom"/>
          </w:tcPr>
          <w:p>
            <w:pPr>
              <w:ind w:left="380"/>
              <w:spacing w:after="0"/>
              <w:rPr>
                <w:sz w:val="20"/>
                <w:szCs w:val="20"/>
                <w:color w:val="auto"/>
              </w:rPr>
            </w:pPr>
            <w:r>
              <w:rPr>
                <w:rFonts w:ascii="Arial" w:cs="Arial" w:eastAsia="Arial" w:hAnsi="Arial"/>
                <w:sz w:val="17"/>
                <w:szCs w:val="17"/>
                <w:color w:val="auto"/>
              </w:rPr>
              <w:t>​</w:t>
            </w:r>
          </w:p>
        </w:tc>
      </w:tr>
      <w:tr>
        <w:trPr>
          <w:trHeight w:val="225"/>
        </w:trPr>
        <w:tc>
          <w:tcPr>
            <w:tcW w:w="1860" w:type="dxa"/>
            <w:vAlign w:val="bottom"/>
          </w:tcPr>
          <w:p>
            <w:pPr>
              <w:ind w:left="20"/>
              <w:spacing w:after="0"/>
              <w:rPr>
                <w:sz w:val="20"/>
                <w:szCs w:val="20"/>
                <w:color w:val="auto"/>
              </w:rPr>
            </w:pPr>
            <w:r>
              <w:rPr>
                <w:rFonts w:ascii="Arial" w:cs="Arial" w:eastAsia="Arial" w:hAnsi="Arial"/>
                <w:sz w:val="17"/>
                <w:szCs w:val="17"/>
                <w:color w:val="auto"/>
              </w:rPr>
              <w:t>April 17, 2026</w:t>
            </w:r>
          </w:p>
        </w:tc>
        <w:tc>
          <w:tcPr>
            <w:tcW w:w="17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16" w:lineRule="exact"/>
        <w:rPr>
          <w:sz w:val="20"/>
          <w:szCs w:val="20"/>
          <w:color w:val="auto"/>
        </w:rPr>
      </w:pPr>
    </w:p>
    <w:p>
      <w:pPr>
        <w:ind w:left="920"/>
        <w:spacing w:after="0"/>
        <w:rPr>
          <w:sz w:val="20"/>
          <w:szCs w:val="20"/>
          <w:color w:val="auto"/>
        </w:rPr>
      </w:pPr>
      <w:r>
        <w:rPr>
          <w:rFonts w:ascii="Arial" w:cs="Arial" w:eastAsia="Arial" w:hAnsi="Arial"/>
          <w:sz w:val="43"/>
          <w:szCs w:val="43"/>
          <w:b w:val="1"/>
          <w:bCs w:val="1"/>
          <w:color w:val="62259D"/>
        </w:rPr>
        <w:t>APPENDIX A</w:t>
      </w:r>
    </w:p>
    <w:p>
      <w:pPr>
        <w:spacing w:after="0" w:line="146"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E7417A"/>
        </w:rPr>
        <w:t>RECONCILIATION OF NON-GAAP FINANCIAL MEASURES</w:t>
      </w:r>
    </w:p>
    <w:p>
      <w:pPr>
        <w:spacing w:after="0" w:line="139" w:lineRule="exact"/>
        <w:rPr>
          <w:sz w:val="20"/>
          <w:szCs w:val="20"/>
          <w:color w:val="auto"/>
        </w:rPr>
      </w:pPr>
    </w:p>
    <w:p>
      <w:pPr>
        <w:ind w:left="920" w:right="279"/>
        <w:spacing w:after="0" w:line="245" w:lineRule="auto"/>
        <w:rPr>
          <w:sz w:val="20"/>
          <w:szCs w:val="20"/>
          <w:color w:val="auto"/>
        </w:rPr>
      </w:pPr>
      <w:r>
        <w:rPr>
          <w:rFonts w:ascii="Arial" w:cs="Arial" w:eastAsia="Arial" w:hAnsi="Arial"/>
          <w:sz w:val="18"/>
          <w:szCs w:val="18"/>
          <w:color w:val="auto"/>
        </w:rPr>
        <w:t>Our management uses several different financial measures, both GAAP and non-GAAP, in analyzing and assessing the overall performance of our business, making operating decisions, planning and forecasting</w:t>
      </w:r>
    </w:p>
    <w:p>
      <w:pPr>
        <w:ind w:left="920" w:right="479"/>
        <w:spacing w:after="0" w:line="226" w:lineRule="auto"/>
        <w:rPr>
          <w:sz w:val="20"/>
          <w:szCs w:val="20"/>
          <w:color w:val="auto"/>
        </w:rPr>
      </w:pPr>
      <w:r>
        <w:rPr>
          <w:rFonts w:ascii="Arial" w:cs="Arial" w:eastAsia="Arial" w:hAnsi="Arial"/>
          <w:sz w:val="18"/>
          <w:szCs w:val="18"/>
          <w:color w:val="auto"/>
        </w:rPr>
        <w:t>future periods, and determining payments under compensation programs. We consider the use of non-GAAP financial measures helpful in assessing the core performance of our continuing operations and</w:t>
      </w:r>
    </w:p>
    <w:p>
      <w:pPr>
        <w:ind w:left="920"/>
        <w:spacing w:after="0" w:line="236" w:lineRule="auto"/>
        <w:rPr>
          <w:sz w:val="20"/>
          <w:szCs w:val="20"/>
          <w:color w:val="auto"/>
        </w:rPr>
      </w:pPr>
      <w:r>
        <w:rPr>
          <w:rFonts w:ascii="Arial" w:cs="Arial" w:eastAsia="Arial" w:hAnsi="Arial"/>
          <w:sz w:val="18"/>
          <w:szCs w:val="18"/>
          <w:color w:val="auto"/>
        </w:rPr>
        <w:t>when planning and forecasting future periods. Our annual financial plan is prepared on a non-GAAP basis</w:t>
      </w:r>
    </w:p>
    <w:p>
      <w:pPr>
        <w:spacing w:after="0" w:line="1" w:lineRule="exact"/>
        <w:rPr>
          <w:sz w:val="20"/>
          <w:szCs w:val="20"/>
          <w:color w:val="auto"/>
        </w:rPr>
      </w:pPr>
    </w:p>
    <w:p>
      <w:pPr>
        <w:ind w:left="920" w:right="699"/>
        <w:spacing w:after="0" w:line="226" w:lineRule="auto"/>
        <w:rPr>
          <w:sz w:val="20"/>
          <w:szCs w:val="20"/>
          <w:color w:val="auto"/>
        </w:rPr>
      </w:pPr>
      <w:r>
        <w:rPr>
          <w:rFonts w:ascii="Arial" w:cs="Arial" w:eastAsia="Arial" w:hAnsi="Arial"/>
          <w:sz w:val="18"/>
          <w:szCs w:val="18"/>
          <w:color w:val="auto"/>
        </w:rPr>
        <w:t>and is approved by our Board. In addition, budgeting and forecasting for revenue and expenses are conducted on a non-GAAP basis, and actual results on a non-GAAP basis are assessed against the</w:t>
      </w:r>
    </w:p>
    <w:p>
      <w:pPr>
        <w:ind w:left="920"/>
        <w:spacing w:after="0" w:line="236" w:lineRule="auto"/>
        <w:rPr>
          <w:sz w:val="20"/>
          <w:szCs w:val="20"/>
          <w:color w:val="auto"/>
        </w:rPr>
      </w:pPr>
      <w:r>
        <w:rPr>
          <w:rFonts w:ascii="Arial" w:cs="Arial" w:eastAsia="Arial" w:hAnsi="Arial"/>
          <w:sz w:val="18"/>
          <w:szCs w:val="18"/>
          <w:color w:val="auto"/>
        </w:rPr>
        <w:t>annual financial plan. We define continuing operations as the ongoing results of our business adjusted for</w:t>
      </w:r>
    </w:p>
    <w:p>
      <w:pPr>
        <w:spacing w:after="0" w:line="1"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color w:val="auto"/>
        </w:rPr>
        <w:t>certain expenses and credits, as described below. We believe that providing non-GAAP information to investors will allow investors to view the financial results in the way our management views them and helps</w:t>
      </w:r>
    </w:p>
    <w:p>
      <w:pPr>
        <w:spacing w:after="0" w:line="2" w:lineRule="exact"/>
        <w:rPr>
          <w:sz w:val="20"/>
          <w:szCs w:val="20"/>
          <w:color w:val="auto"/>
        </w:rPr>
      </w:pPr>
    </w:p>
    <w:p>
      <w:pPr>
        <w:jc w:val="both"/>
        <w:ind w:left="920" w:right="359"/>
        <w:spacing w:after="0" w:line="250" w:lineRule="auto"/>
        <w:rPr>
          <w:sz w:val="20"/>
          <w:szCs w:val="20"/>
          <w:color w:val="auto"/>
        </w:rPr>
      </w:pPr>
      <w:r>
        <w:rPr>
          <w:rFonts w:ascii="Arial" w:cs="Arial" w:eastAsia="Arial" w:hAnsi="Arial"/>
          <w:sz w:val="18"/>
          <w:szCs w:val="18"/>
          <w:color w:val="auto"/>
        </w:rPr>
        <w:t>investors to better understand our core financial and operating performance and evaluate the efficacy of the methodology and information used by our management to evaluate and measure such performance.</w:t>
      </w:r>
    </w:p>
    <w:p>
      <w:pPr>
        <w:spacing w:after="0" w:line="91" w:lineRule="exact"/>
        <w:rPr>
          <w:sz w:val="20"/>
          <w:szCs w:val="20"/>
          <w:color w:val="auto"/>
        </w:rPr>
      </w:pPr>
    </w:p>
    <w:p>
      <w:pPr>
        <w:ind w:left="920" w:right="279"/>
        <w:spacing w:after="0" w:line="237" w:lineRule="auto"/>
        <w:rPr>
          <w:sz w:val="20"/>
          <w:szCs w:val="20"/>
          <w:color w:val="auto"/>
        </w:rPr>
      </w:pPr>
      <w:r>
        <w:rPr>
          <w:rFonts w:ascii="Arial" w:cs="Arial" w:eastAsia="Arial" w:hAnsi="Arial"/>
          <w:sz w:val="18"/>
          <w:szCs w:val="18"/>
          <w:color w:val="auto"/>
        </w:rPr>
        <w:t>While our management uses non-GAAP financial measures as tools to enhance its understanding of certain aspects of our financial performance, our management does not consider these measures to be a</w:t>
      </w:r>
    </w:p>
    <w:p>
      <w:pPr>
        <w:ind w:left="920"/>
        <w:spacing w:after="0" w:line="235" w:lineRule="auto"/>
        <w:rPr>
          <w:sz w:val="20"/>
          <w:szCs w:val="20"/>
          <w:color w:val="auto"/>
        </w:rPr>
      </w:pPr>
      <w:r>
        <w:rPr>
          <w:rFonts w:ascii="Arial" w:cs="Arial" w:eastAsia="Arial" w:hAnsi="Arial"/>
          <w:sz w:val="18"/>
          <w:szCs w:val="18"/>
          <w:color w:val="auto"/>
        </w:rPr>
        <w:t>substitute for, or superior to, GAAP measures. In addition, our presentations of these measures may not be</w:t>
      </w:r>
    </w:p>
    <w:p>
      <w:pPr>
        <w:spacing w:after="0" w:line="1" w:lineRule="exact"/>
        <w:rPr>
          <w:sz w:val="20"/>
          <w:szCs w:val="20"/>
          <w:color w:val="auto"/>
        </w:rPr>
      </w:pPr>
    </w:p>
    <w:p>
      <w:pPr>
        <w:ind w:left="920" w:right="419"/>
        <w:spacing w:after="0" w:line="226" w:lineRule="auto"/>
        <w:rPr>
          <w:sz w:val="20"/>
          <w:szCs w:val="20"/>
          <w:color w:val="auto"/>
        </w:rPr>
      </w:pPr>
      <w:r>
        <w:rPr>
          <w:rFonts w:ascii="Arial" w:cs="Arial" w:eastAsia="Arial" w:hAnsi="Arial"/>
          <w:sz w:val="18"/>
          <w:szCs w:val="18"/>
          <w:color w:val="auto"/>
        </w:rPr>
        <w:t>comparable to similarly titled measures used by other companies. These non-GAAP financial measures should not be considered alternatives for, or in isolation from, the financial information prepared and</w:t>
      </w:r>
    </w:p>
    <w:p>
      <w:pPr>
        <w:ind w:left="920"/>
        <w:spacing w:after="0" w:line="236" w:lineRule="auto"/>
        <w:rPr>
          <w:sz w:val="20"/>
          <w:szCs w:val="20"/>
          <w:color w:val="auto"/>
        </w:rPr>
      </w:pPr>
      <w:r>
        <w:rPr>
          <w:rFonts w:ascii="Arial" w:cs="Arial" w:eastAsia="Arial" w:hAnsi="Arial"/>
          <w:sz w:val="18"/>
          <w:szCs w:val="18"/>
          <w:color w:val="auto"/>
        </w:rPr>
        <w:t>presented in accordance with GAAP. Investors are cautioned that there are material limitations associated</w:t>
      </w:r>
    </w:p>
    <w:p>
      <w:pPr>
        <w:spacing w:after="0" w:line="1" w:lineRule="exact"/>
        <w:rPr>
          <w:sz w:val="20"/>
          <w:szCs w:val="20"/>
          <w:color w:val="auto"/>
        </w:rPr>
      </w:pPr>
    </w:p>
    <w:p>
      <w:pPr>
        <w:ind w:left="920" w:right="159"/>
        <w:spacing w:after="0" w:line="226" w:lineRule="auto"/>
        <w:rPr>
          <w:sz w:val="20"/>
          <w:szCs w:val="20"/>
          <w:color w:val="auto"/>
        </w:rPr>
      </w:pPr>
      <w:r>
        <w:rPr>
          <w:rFonts w:ascii="Arial" w:cs="Arial" w:eastAsia="Arial" w:hAnsi="Arial"/>
          <w:sz w:val="18"/>
          <w:szCs w:val="18"/>
          <w:color w:val="auto"/>
        </w:rPr>
        <w:t>with the use of non-GAAP financial measures. In particular, many of the adjustments to our financial measures reflect the exclusion of items that are recurring and will be reflected in its financial results for the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foreseeable future.</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Stock-Based Compensation</w:t>
      </w:r>
    </w:p>
    <w:p>
      <w:pPr>
        <w:spacing w:after="0" w:line="139" w:lineRule="exact"/>
        <w:rPr>
          <w:sz w:val="20"/>
          <w:szCs w:val="20"/>
          <w:color w:val="auto"/>
        </w:rPr>
      </w:pPr>
    </w:p>
    <w:p>
      <w:pPr>
        <w:ind w:left="920" w:right="119"/>
        <w:spacing w:after="0" w:line="237" w:lineRule="auto"/>
        <w:rPr>
          <w:sz w:val="20"/>
          <w:szCs w:val="20"/>
          <w:color w:val="auto"/>
        </w:rPr>
      </w:pPr>
      <w:r>
        <w:rPr>
          <w:rFonts w:ascii="Arial" w:cs="Arial" w:eastAsia="Arial" w:hAnsi="Arial"/>
          <w:sz w:val="18"/>
          <w:szCs w:val="18"/>
          <w:color w:val="auto"/>
        </w:rPr>
        <w:t>The expense related to stock-based awards is generally not controllable in the short- term and can vary significantly based on the timing, size and nature of awards granted. We believe that presenting non-GAAP</w:t>
      </w:r>
    </w:p>
    <w:p>
      <w:pPr>
        <w:spacing w:after="0" w:line="1" w:lineRule="exact"/>
        <w:rPr>
          <w:sz w:val="20"/>
          <w:szCs w:val="20"/>
          <w:color w:val="auto"/>
        </w:rPr>
      </w:pPr>
    </w:p>
    <w:p>
      <w:pPr>
        <w:ind w:left="920" w:right="279"/>
        <w:spacing w:after="0" w:line="250" w:lineRule="auto"/>
        <w:rPr>
          <w:sz w:val="20"/>
          <w:szCs w:val="20"/>
          <w:color w:val="auto"/>
        </w:rPr>
      </w:pPr>
      <w:r>
        <w:rPr>
          <w:rFonts w:ascii="Arial" w:cs="Arial" w:eastAsia="Arial" w:hAnsi="Arial"/>
          <w:sz w:val="18"/>
          <w:szCs w:val="18"/>
          <w:color w:val="auto"/>
        </w:rPr>
        <w:t>operating results that exclude stock-based compensation provides investors with visibility and insight into its management’s method of analysis and its core operating performance.</w:t>
      </w:r>
    </w:p>
    <w:p>
      <w:pPr>
        <w:spacing w:after="0" w:line="167" w:lineRule="exact"/>
        <w:rPr>
          <w:sz w:val="20"/>
          <w:szCs w:val="20"/>
          <w:color w:val="auto"/>
        </w:rPr>
      </w:pPr>
    </w:p>
    <w:p>
      <w:pPr>
        <w:ind w:left="920" w:right="299"/>
        <w:spacing w:after="0" w:line="298" w:lineRule="auto"/>
        <w:rPr>
          <w:sz w:val="20"/>
          <w:szCs w:val="20"/>
          <w:color w:val="auto"/>
        </w:rPr>
      </w:pPr>
      <w:r>
        <w:rPr>
          <w:rFonts w:ascii="Arial" w:cs="Arial" w:eastAsia="Arial" w:hAnsi="Arial"/>
          <w:sz w:val="20"/>
          <w:szCs w:val="20"/>
          <w:b w:val="1"/>
          <w:bCs w:val="1"/>
          <w:color w:val="auto"/>
        </w:rPr>
        <w:t>Amortization of Acquired Technology (including software licenses); Amortization of Acquired Intangible Assets</w:t>
      </w:r>
    </w:p>
    <w:p>
      <w:pPr>
        <w:spacing w:after="0" w:line="41" w:lineRule="exact"/>
        <w:rPr>
          <w:sz w:val="20"/>
          <w:szCs w:val="20"/>
          <w:color w:val="auto"/>
        </w:rPr>
      </w:pPr>
    </w:p>
    <w:p>
      <w:pPr>
        <w:ind w:left="920" w:right="359"/>
        <w:spacing w:after="0" w:line="237" w:lineRule="auto"/>
        <w:rPr>
          <w:sz w:val="20"/>
          <w:szCs w:val="20"/>
          <w:color w:val="auto"/>
        </w:rPr>
      </w:pPr>
      <w:r>
        <w:rPr>
          <w:rFonts w:ascii="Arial" w:cs="Arial" w:eastAsia="Arial" w:hAnsi="Arial"/>
          <w:sz w:val="18"/>
          <w:szCs w:val="18"/>
          <w:color w:val="auto"/>
        </w:rPr>
        <w:t>Amortization amounts are inconsistent in frequency and amount and are significantly impacted by the timing and size of acquisitions. Amortization of acquired technology is reported separately within Cost of</w:t>
      </w:r>
    </w:p>
    <w:p>
      <w:pPr>
        <w:ind w:left="920"/>
        <w:spacing w:after="0" w:line="235" w:lineRule="auto"/>
        <w:rPr>
          <w:sz w:val="20"/>
          <w:szCs w:val="20"/>
          <w:color w:val="auto"/>
        </w:rPr>
      </w:pPr>
      <w:r>
        <w:rPr>
          <w:rFonts w:ascii="Arial" w:cs="Arial" w:eastAsia="Arial" w:hAnsi="Arial"/>
          <w:sz w:val="18"/>
          <w:szCs w:val="18"/>
          <w:color w:val="auto"/>
        </w:rPr>
        <w:t>revenue and Amortization of acquired intangible assets is reported separately within Operating expenses.</w:t>
      </w:r>
    </w:p>
    <w:p>
      <w:pPr>
        <w:spacing w:after="0" w:line="1" w:lineRule="exact"/>
        <w:rPr>
          <w:sz w:val="20"/>
          <w:szCs w:val="20"/>
          <w:color w:val="auto"/>
        </w:rPr>
      </w:pPr>
    </w:p>
    <w:p>
      <w:pPr>
        <w:ind w:left="920" w:right="379"/>
        <w:spacing w:after="0" w:line="226" w:lineRule="auto"/>
        <w:rPr>
          <w:sz w:val="20"/>
          <w:szCs w:val="20"/>
          <w:color w:val="auto"/>
        </w:rPr>
      </w:pPr>
      <w:r>
        <w:rPr>
          <w:rFonts w:ascii="Arial" w:cs="Arial" w:eastAsia="Arial" w:hAnsi="Arial"/>
          <w:sz w:val="18"/>
          <w:szCs w:val="18"/>
          <w:color w:val="auto"/>
        </w:rPr>
        <w:t>These items are reported collectively as Amortization of acquired intangible assets in the accompanying reconciliations of non-GAAP and GAAP financial measures. We believe that excluding non-cash</w:t>
      </w:r>
    </w:p>
    <w:p>
      <w:pPr>
        <w:ind w:left="920"/>
        <w:spacing w:after="0" w:line="236" w:lineRule="auto"/>
        <w:rPr>
          <w:sz w:val="20"/>
          <w:szCs w:val="20"/>
          <w:color w:val="auto"/>
        </w:rPr>
      </w:pPr>
      <w:r>
        <w:rPr>
          <w:rFonts w:ascii="Arial" w:cs="Arial" w:eastAsia="Arial" w:hAnsi="Arial"/>
          <w:sz w:val="18"/>
          <w:szCs w:val="18"/>
          <w:color w:val="auto"/>
        </w:rPr>
        <w:t>amortization of these intangible assets facilitates the comparison of our financial results to our historical</w:t>
      </w:r>
    </w:p>
    <w:p>
      <w:pPr>
        <w:spacing w:after="0" w:line="1" w:lineRule="exact"/>
        <w:rPr>
          <w:sz w:val="20"/>
          <w:szCs w:val="20"/>
          <w:color w:val="auto"/>
        </w:rPr>
      </w:pPr>
    </w:p>
    <w:p>
      <w:pPr>
        <w:ind w:left="920" w:right="659"/>
        <w:spacing w:after="0" w:line="237" w:lineRule="auto"/>
        <w:rPr>
          <w:sz w:val="20"/>
          <w:szCs w:val="20"/>
          <w:color w:val="auto"/>
        </w:rPr>
      </w:pPr>
      <w:r>
        <w:rPr>
          <w:rFonts w:ascii="Arial" w:cs="Arial" w:eastAsia="Arial" w:hAnsi="Arial"/>
          <w:sz w:val="18"/>
          <w:szCs w:val="18"/>
          <w:color w:val="auto"/>
        </w:rPr>
        <w:t>operating results and to other companies in its industry as if the acquired intangible assets had been developed internally rather than acquired.</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Litigation Costs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connection with certain ongoing litigation where Ribbon is the defendant (as described in our</w:t>
      </w:r>
    </w:p>
    <w:p>
      <w:pPr>
        <w:spacing w:after="0" w:line="14" w:lineRule="exact"/>
        <w:rPr>
          <w:sz w:val="20"/>
          <w:szCs w:val="20"/>
          <w:color w:val="auto"/>
        </w:rPr>
      </w:pPr>
    </w:p>
    <w:p>
      <w:pPr>
        <w:ind w:left="920" w:right="319"/>
        <w:spacing w:after="0" w:line="226" w:lineRule="auto"/>
        <w:rPr>
          <w:sz w:val="20"/>
          <w:szCs w:val="20"/>
          <w:color w:val="auto"/>
        </w:rPr>
      </w:pPr>
      <w:r>
        <w:rPr>
          <w:rFonts w:ascii="Arial" w:cs="Arial" w:eastAsia="Arial" w:hAnsi="Arial"/>
          <w:sz w:val="18"/>
          <w:szCs w:val="18"/>
          <w:color w:val="auto"/>
        </w:rPr>
        <w:t>Commitments and Contingencies footnotes in our Annual Report, we have incurred litigation costs beginning in 2023. These costs are included as a component of general and administrative expense. We</w:t>
      </w:r>
    </w:p>
    <w:p>
      <w:pPr>
        <w:ind w:left="920"/>
        <w:spacing w:after="0" w:line="236" w:lineRule="auto"/>
        <w:rPr>
          <w:sz w:val="20"/>
          <w:szCs w:val="20"/>
          <w:color w:val="auto"/>
        </w:rPr>
      </w:pPr>
      <w:r>
        <w:rPr>
          <w:rFonts w:ascii="Arial" w:cs="Arial" w:eastAsia="Arial" w:hAnsi="Arial"/>
          <w:sz w:val="18"/>
          <w:szCs w:val="18"/>
          <w:color w:val="auto"/>
        </w:rPr>
        <w:t>believe that such costs are not part of our core business or ongoing operations, are unplanned, and</w:t>
      </w:r>
    </w:p>
    <w:p>
      <w:pPr>
        <w:spacing w:after="0" w:line="1" w:lineRule="exact"/>
        <w:rPr>
          <w:sz w:val="20"/>
          <w:szCs w:val="20"/>
          <w:color w:val="auto"/>
        </w:rPr>
      </w:pPr>
    </w:p>
    <w:p>
      <w:pPr>
        <w:ind w:left="920" w:right="259"/>
        <w:spacing w:after="0" w:line="226" w:lineRule="auto"/>
        <w:rPr>
          <w:sz w:val="20"/>
          <w:szCs w:val="20"/>
          <w:color w:val="auto"/>
        </w:rPr>
      </w:pPr>
      <w:r>
        <w:rPr>
          <w:rFonts w:ascii="Arial" w:cs="Arial" w:eastAsia="Arial" w:hAnsi="Arial"/>
          <w:sz w:val="18"/>
          <w:szCs w:val="18"/>
          <w:color w:val="auto"/>
        </w:rPr>
        <w:t>generally are not within our control. Accordingly, we believe that excluding litigation costs related to these specific legal matters facilitates the comparison of our financial results to our historical operating results</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to other companies in our industry.</w:t>
      </w:r>
    </w:p>
    <w:p>
      <w:pPr>
        <w:spacing w:after="0" w:line="180"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Cybersecurity Incident</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recorded expenses associated with responding to and remediating a cybersecurity incident,</w:t>
      </w:r>
    </w:p>
    <w:p>
      <w:pPr>
        <w:spacing w:after="0" w:line="14" w:lineRule="exact"/>
        <w:rPr>
          <w:sz w:val="20"/>
          <w:szCs w:val="20"/>
          <w:color w:val="auto"/>
        </w:rPr>
      </w:pPr>
    </w:p>
    <w:p>
      <w:pPr>
        <w:ind w:left="920" w:right="299"/>
        <w:spacing w:after="0" w:line="226" w:lineRule="auto"/>
        <w:rPr>
          <w:sz w:val="20"/>
          <w:szCs w:val="20"/>
          <w:color w:val="auto"/>
        </w:rPr>
      </w:pPr>
      <w:r>
        <w:rPr>
          <w:rFonts w:ascii="Arial" w:cs="Arial" w:eastAsia="Arial" w:hAnsi="Arial"/>
          <w:sz w:val="18"/>
          <w:szCs w:val="18"/>
          <w:color w:val="auto"/>
        </w:rPr>
        <w:t>including costs for external legal services, cybersecurity experts, and IT restoration activities. We believe that excluding these expenses facilitates the comparison of its financial results to its historical operating</w:t>
      </w:r>
    </w:p>
    <w:p>
      <w:pPr>
        <w:spacing w:after="0" w:line="2" w:lineRule="exact"/>
        <w:rPr>
          <w:sz w:val="20"/>
          <w:szCs w:val="20"/>
          <w:color w:val="auto"/>
        </w:rPr>
      </w:pPr>
    </w:p>
    <w:p>
      <w:pPr>
        <w:ind w:left="920" w:right="119"/>
        <w:spacing w:after="0" w:line="250" w:lineRule="auto"/>
        <w:rPr>
          <w:sz w:val="20"/>
          <w:szCs w:val="20"/>
          <w:color w:val="auto"/>
        </w:rPr>
      </w:pPr>
      <w:r>
        <w:rPr>
          <w:rFonts w:ascii="Arial" w:cs="Arial" w:eastAsia="Arial" w:hAnsi="Arial"/>
          <w:sz w:val="18"/>
          <w:szCs w:val="18"/>
          <w:color w:val="auto"/>
        </w:rPr>
        <w:t>performance and to other companies in our industry, as these costs are non-recurring in nature and are not associated with future revenue streams or ongoing operational benefits.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Acquisition-, Disposal- and Integration-Related</w:t>
      </w:r>
    </w:p>
    <w:p>
      <w:pPr>
        <w:spacing w:after="0" w:line="139" w:lineRule="exact"/>
        <w:rPr>
          <w:sz w:val="20"/>
          <w:szCs w:val="20"/>
          <w:color w:val="auto"/>
        </w:rPr>
      </w:pPr>
    </w:p>
    <w:p>
      <w:pPr>
        <w:ind w:left="920" w:right="239"/>
        <w:spacing w:after="0" w:line="245" w:lineRule="auto"/>
        <w:rPr>
          <w:sz w:val="20"/>
          <w:szCs w:val="20"/>
          <w:color w:val="auto"/>
        </w:rPr>
      </w:pPr>
      <w:r>
        <w:rPr>
          <w:rFonts w:ascii="Arial" w:cs="Arial" w:eastAsia="Arial" w:hAnsi="Arial"/>
          <w:sz w:val="18"/>
          <w:szCs w:val="18"/>
          <w:color w:val="auto"/>
        </w:rPr>
        <w:t>We consider certain acquisition-, disposal- and integration -related costs to be unrelated to our organic continuing operations and our acquired businesses. Such costs are generally not relevant to assessing or</w:t>
      </w:r>
    </w:p>
    <w:p>
      <w:pPr>
        <w:ind w:left="920" w:right="259"/>
        <w:spacing w:after="0" w:line="226" w:lineRule="auto"/>
        <w:rPr>
          <w:sz w:val="20"/>
          <w:szCs w:val="20"/>
          <w:color w:val="auto"/>
        </w:rPr>
      </w:pPr>
      <w:r>
        <w:rPr>
          <w:rFonts w:ascii="Arial" w:cs="Arial" w:eastAsia="Arial" w:hAnsi="Arial"/>
          <w:sz w:val="18"/>
          <w:szCs w:val="18"/>
          <w:color w:val="auto"/>
        </w:rPr>
        <w:t>estimating the long-term performance of the acquired assets. In 2025, we recorded expense for legal and professional fees associated with contemplated corporate development activities. We exclude such</w:t>
      </w:r>
    </w:p>
    <w:p>
      <w:pPr>
        <w:ind w:left="920"/>
        <w:spacing w:after="0" w:line="236" w:lineRule="auto"/>
        <w:rPr>
          <w:sz w:val="20"/>
          <w:szCs w:val="20"/>
          <w:color w:val="auto"/>
        </w:rPr>
      </w:pPr>
      <w:r>
        <w:rPr>
          <w:rFonts w:ascii="Arial" w:cs="Arial" w:eastAsia="Arial" w:hAnsi="Arial"/>
          <w:sz w:val="18"/>
          <w:szCs w:val="18"/>
          <w:color w:val="auto"/>
        </w:rPr>
        <w:t>acquisition-, disposal- and integration-related costs to allow more accurate comparisons of our financial</w:t>
      </w:r>
    </w:p>
    <w:p>
      <w:pPr>
        <w:spacing w:after="0" w:line="1" w:lineRule="exact"/>
        <w:rPr>
          <w:sz w:val="20"/>
          <w:szCs w:val="20"/>
          <w:color w:val="auto"/>
        </w:rPr>
      </w:pPr>
    </w:p>
    <w:p>
      <w:pPr>
        <w:ind w:left="920" w:right="219"/>
        <w:spacing w:after="0" w:line="226" w:lineRule="auto"/>
        <w:rPr>
          <w:sz w:val="20"/>
          <w:szCs w:val="20"/>
          <w:color w:val="auto"/>
        </w:rPr>
      </w:pPr>
      <w:r>
        <w:rPr>
          <w:rFonts w:ascii="Arial" w:cs="Arial" w:eastAsia="Arial" w:hAnsi="Arial"/>
          <w:sz w:val="18"/>
          <w:szCs w:val="18"/>
          <w:color w:val="auto"/>
        </w:rPr>
        <w:t>results to our historical operations and the financial results of less acquisitive peer companies and allows management and investors to consider the ongoing operations of the business both with and without such</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expenses.</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Restructuring and Related</w:t>
      </w:r>
    </w:p>
    <w:p>
      <w:pPr>
        <w:spacing w:after="0" w:line="139" w:lineRule="exact"/>
        <w:rPr>
          <w:sz w:val="20"/>
          <w:szCs w:val="20"/>
          <w:color w:val="auto"/>
        </w:rPr>
      </w:pPr>
    </w:p>
    <w:p>
      <w:pPr>
        <w:ind w:left="920" w:right="239"/>
        <w:spacing w:after="0" w:line="245" w:lineRule="auto"/>
        <w:rPr>
          <w:sz w:val="20"/>
          <w:szCs w:val="20"/>
          <w:color w:val="auto"/>
        </w:rPr>
      </w:pPr>
      <w:r>
        <w:rPr>
          <w:rFonts w:ascii="Arial" w:cs="Arial" w:eastAsia="Arial" w:hAnsi="Arial"/>
          <w:sz w:val="18"/>
          <w:szCs w:val="18"/>
          <w:color w:val="auto"/>
        </w:rPr>
        <w:t>We have recorded restructuring and related expense to streamline operations and reduce operating costs by closing and consolidating certain facilities and reducing our worldwide workforce. We believe that</w:t>
      </w:r>
    </w:p>
    <w:p>
      <w:pPr>
        <w:ind w:left="920" w:right="219"/>
        <w:spacing w:after="0" w:line="226" w:lineRule="auto"/>
        <w:rPr>
          <w:sz w:val="20"/>
          <w:szCs w:val="20"/>
          <w:color w:val="auto"/>
        </w:rPr>
      </w:pPr>
      <w:r>
        <w:rPr>
          <w:rFonts w:ascii="Arial" w:cs="Arial" w:eastAsia="Arial" w:hAnsi="Arial"/>
          <w:sz w:val="18"/>
          <w:szCs w:val="18"/>
          <w:color w:val="auto"/>
        </w:rPr>
        <w:t>excluding restructuring and related expense facilitates the comparison of our financial results to our historical operating results and to other companies in our industry, as there are no future revenue streams</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 other benefits associated with these costs.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Preferred Stock and Warrant Liability Mark-to-Market Adjustment</w:t>
      </w:r>
    </w:p>
    <w:p>
      <w:pPr>
        <w:spacing w:after="0" w:line="139" w:lineRule="exact"/>
        <w:rPr>
          <w:sz w:val="20"/>
          <w:szCs w:val="20"/>
          <w:color w:val="auto"/>
        </w:rPr>
      </w:pPr>
    </w:p>
    <w:p>
      <w:pPr>
        <w:ind w:left="920" w:right="519"/>
        <w:spacing w:after="0" w:line="237" w:lineRule="auto"/>
        <w:rPr>
          <w:sz w:val="20"/>
          <w:szCs w:val="20"/>
          <w:color w:val="auto"/>
        </w:rPr>
      </w:pPr>
      <w:r>
        <w:rPr>
          <w:rFonts w:ascii="Arial" w:cs="Arial" w:eastAsia="Arial" w:hAnsi="Arial"/>
          <w:sz w:val="18"/>
          <w:szCs w:val="18"/>
          <w:color w:val="auto"/>
        </w:rPr>
        <w:t>We recorded adjustments to the fair value of our Series A Preferred Stock and Warrants to purchase shares of our common stock in Other (expense) income, net. Both of these instruments were issued in</w:t>
      </w:r>
    </w:p>
    <w:p>
      <w:pPr>
        <w:ind w:left="920"/>
        <w:spacing w:after="0" w:line="235" w:lineRule="auto"/>
        <w:rPr>
          <w:sz w:val="20"/>
          <w:szCs w:val="20"/>
          <w:color w:val="auto"/>
        </w:rPr>
      </w:pPr>
      <w:r>
        <w:rPr>
          <w:rFonts w:ascii="Arial" w:cs="Arial" w:eastAsia="Arial" w:hAnsi="Arial"/>
          <w:sz w:val="18"/>
          <w:szCs w:val="18"/>
          <w:color w:val="auto"/>
        </w:rPr>
        <w:t>March 2023 in connection with our private placement offering and have been classified as liabilities and</w:t>
      </w:r>
    </w:p>
    <w:p>
      <w:pPr>
        <w:spacing w:after="0" w:line="1" w:lineRule="exact"/>
        <w:rPr>
          <w:sz w:val="20"/>
          <w:szCs w:val="20"/>
          <w:color w:val="auto"/>
        </w:rPr>
      </w:pPr>
    </w:p>
    <w:p>
      <w:pPr>
        <w:ind w:left="920" w:right="179"/>
        <w:spacing w:after="0" w:line="226" w:lineRule="auto"/>
        <w:rPr>
          <w:sz w:val="20"/>
          <w:szCs w:val="20"/>
          <w:color w:val="auto"/>
        </w:rPr>
      </w:pPr>
      <w:r>
        <w:rPr>
          <w:rFonts w:ascii="Arial" w:cs="Arial" w:eastAsia="Arial" w:hAnsi="Arial"/>
          <w:sz w:val="18"/>
          <w:szCs w:val="18"/>
          <w:color w:val="auto"/>
        </w:rPr>
        <w:t>marked to market each reporting period until the Series A Preferred Stock was fully redeemed on June 25, 2024. The Warrant liability remains outstanding and will continue to be marked to market each reporting</w:t>
      </w:r>
    </w:p>
    <w:p>
      <w:pPr>
        <w:spacing w:after="0" w:line="2" w:lineRule="exact"/>
        <w:rPr>
          <w:sz w:val="20"/>
          <w:szCs w:val="20"/>
          <w:color w:val="auto"/>
        </w:rPr>
      </w:pPr>
    </w:p>
    <w:p>
      <w:pPr>
        <w:ind w:left="920" w:right="339"/>
        <w:spacing w:after="0" w:line="250" w:lineRule="auto"/>
        <w:rPr>
          <w:sz w:val="20"/>
          <w:szCs w:val="20"/>
          <w:color w:val="auto"/>
        </w:rPr>
      </w:pPr>
      <w:r>
        <w:rPr>
          <w:rFonts w:ascii="Arial" w:cs="Arial" w:eastAsia="Arial" w:hAnsi="Arial"/>
          <w:sz w:val="18"/>
          <w:szCs w:val="18"/>
          <w:color w:val="auto"/>
        </w:rPr>
        <w:t>period. We excluded these gains and losses from the change in the fair value of these liabilities because we believe that such gains or losses were not part of our core business or ongoing operations.</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Tax Indemnification Write-Off</w:t>
      </w:r>
    </w:p>
    <w:p>
      <w:pPr>
        <w:spacing w:after="0" w:line="139" w:lineRule="exact"/>
        <w:rPr>
          <w:sz w:val="20"/>
          <w:szCs w:val="20"/>
          <w:color w:val="auto"/>
        </w:rPr>
      </w:pPr>
    </w:p>
    <w:p>
      <w:pPr>
        <w:ind w:left="920" w:right="119"/>
        <w:spacing w:after="0" w:line="245" w:lineRule="auto"/>
        <w:rPr>
          <w:sz w:val="20"/>
          <w:szCs w:val="20"/>
          <w:color w:val="auto"/>
        </w:rPr>
      </w:pPr>
      <w:r>
        <w:rPr>
          <w:rFonts w:ascii="Arial" w:cs="Arial" w:eastAsia="Arial" w:hAnsi="Arial"/>
          <w:sz w:val="18"/>
          <w:szCs w:val="18"/>
          <w:color w:val="auto"/>
        </w:rPr>
        <w:t>In connection with our acquisition of ECI Telecom Group Ltd. in 2020, a portion of the shares of our common stock that were issued as consideration were held in escrow for potential future tax liabilities. This</w:t>
      </w:r>
    </w:p>
    <w:p>
      <w:pPr>
        <w:ind w:left="920" w:right="259"/>
        <w:spacing w:after="0" w:line="226" w:lineRule="auto"/>
        <w:rPr>
          <w:sz w:val="20"/>
          <w:szCs w:val="20"/>
          <w:color w:val="auto"/>
        </w:rPr>
      </w:pPr>
      <w:r>
        <w:rPr>
          <w:rFonts w:ascii="Arial" w:cs="Arial" w:eastAsia="Arial" w:hAnsi="Arial"/>
          <w:sz w:val="18"/>
          <w:szCs w:val="18"/>
          <w:color w:val="auto"/>
        </w:rPr>
        <w:t>$6 million tax indemnity asset, consisting of 2 million shares of common stock held in escrow, was written off upon its expiration on December 31, 2024. We believe that excluding this tax indemnification write-off</w:t>
      </w:r>
    </w:p>
    <w:p>
      <w:pPr>
        <w:spacing w:after="0" w:line="2" w:lineRule="exact"/>
        <w:rPr>
          <w:sz w:val="20"/>
          <w:szCs w:val="20"/>
          <w:color w:val="auto"/>
        </w:rPr>
      </w:pPr>
    </w:p>
    <w:p>
      <w:pPr>
        <w:ind w:left="920" w:right="199"/>
        <w:spacing w:after="0" w:line="250" w:lineRule="auto"/>
        <w:rPr>
          <w:sz w:val="20"/>
          <w:szCs w:val="20"/>
          <w:color w:val="auto"/>
        </w:rPr>
      </w:pPr>
      <w:r>
        <w:rPr>
          <w:rFonts w:ascii="Arial" w:cs="Arial" w:eastAsia="Arial" w:hAnsi="Arial"/>
          <w:sz w:val="18"/>
          <w:szCs w:val="18"/>
          <w:color w:val="auto"/>
        </w:rPr>
        <w:t>facilitates the comparison of our financial results to our historical operating results and to other companies in our industry.</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Tax Effect of Non-GAAP Adjustments</w:t>
      </w:r>
    </w:p>
    <w:p>
      <w:pPr>
        <w:spacing w:after="0" w:line="139" w:lineRule="exact"/>
        <w:rPr>
          <w:sz w:val="20"/>
          <w:szCs w:val="20"/>
          <w:color w:val="auto"/>
        </w:rPr>
      </w:pPr>
    </w:p>
    <w:p>
      <w:pPr>
        <w:ind w:left="920" w:right="239"/>
        <w:spacing w:after="0" w:line="245" w:lineRule="auto"/>
        <w:rPr>
          <w:sz w:val="20"/>
          <w:szCs w:val="20"/>
          <w:color w:val="auto"/>
        </w:rPr>
      </w:pPr>
      <w:r>
        <w:rPr>
          <w:rFonts w:ascii="Arial" w:cs="Arial" w:eastAsia="Arial" w:hAnsi="Arial"/>
          <w:sz w:val="18"/>
          <w:szCs w:val="18"/>
          <w:color w:val="auto"/>
        </w:rPr>
        <w:t>The Non-GAAP income tax provision is presented based on an estimated tax rate applied against forecasted annual non-GAAP income. We compute our non-GAAP estimated tax rate using our estimated</w:t>
      </w:r>
    </w:p>
    <w:p>
      <w:pPr>
        <w:ind w:left="920" w:right="279"/>
        <w:spacing w:after="0" w:line="226" w:lineRule="auto"/>
        <w:rPr>
          <w:sz w:val="20"/>
          <w:szCs w:val="20"/>
          <w:color w:val="auto"/>
        </w:rPr>
      </w:pPr>
      <w:r>
        <w:rPr>
          <w:rFonts w:ascii="Arial" w:cs="Arial" w:eastAsia="Arial" w:hAnsi="Arial"/>
          <w:sz w:val="18"/>
          <w:szCs w:val="18"/>
          <w:color w:val="auto"/>
        </w:rPr>
        <w:t>GAAP annual effective tax rate for the period and adjusting for the tax effect of pre-tax non-GAAP adjustments. We compute a single annual non-GAAP rate for the Company and applying that rate (rather</w:t>
      </w:r>
    </w:p>
    <w:p>
      <w:pPr>
        <w:ind w:left="920"/>
        <w:spacing w:after="0" w:line="236" w:lineRule="auto"/>
        <w:rPr>
          <w:sz w:val="20"/>
          <w:szCs w:val="20"/>
          <w:color w:val="auto"/>
        </w:rPr>
      </w:pPr>
      <w:r>
        <w:rPr>
          <w:rFonts w:ascii="Arial" w:cs="Arial" w:eastAsia="Arial" w:hAnsi="Arial"/>
          <w:sz w:val="18"/>
          <w:szCs w:val="18"/>
          <w:color w:val="auto"/>
        </w:rPr>
        <w:t>than multiple rates by jurisdiction) to our consolidated quarterly results. We expect that this methodology</w:t>
      </w:r>
    </w:p>
    <w:p>
      <w:pPr>
        <w:spacing w:after="0" w:line="1" w:lineRule="exact"/>
        <w:rPr>
          <w:sz w:val="20"/>
          <w:szCs w:val="20"/>
          <w:color w:val="auto"/>
        </w:rPr>
      </w:pPr>
    </w:p>
    <w:p>
      <w:pPr>
        <w:ind w:left="920" w:right="139"/>
        <w:spacing w:after="0" w:line="226" w:lineRule="auto"/>
        <w:rPr>
          <w:sz w:val="20"/>
          <w:szCs w:val="20"/>
          <w:color w:val="auto"/>
        </w:rPr>
      </w:pPr>
      <w:r>
        <w:rPr>
          <w:rFonts w:ascii="Arial" w:cs="Arial" w:eastAsia="Arial" w:hAnsi="Arial"/>
          <w:sz w:val="18"/>
          <w:szCs w:val="18"/>
          <w:color w:val="auto"/>
        </w:rPr>
        <w:t>will provide a consistent rate throughout the year and allow investors to better understand the impact of income taxes on our results. Due to the methodology applied to our estimated annual tax rate, we estimate</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 rate on non-GAAP income will differ from its GAAP tax rate and from our actual tax liabilities.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A-2</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8"/>
          <w:szCs w:val="18"/>
          <w:b w:val="1"/>
          <w:bCs w:val="1"/>
          <w:color w:val="auto"/>
        </w:rPr>
        <w:t xml:space="preserve"> </w:t>
      </w: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167640</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60" w:type="dxa"/>
            <w:vAlign w:val="bottom"/>
            <w:tcBorders>
              <w:bottom w:val="single" w:sz="8" w:color="F4F4F4"/>
            </w:tcBorders>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Borders>
              <w:bottom w:val="single" w:sz="8" w:color="F4F4F4"/>
            </w:tcBorders>
          </w:tcPr>
          <w:p>
            <w:pPr>
              <w:ind w:left="38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Borders>
              <w:bottom w:val="single" w:sz="8" w:color="F4F4F4"/>
            </w:tcBorders>
          </w:tcPr>
          <w:p>
            <w:pPr>
              <w:ind w:left="5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6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Borders>
              <w:bottom w:val="single" w:sz="8" w:color="F4F4F4"/>
            </w:tcBorders>
          </w:tcPr>
          <w:p>
            <w:pPr>
              <w:ind w:left="480"/>
              <w:spacing w:after="0"/>
              <w:rPr>
                <w:sz w:val="20"/>
                <w:szCs w:val="20"/>
                <w:color w:val="auto"/>
              </w:rPr>
            </w:pPr>
            <w:r>
              <w:rPr>
                <w:rFonts w:ascii="Arial" w:cs="Arial" w:eastAsia="Arial" w:hAnsi="Arial"/>
                <w:sz w:val="13"/>
                <w:szCs w:val="13"/>
                <w:b w:val="1"/>
                <w:bCs w:val="1"/>
                <w:color w:val="4C4C4C"/>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Borders>
              <w:bottom w:val="single" w:sz="8" w:color="F4F4F4"/>
            </w:tcBorders>
          </w:tcPr>
          <w:p>
            <w:pPr>
              <w:ind w:left="440"/>
              <w:spacing w:after="0"/>
              <w:rPr>
                <w:sz w:val="20"/>
                <w:szCs w:val="20"/>
                <w:color w:val="auto"/>
              </w:rPr>
            </w:pPr>
            <w:r>
              <w:rPr>
                <w:rFonts w:ascii="Arial" w:cs="Arial" w:eastAsia="Arial" w:hAnsi="Arial"/>
                <w:sz w:val="13"/>
                <w:szCs w:val="13"/>
                <w:b w:val="1"/>
                <w:bCs w:val="1"/>
                <w:color w:val="4C4C4C"/>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Borders>
              <w:bottom w:val="single" w:sz="8" w:color="E7417A"/>
            </w:tcBorders>
          </w:tcPr>
          <w:p>
            <w:pPr>
              <w:ind w:left="460"/>
              <w:spacing w:after="0"/>
              <w:rPr>
                <w:sz w:val="20"/>
                <w:szCs w:val="20"/>
                <w:color w:val="auto"/>
              </w:rPr>
            </w:pPr>
            <w:r>
              <w:rPr>
                <w:rFonts w:ascii="Arial" w:cs="Arial" w:eastAsia="Arial" w:hAnsi="Arial"/>
                <w:sz w:val="13"/>
                <w:szCs w:val="13"/>
                <w:b w:val="1"/>
                <w:bCs w:val="1"/>
                <w:color w:val="4C4C4C"/>
              </w:rPr>
              <w:t>​</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51"/>
        </w:trPr>
        <w:tc>
          <w:tcPr>
            <w:tcW w:w="60" w:type="dxa"/>
            <w:vAlign w:val="bottom"/>
          </w:tcPr>
          <w:p>
            <w:pPr>
              <w:spacing w:after="0"/>
              <w:rPr>
                <w:sz w:val="20"/>
                <w:szCs w:val="20"/>
                <w:color w:val="auto"/>
              </w:rPr>
            </w:pPr>
            <w:r>
              <w:rPr>
                <w:rFonts w:ascii="Arial" w:cs="Arial" w:eastAsia="Arial" w:hAnsi="Arial"/>
                <w:sz w:val="13"/>
                <w:szCs w:val="13"/>
                <w:b w:val="1"/>
                <w:bCs w:val="1"/>
                <w:color w:val="4C4C4C"/>
              </w:rPr>
              <w:t>​</w:t>
            </w:r>
          </w:p>
        </w:tc>
        <w:tc>
          <w:tcPr>
            <w:tcW w:w="840" w:type="dxa"/>
            <w:vAlign w:val="bottom"/>
          </w:tcPr>
          <w:p>
            <w:pPr>
              <w:ind w:left="60"/>
              <w:spacing w:after="0"/>
              <w:rPr>
                <w:sz w:val="20"/>
                <w:szCs w:val="20"/>
                <w:color w:val="auto"/>
              </w:rPr>
            </w:pPr>
            <w:r>
              <w:rPr>
                <w:rFonts w:ascii="Arial" w:cs="Arial" w:eastAsia="Arial" w:hAnsi="Arial"/>
                <w:sz w:val="13"/>
                <w:szCs w:val="13"/>
                <w:b w:val="1"/>
                <w:bCs w:val="1"/>
                <w:color w:val="4C4C4C"/>
              </w:rPr>
              <w:t>Summary</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Corporate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260"/>
              <w:spacing w:after="0"/>
              <w:rPr>
                <w:sz w:val="20"/>
                <w:szCs w:val="20"/>
                <w:color w:val="auto"/>
              </w:rPr>
            </w:pPr>
            <w:r>
              <w:rPr>
                <w:rFonts w:ascii="Arial" w:cs="Arial" w:eastAsia="Arial" w:hAnsi="Arial"/>
                <w:sz w:val="13"/>
                <w:szCs w:val="13"/>
                <w:b w:val="1"/>
                <w:bCs w:val="1"/>
                <w:color w:val="4C4C4C"/>
              </w:rPr>
              <w:t>Audit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100"/>
              <w:spacing w:after="0"/>
              <w:rPr>
                <w:sz w:val="20"/>
                <w:szCs w:val="20"/>
                <w:color w:val="auto"/>
              </w:rPr>
            </w:pPr>
            <w:r>
              <w:rPr>
                <w:rFonts w:ascii="Arial" w:cs="Arial" w:eastAsia="Arial" w:hAnsi="Arial"/>
                <w:sz w:val="13"/>
                <w:szCs w:val="13"/>
                <w:b w:val="1"/>
                <w:bCs w:val="1"/>
                <w:color w:val="4C4C4C"/>
              </w:rPr>
              <w:t>Executive</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60" w:type="dxa"/>
            <w:vAlign w:val="bottom"/>
          </w:tcPr>
          <w:p>
            <w:pPr>
              <w:ind w:left="140"/>
              <w:spacing w:after="0"/>
              <w:rPr>
                <w:sz w:val="20"/>
                <w:szCs w:val="20"/>
                <w:color w:val="auto"/>
              </w:rPr>
            </w:pPr>
            <w:r>
              <w:rPr>
                <w:rFonts w:ascii="Arial" w:cs="Arial" w:eastAsia="Arial" w:hAnsi="Arial"/>
                <w:sz w:val="13"/>
                <w:szCs w:val="13"/>
                <w:b w:val="1"/>
                <w:bCs w:val="1"/>
                <w:color w:val="4C4C4C"/>
              </w:rPr>
              <w:t>Executive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4C4C4C"/>
              </w:rPr>
              <w:t>​</w:t>
            </w:r>
          </w:p>
        </w:tc>
        <w:tc>
          <w:tcPr>
            <w:tcW w:w="880" w:type="dxa"/>
            <w:vAlign w:val="bottom"/>
          </w:tcPr>
          <w:p>
            <w:pPr>
              <w:ind w:left="240"/>
              <w:spacing w:after="0"/>
              <w:rPr>
                <w:sz w:val="20"/>
                <w:szCs w:val="20"/>
                <w:color w:val="auto"/>
              </w:rPr>
            </w:pPr>
            <w:r>
              <w:rPr>
                <w:rFonts w:ascii="Arial" w:cs="Arial" w:eastAsia="Arial" w:hAnsi="Arial"/>
                <w:sz w:val="13"/>
                <w:szCs w:val="13"/>
                <w:b w:val="1"/>
                <w:bCs w:val="1"/>
                <w:color w:val="4C4C4C"/>
              </w:rPr>
              <w:t>Stock</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4C4C4C"/>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4C4C4C"/>
              </w:rPr>
              <w:t>​</w:t>
            </w:r>
          </w:p>
        </w:tc>
        <w:tc>
          <w:tcPr>
            <w:tcW w:w="900" w:type="dxa"/>
            <w:vAlign w:val="bottom"/>
          </w:tcPr>
          <w:p>
            <w:pPr>
              <w:ind w:left="80"/>
              <w:spacing w:after="0"/>
              <w:rPr>
                <w:sz w:val="20"/>
                <w:szCs w:val="20"/>
                <w:color w:val="auto"/>
              </w:rPr>
            </w:pPr>
            <w:r>
              <w:rPr>
                <w:rFonts w:ascii="Arial" w:cs="Arial" w:eastAsia="Arial" w:hAnsi="Arial"/>
                <w:sz w:val="13"/>
                <w:szCs w:val="13"/>
                <w:b w:val="1"/>
                <w:bCs w:val="1"/>
                <w:color w:val="4C4C4C"/>
              </w:rPr>
              <w:t>Additional</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4C4C4C"/>
              </w:rPr>
              <w:t>​ ​</w:t>
            </w:r>
          </w:p>
        </w:tc>
        <w:tc>
          <w:tcPr>
            <w:tcW w:w="900" w:type="dxa"/>
            <w:vAlign w:val="bottom"/>
          </w:tcPr>
          <w:p>
            <w:pPr>
              <w:ind w:left="140"/>
              <w:spacing w:after="0"/>
              <w:rPr>
                <w:sz w:val="20"/>
                <w:szCs w:val="20"/>
                <w:color w:val="auto"/>
              </w:rPr>
            </w:pPr>
            <w:r>
              <w:rPr>
                <w:rFonts w:ascii="Arial" w:cs="Arial" w:eastAsia="Arial" w:hAnsi="Arial"/>
                <w:sz w:val="13"/>
                <w:szCs w:val="13"/>
                <w:b w:val="1"/>
                <w:bCs w:val="1"/>
                <w:color w:val="9166BA"/>
              </w:rPr>
              <w:t>Appendix</w:t>
            </w:r>
          </w:p>
        </w:tc>
        <w:tc>
          <w:tcPr>
            <w:tcW w:w="40" w:type="dxa"/>
            <w:vAlign w:val="bottom"/>
          </w:tcPr>
          <w:p>
            <w:pPr>
              <w:spacing w:after="0"/>
              <w:rPr>
                <w:sz w:val="20"/>
                <w:szCs w:val="20"/>
                <w:color w:val="auto"/>
              </w:rPr>
            </w:pPr>
            <w:r>
              <w:rPr>
                <w:rFonts w:ascii="Arial" w:cs="Arial" w:eastAsia="Arial" w:hAnsi="Arial"/>
                <w:sz w:val="13"/>
                <w:szCs w:val="13"/>
                <w:b w:val="1"/>
                <w:bCs w:val="1"/>
                <w:color w:val="4C4C4C"/>
              </w:rPr>
              <w:t>​</w:t>
            </w:r>
          </w:p>
        </w:tc>
      </w:tr>
      <w:tr>
        <w:trPr>
          <w:trHeight w:val="135"/>
        </w:trPr>
        <w:tc>
          <w:tcPr>
            <w:tcW w:w="60" w:type="dxa"/>
            <w:vAlign w:val="bottom"/>
          </w:tcPr>
          <w:p>
            <w:pPr>
              <w:spacing w:after="0"/>
              <w:rPr>
                <w:sz w:val="11"/>
                <w:szCs w:val="11"/>
                <w:color w:val="auto"/>
              </w:rPr>
            </w:pPr>
          </w:p>
        </w:tc>
        <w:tc>
          <w:tcPr>
            <w:tcW w:w="840" w:type="dxa"/>
            <w:vAlign w:val="bottom"/>
          </w:tcPr>
          <w:p>
            <w:pPr>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4C4C4C"/>
              </w:rPr>
              <w:t>Governance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200"/>
              <w:spacing w:after="0" w:line="135" w:lineRule="exact"/>
              <w:rPr>
                <w:sz w:val="20"/>
                <w:szCs w:val="20"/>
                <w:color w:val="auto"/>
              </w:rPr>
            </w:pPr>
            <w:r>
              <w:rPr>
                <w:rFonts w:ascii="Arial" w:cs="Arial" w:eastAsia="Arial" w:hAnsi="Arial"/>
                <w:sz w:val="13"/>
                <w:szCs w:val="13"/>
                <w:b w:val="1"/>
                <w:bCs w:val="1"/>
                <w:color w:val="4C4C4C"/>
              </w:rPr>
              <w:t>Matters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180"/>
              <w:spacing w:after="0" w:line="135" w:lineRule="exact"/>
              <w:rPr>
                <w:sz w:val="20"/>
                <w:szCs w:val="20"/>
                <w:color w:val="auto"/>
              </w:rPr>
            </w:pPr>
            <w:r>
              <w:rPr>
                <w:rFonts w:ascii="Arial" w:cs="Arial" w:eastAsia="Arial" w:hAnsi="Arial"/>
                <w:sz w:val="13"/>
                <w:szCs w:val="13"/>
                <w:b w:val="1"/>
                <w:bCs w:val="1"/>
                <w:color w:val="4C4C4C"/>
              </w:rPr>
              <w:t>Officers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line="135" w:lineRule="exact"/>
              <w:rPr>
                <w:sz w:val="20"/>
                <w:szCs w:val="20"/>
                <w:color w:val="auto"/>
              </w:rPr>
            </w:pPr>
            <w:r>
              <w:rPr>
                <w:rFonts w:ascii="Arial" w:cs="Arial" w:eastAsia="Arial" w:hAnsi="Arial"/>
                <w:sz w:val="13"/>
                <w:szCs w:val="13"/>
                <w:b w:val="1"/>
                <w:bCs w:val="1"/>
                <w:color w:val="4C4C4C"/>
              </w:rPr>
              <w:t>Compensation</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60"/>
              <w:spacing w:after="0" w:line="135" w:lineRule="exact"/>
              <w:rPr>
                <w:sz w:val="20"/>
                <w:szCs w:val="20"/>
                <w:color w:val="auto"/>
              </w:rPr>
            </w:pPr>
            <w:r>
              <w:rPr>
                <w:rFonts w:ascii="Arial" w:cs="Arial" w:eastAsia="Arial" w:hAnsi="Arial"/>
                <w:sz w:val="13"/>
                <w:szCs w:val="13"/>
                <w:b w:val="1"/>
                <w:bCs w:val="1"/>
                <w:color w:val="4C4C4C"/>
              </w:rPr>
              <w:t>Information</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2"/>
        </w:trPr>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4C4C4C"/>
              </w:rPr>
              <w:t>Board Matters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34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Adjusted EBITDA</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use Adjusted EBITDA as a supplemental measure to review and assess our performance. We</w:t>
      </w:r>
    </w:p>
    <w:p>
      <w:pPr>
        <w:spacing w:after="0" w:line="14" w:lineRule="exact"/>
        <w:rPr>
          <w:sz w:val="20"/>
          <w:szCs w:val="20"/>
          <w:color w:val="auto"/>
        </w:rPr>
      </w:pPr>
    </w:p>
    <w:p>
      <w:pPr>
        <w:ind w:left="920" w:right="439"/>
        <w:spacing w:after="0" w:line="226" w:lineRule="auto"/>
        <w:rPr>
          <w:sz w:val="20"/>
          <w:szCs w:val="20"/>
          <w:color w:val="auto"/>
        </w:rPr>
      </w:pPr>
      <w:r>
        <w:rPr>
          <w:rFonts w:ascii="Arial" w:cs="Arial" w:eastAsia="Arial" w:hAnsi="Arial"/>
          <w:sz w:val="18"/>
          <w:szCs w:val="18"/>
          <w:color w:val="auto"/>
        </w:rPr>
        <w:t>calculate Adjusted EBITDA by excluding from income (loss) from operations: depreciation; stock-based compensation; amortization of acquired intangible assets; certain litigation costs; expenses related to</w:t>
      </w:r>
    </w:p>
    <w:p>
      <w:pPr>
        <w:ind w:left="920"/>
        <w:spacing w:after="0" w:line="236" w:lineRule="auto"/>
        <w:rPr>
          <w:sz w:val="20"/>
          <w:szCs w:val="20"/>
          <w:color w:val="auto"/>
        </w:rPr>
      </w:pPr>
      <w:r>
        <w:rPr>
          <w:rFonts w:ascii="Arial" w:cs="Arial" w:eastAsia="Arial" w:hAnsi="Arial"/>
          <w:sz w:val="18"/>
          <w:szCs w:val="18"/>
          <w:color w:val="auto"/>
        </w:rPr>
        <w:t>cybersecurity incidents; acquisition-, disposal- and integration-related expense; and restructuring and</w:t>
      </w:r>
    </w:p>
    <w:p>
      <w:pPr>
        <w:spacing w:after="0" w:line="1" w:lineRule="exact"/>
        <w:rPr>
          <w:sz w:val="20"/>
          <w:szCs w:val="20"/>
          <w:color w:val="auto"/>
        </w:rPr>
      </w:pPr>
    </w:p>
    <w:p>
      <w:pPr>
        <w:ind w:left="920" w:right="119"/>
        <w:spacing w:after="0" w:line="226" w:lineRule="auto"/>
        <w:rPr>
          <w:sz w:val="20"/>
          <w:szCs w:val="20"/>
          <w:color w:val="auto"/>
        </w:rPr>
      </w:pPr>
      <w:r>
        <w:rPr>
          <w:rFonts w:ascii="Arial" w:cs="Arial" w:eastAsia="Arial" w:hAnsi="Arial"/>
          <w:sz w:val="18"/>
          <w:szCs w:val="18"/>
          <w:color w:val="auto"/>
        </w:rPr>
        <w:t>related expense. In general, we exclude the expenses that we consider to be non- cash and/or not a part of our ongoing operations. We may exclude other items in the future that have those characteristics. Adjusted</w:t>
      </w:r>
    </w:p>
    <w:p>
      <w:pPr>
        <w:ind w:left="920"/>
        <w:spacing w:after="0" w:line="236" w:lineRule="auto"/>
        <w:rPr>
          <w:sz w:val="20"/>
          <w:szCs w:val="20"/>
          <w:color w:val="auto"/>
        </w:rPr>
      </w:pPr>
      <w:r>
        <w:rPr>
          <w:rFonts w:ascii="Arial" w:cs="Arial" w:eastAsia="Arial" w:hAnsi="Arial"/>
          <w:sz w:val="18"/>
          <w:szCs w:val="18"/>
          <w:color w:val="auto"/>
        </w:rPr>
        <w:t>EBITDA is a non-GAAP financial measure that is used by the investing community for comparative and</w:t>
      </w:r>
    </w:p>
    <w:p>
      <w:pPr>
        <w:spacing w:after="0" w:line="1" w:lineRule="exact"/>
        <w:rPr>
          <w:sz w:val="20"/>
          <w:szCs w:val="20"/>
          <w:color w:val="auto"/>
        </w:rPr>
      </w:pPr>
    </w:p>
    <w:p>
      <w:pPr>
        <w:ind w:left="920" w:right="279"/>
        <w:spacing w:after="0" w:line="226" w:lineRule="auto"/>
        <w:rPr>
          <w:sz w:val="20"/>
          <w:szCs w:val="20"/>
          <w:color w:val="auto"/>
        </w:rPr>
      </w:pPr>
      <w:r>
        <w:rPr>
          <w:rFonts w:ascii="Arial" w:cs="Arial" w:eastAsia="Arial" w:hAnsi="Arial"/>
          <w:sz w:val="18"/>
          <w:szCs w:val="18"/>
          <w:color w:val="auto"/>
        </w:rPr>
        <w:t>valuation purposes. We disclose this metric to support and facilitate dialogue with research analysts and investors. Other companies may calculate Adjusted EBITDA differently than we do, limiting its usefulness</w:t>
      </w: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a comparative measure.</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215"/>
        </w:trPr>
        <w:tc>
          <w:tcPr>
            <w:tcW w:w="5000" w:type="dxa"/>
            <w:vAlign w:val="bottom"/>
            <w:shd w:val="clear" w:color="auto" w:fill="62259D"/>
          </w:tcPr>
          <w:p>
            <w:pPr>
              <w:spacing w:after="0"/>
              <w:rPr>
                <w:sz w:val="18"/>
                <w:szCs w:val="18"/>
                <w:color w:val="auto"/>
              </w:rPr>
            </w:pPr>
          </w:p>
        </w:tc>
        <w:tc>
          <w:tcPr>
            <w:tcW w:w="460" w:type="dxa"/>
            <w:vAlign w:val="bottom"/>
            <w:shd w:val="clear" w:color="auto" w:fill="62259D"/>
          </w:tcPr>
          <w:p>
            <w:pPr>
              <w:spacing w:after="0"/>
              <w:rPr>
                <w:sz w:val="18"/>
                <w:szCs w:val="18"/>
                <w:color w:val="auto"/>
              </w:rPr>
            </w:pPr>
          </w:p>
        </w:tc>
        <w:tc>
          <w:tcPr>
            <w:tcW w:w="220" w:type="dxa"/>
            <w:vAlign w:val="bottom"/>
            <w:shd w:val="clear" w:color="auto" w:fill="62259D"/>
          </w:tcPr>
          <w:p>
            <w:pPr>
              <w:spacing w:after="0"/>
              <w:rPr>
                <w:sz w:val="18"/>
                <w:szCs w:val="18"/>
                <w:color w:val="auto"/>
              </w:rPr>
            </w:pPr>
          </w:p>
        </w:tc>
        <w:tc>
          <w:tcPr>
            <w:tcW w:w="3180" w:type="dxa"/>
            <w:vAlign w:val="bottom"/>
            <w:gridSpan w:val="4"/>
            <w:shd w:val="clear" w:color="auto" w:fill="62259D"/>
          </w:tcPr>
          <w:p>
            <w:pPr>
              <w:jc w:val="right"/>
              <w:ind w:right="399"/>
              <w:spacing w:after="0"/>
              <w:rPr>
                <w:sz w:val="20"/>
                <w:szCs w:val="20"/>
                <w:color w:val="auto"/>
              </w:rPr>
            </w:pPr>
            <w:r>
              <w:rPr>
                <w:rFonts w:ascii="Arial" w:cs="Arial" w:eastAsia="Arial" w:hAnsi="Arial"/>
                <w:sz w:val="16"/>
                <w:szCs w:val="16"/>
                <w:b w:val="1"/>
                <w:bCs w:val="1"/>
                <w:color w:val="FEFEFE"/>
              </w:rPr>
              <w:t>Year Ended December 31, 2025</w:t>
            </w:r>
          </w:p>
        </w:tc>
      </w:tr>
      <w:tr>
        <w:trPr>
          <w:trHeight w:val="203"/>
        </w:trPr>
        <w:tc>
          <w:tcPr>
            <w:tcW w:w="5000" w:type="dxa"/>
            <w:vAlign w:val="bottom"/>
            <w:shd w:val="clear" w:color="auto" w:fill="62259D"/>
          </w:tcPr>
          <w:p>
            <w:pPr>
              <w:spacing w:after="0"/>
              <w:rPr>
                <w:sz w:val="20"/>
                <w:szCs w:val="20"/>
                <w:color w:val="auto"/>
              </w:rPr>
            </w:pPr>
            <w:r>
              <w:rPr>
                <w:rFonts w:ascii="Arial" w:cs="Arial" w:eastAsia="Arial" w:hAnsi="Arial"/>
                <w:sz w:val="16"/>
                <w:szCs w:val="16"/>
                <w:b w:val="1"/>
                <w:bCs w:val="1"/>
                <w:color w:val="FEFEFE"/>
              </w:rPr>
              <w:t>​ ​</w:t>
            </w:r>
          </w:p>
        </w:tc>
        <w:tc>
          <w:tcPr>
            <w:tcW w:w="460" w:type="dxa"/>
            <w:vAlign w:val="bottom"/>
            <w:shd w:val="clear" w:color="auto" w:fill="62259D"/>
          </w:tcPr>
          <w:p>
            <w:pPr>
              <w:ind w:left="340"/>
              <w:spacing w:after="0"/>
              <w:rPr>
                <w:sz w:val="20"/>
                <w:szCs w:val="20"/>
                <w:color w:val="auto"/>
              </w:rPr>
            </w:pPr>
            <w:r>
              <w:rPr>
                <w:rFonts w:ascii="Arial" w:cs="Arial" w:eastAsia="Arial" w:hAnsi="Arial"/>
                <w:sz w:val="16"/>
                <w:szCs w:val="16"/>
                <w:b w:val="1"/>
                <w:bCs w:val="1"/>
                <w:color w:val="FEFEFE"/>
              </w:rPr>
              <w:t>​</w:t>
            </w:r>
          </w:p>
        </w:tc>
        <w:tc>
          <w:tcPr>
            <w:tcW w:w="220" w:type="dxa"/>
            <w:vAlign w:val="bottom"/>
            <w:shd w:val="clear" w:color="auto" w:fill="62259D"/>
          </w:tcPr>
          <w:p>
            <w:pPr>
              <w:ind w:left="100"/>
              <w:spacing w:after="0"/>
              <w:rPr>
                <w:sz w:val="20"/>
                <w:szCs w:val="20"/>
                <w:color w:val="auto"/>
              </w:rPr>
            </w:pPr>
            <w:r>
              <w:rPr>
                <w:rFonts w:ascii="Arial" w:cs="Arial" w:eastAsia="Arial" w:hAnsi="Arial"/>
                <w:sz w:val="16"/>
                <w:szCs w:val="16"/>
                <w:b w:val="1"/>
                <w:bCs w:val="1"/>
                <w:color w:val="FEFEFE"/>
              </w:rPr>
              <w:t>​</w:t>
            </w:r>
          </w:p>
        </w:tc>
        <w:tc>
          <w:tcPr>
            <w:tcW w:w="2340" w:type="dxa"/>
            <w:vAlign w:val="bottom"/>
            <w:gridSpan w:val="3"/>
            <w:shd w:val="clear" w:color="auto" w:fill="62259D"/>
          </w:tcPr>
          <w:p>
            <w:pPr>
              <w:ind w:left="840"/>
              <w:spacing w:after="0"/>
              <w:rPr>
                <w:sz w:val="20"/>
                <w:szCs w:val="20"/>
                <w:color w:val="auto"/>
              </w:rPr>
            </w:pPr>
            <w:r>
              <w:rPr>
                <w:rFonts w:ascii="Arial" w:cs="Arial" w:eastAsia="Arial" w:hAnsi="Arial"/>
                <w:sz w:val="16"/>
                <w:szCs w:val="16"/>
                <w:b w:val="1"/>
                <w:bCs w:val="1"/>
                <w:color w:val="FEFEFE"/>
              </w:rPr>
              <w:t>($ in millions)</w:t>
            </w:r>
          </w:p>
        </w:tc>
        <w:tc>
          <w:tcPr>
            <w:tcW w:w="840" w:type="dxa"/>
            <w:vAlign w:val="bottom"/>
            <w:shd w:val="clear" w:color="auto" w:fill="62259D"/>
          </w:tcPr>
          <w:p>
            <w:pPr>
              <w:jc w:val="right"/>
              <w:ind w:right="299"/>
              <w:spacing w:after="0"/>
              <w:rPr>
                <w:sz w:val="20"/>
                <w:szCs w:val="20"/>
                <w:color w:val="auto"/>
              </w:rPr>
            </w:pPr>
            <w:r>
              <w:rPr>
                <w:rFonts w:ascii="Arial" w:cs="Arial" w:eastAsia="Arial" w:hAnsi="Arial"/>
                <w:sz w:val="16"/>
                <w:szCs w:val="16"/>
                <w:b w:val="1"/>
                <w:bCs w:val="1"/>
                <w:color w:val="FEFEFE"/>
              </w:rPr>
              <w:t>​</w:t>
            </w:r>
          </w:p>
        </w:tc>
      </w:tr>
      <w:tr>
        <w:trPr>
          <w:trHeight w:val="229"/>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Revenue</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2340" w:type="dxa"/>
            <w:vAlign w:val="bottom"/>
            <w:tcBorders>
              <w:bottom w:val="single" w:sz="8" w:color="E7417A"/>
            </w:tcBorders>
            <w:gridSpan w:val="3"/>
          </w:tcPr>
          <w:p>
            <w:pPr>
              <w:ind w:left="1000"/>
              <w:spacing w:after="0"/>
              <w:rPr>
                <w:sz w:val="20"/>
                <w:szCs w:val="20"/>
                <w:color w:val="auto"/>
              </w:rPr>
            </w:pPr>
            <w:r>
              <w:rPr>
                <w:rFonts w:ascii="Arial" w:cs="Arial" w:eastAsia="Arial" w:hAnsi="Arial"/>
                <w:sz w:val="16"/>
                <w:szCs w:val="16"/>
                <w:color w:val="auto"/>
              </w:rPr>
              <w:t>​ $ 844,556</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331"/>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GAAP Gross profit</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2340" w:type="dxa"/>
            <w:vAlign w:val="bottom"/>
            <w:tcBorders>
              <w:bottom w:val="single" w:sz="8" w:color="E7417A"/>
            </w:tcBorders>
            <w:gridSpan w:val="3"/>
          </w:tcPr>
          <w:p>
            <w:pPr>
              <w:ind w:left="1000"/>
              <w:spacing w:after="0"/>
              <w:rPr>
                <w:sz w:val="20"/>
                <w:szCs w:val="20"/>
                <w:color w:val="auto"/>
              </w:rPr>
            </w:pPr>
            <w:r>
              <w:rPr>
                <w:rFonts w:ascii="Arial" w:cs="Arial" w:eastAsia="Arial" w:hAnsi="Arial"/>
                <w:sz w:val="16"/>
                <w:szCs w:val="16"/>
                <w:color w:val="auto"/>
              </w:rPr>
              <w:t>​ $ 420,706</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331"/>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GAAP Gross margin (Gross profit/Revenue)</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339"/>
              <w:spacing w:after="0"/>
              <w:rPr>
                <w:sz w:val="20"/>
                <w:szCs w:val="20"/>
                <w:color w:val="auto"/>
              </w:rPr>
            </w:pPr>
            <w:r>
              <w:rPr>
                <w:rFonts w:ascii="Arial" w:cs="Arial" w:eastAsia="Arial" w:hAnsi="Arial"/>
                <w:sz w:val="16"/>
                <w:szCs w:val="16"/>
                <w:color w:val="auto"/>
              </w:rPr>
              <w:t>49.8%</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Stock-based compensation</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339"/>
              <w:spacing w:after="0"/>
              <w:rPr>
                <w:sz w:val="20"/>
                <w:szCs w:val="20"/>
                <w:color w:val="auto"/>
              </w:rPr>
            </w:pPr>
            <w:r>
              <w:rPr>
                <w:rFonts w:ascii="Arial" w:cs="Arial" w:eastAsia="Arial" w:hAnsi="Arial"/>
                <w:sz w:val="16"/>
                <w:szCs w:val="16"/>
                <w:color w:val="auto"/>
              </w:rPr>
              <w:t>0.1%</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Amortization of acquired technology</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339"/>
              <w:spacing w:after="0"/>
              <w:rPr>
                <w:sz w:val="20"/>
                <w:szCs w:val="20"/>
                <w:color w:val="auto"/>
              </w:rPr>
            </w:pPr>
            <w:r>
              <w:rPr>
                <w:rFonts w:ascii="Arial" w:cs="Arial" w:eastAsia="Arial" w:hAnsi="Arial"/>
                <w:sz w:val="16"/>
                <w:szCs w:val="16"/>
                <w:color w:val="auto"/>
              </w:rPr>
              <w:t>2.4%</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Acquisition-related inventory adjustment</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339"/>
              <w:spacing w:after="0"/>
              <w:rPr>
                <w:sz w:val="20"/>
                <w:szCs w:val="20"/>
                <w:color w:val="auto"/>
              </w:rPr>
            </w:pPr>
            <w:r>
              <w:rPr>
                <w:rFonts w:ascii="Arial" w:cs="Arial" w:eastAsia="Arial" w:hAnsi="Arial"/>
                <w:sz w:val="16"/>
                <w:szCs w:val="16"/>
                <w:color w:val="auto"/>
              </w:rPr>
              <w:t>0.0%</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E7AA2"/>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Non-GAAP Gross margin</w:t>
            </w:r>
          </w:p>
        </w:tc>
        <w:tc>
          <w:tcPr>
            <w:tcW w:w="460" w:type="dxa"/>
            <w:vAlign w:val="bottom"/>
            <w:tcBorders>
              <w:bottom w:val="single" w:sz="8" w:color="EE7AA2"/>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E7AA2"/>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7AA2"/>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E7AA2"/>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E7AA2"/>
            </w:tcBorders>
          </w:tcPr>
          <w:p>
            <w:pPr>
              <w:jc w:val="right"/>
              <w:ind w:right="339"/>
              <w:spacing w:after="0"/>
              <w:rPr>
                <w:sz w:val="20"/>
                <w:szCs w:val="20"/>
                <w:color w:val="auto"/>
              </w:rPr>
            </w:pPr>
            <w:r>
              <w:rPr>
                <w:rFonts w:ascii="Arial" w:cs="Arial" w:eastAsia="Arial" w:hAnsi="Arial"/>
                <w:sz w:val="16"/>
                <w:szCs w:val="16"/>
                <w:color w:val="auto"/>
              </w:rPr>
              <w:t>52.3%</w:t>
            </w:r>
          </w:p>
        </w:tc>
        <w:tc>
          <w:tcPr>
            <w:tcW w:w="840" w:type="dxa"/>
            <w:vAlign w:val="bottom"/>
            <w:tcBorders>
              <w:bottom w:val="single" w:sz="8" w:color="EE7AA2"/>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0"/>
        </w:trPr>
        <w:tc>
          <w:tcPr>
            <w:tcW w:w="5000" w:type="dxa"/>
            <w:vAlign w:val="bottom"/>
            <w:tcBorders>
              <w:bottom w:val="single" w:sz="8" w:color="EE7AA2"/>
            </w:tcBorders>
          </w:tcPr>
          <w:p>
            <w:pPr>
              <w:spacing w:after="0" w:line="20" w:lineRule="exact"/>
              <w:rPr>
                <w:sz w:val="1"/>
                <w:szCs w:val="1"/>
                <w:color w:val="auto"/>
              </w:rPr>
            </w:pPr>
          </w:p>
        </w:tc>
        <w:tc>
          <w:tcPr>
            <w:tcW w:w="460" w:type="dxa"/>
            <w:vAlign w:val="bottom"/>
            <w:tcBorders>
              <w:bottom w:val="single" w:sz="8" w:color="EE7AA2"/>
            </w:tcBorders>
          </w:tcPr>
          <w:p>
            <w:pPr>
              <w:spacing w:after="0" w:line="20" w:lineRule="exact"/>
              <w:rPr>
                <w:sz w:val="1"/>
                <w:szCs w:val="1"/>
                <w:color w:val="auto"/>
              </w:rPr>
            </w:pPr>
          </w:p>
        </w:tc>
        <w:tc>
          <w:tcPr>
            <w:tcW w:w="220" w:type="dxa"/>
            <w:vAlign w:val="bottom"/>
            <w:tcBorders>
              <w:bottom w:val="single" w:sz="8" w:color="EE7AA2"/>
            </w:tcBorders>
          </w:tcPr>
          <w:p>
            <w:pPr>
              <w:spacing w:after="0" w:line="20" w:lineRule="exact"/>
              <w:rPr>
                <w:sz w:val="1"/>
                <w:szCs w:val="1"/>
                <w:color w:val="auto"/>
              </w:rPr>
            </w:pPr>
          </w:p>
        </w:tc>
        <w:tc>
          <w:tcPr>
            <w:tcW w:w="1160" w:type="dxa"/>
            <w:vAlign w:val="bottom"/>
            <w:tcBorders>
              <w:bottom w:val="single" w:sz="8" w:color="EE7AA2"/>
            </w:tcBorders>
          </w:tcPr>
          <w:p>
            <w:pPr>
              <w:spacing w:after="0" w:line="20" w:lineRule="exact"/>
              <w:rPr>
                <w:sz w:val="1"/>
                <w:szCs w:val="1"/>
                <w:color w:val="auto"/>
              </w:rPr>
            </w:pPr>
          </w:p>
        </w:tc>
        <w:tc>
          <w:tcPr>
            <w:tcW w:w="80" w:type="dxa"/>
            <w:vAlign w:val="bottom"/>
            <w:tcBorders>
              <w:bottom w:val="single" w:sz="8" w:color="EE7AA2"/>
            </w:tcBorders>
          </w:tcPr>
          <w:p>
            <w:pPr>
              <w:spacing w:after="0" w:line="20" w:lineRule="exact"/>
              <w:rPr>
                <w:sz w:val="1"/>
                <w:szCs w:val="1"/>
                <w:color w:val="auto"/>
              </w:rPr>
            </w:pPr>
          </w:p>
        </w:tc>
        <w:tc>
          <w:tcPr>
            <w:tcW w:w="1100" w:type="dxa"/>
            <w:vAlign w:val="bottom"/>
            <w:tcBorders>
              <w:bottom w:val="single" w:sz="8" w:color="EE7AA2"/>
            </w:tcBorders>
          </w:tcPr>
          <w:p>
            <w:pPr>
              <w:spacing w:after="0" w:line="20" w:lineRule="exact"/>
              <w:rPr>
                <w:sz w:val="1"/>
                <w:szCs w:val="1"/>
                <w:color w:val="auto"/>
              </w:rPr>
            </w:pPr>
          </w:p>
        </w:tc>
        <w:tc>
          <w:tcPr>
            <w:tcW w:w="840" w:type="dxa"/>
            <w:vAlign w:val="bottom"/>
            <w:tcBorders>
              <w:bottom w:val="single" w:sz="8" w:color="EE7AA2"/>
            </w:tcBorders>
          </w:tcPr>
          <w:p>
            <w:pPr>
              <w:spacing w:after="0" w:line="20" w:lineRule="exact"/>
              <w:rPr>
                <w:sz w:val="1"/>
                <w:szCs w:val="1"/>
                <w:color w:val="auto"/>
              </w:rPr>
            </w:pPr>
          </w:p>
        </w:tc>
      </w:tr>
      <w:tr>
        <w:trPr>
          <w:trHeight w:val="291"/>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GAAP Income (loss) from operations</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 $</w:t>
            </w:r>
          </w:p>
        </w:tc>
        <w:tc>
          <w:tcPr>
            <w:tcW w:w="80" w:type="dxa"/>
            <w:vAlign w:val="bottom"/>
            <w:tcBorders>
              <w:bottom w:val="single" w:sz="8" w:color="E7417A"/>
            </w:tcBorders>
          </w:tcPr>
          <w:p>
            <w:pPr>
              <w:spacing w:after="0"/>
              <w:rPr>
                <w:sz w:val="24"/>
                <w:szCs w:val="24"/>
                <w:color w:val="auto"/>
              </w:rPr>
            </w:pPr>
          </w:p>
        </w:tc>
        <w:tc>
          <w:tcPr>
            <w:tcW w:w="1100" w:type="dxa"/>
            <w:vAlign w:val="bottom"/>
            <w:tcBorders>
              <w:bottom w:val="single" w:sz="8" w:color="E7417A"/>
            </w:tcBorders>
          </w:tcPr>
          <w:p>
            <w:pPr>
              <w:jc w:val="right"/>
              <w:ind w:right="419"/>
              <w:spacing w:after="0"/>
              <w:rPr>
                <w:sz w:val="20"/>
                <w:szCs w:val="20"/>
                <w:color w:val="auto"/>
              </w:rPr>
            </w:pPr>
            <w:r>
              <w:rPr>
                <w:rFonts w:ascii="Arial" w:cs="Arial" w:eastAsia="Arial" w:hAnsi="Arial"/>
                <w:sz w:val="16"/>
                <w:szCs w:val="16"/>
                <w:color w:val="auto"/>
              </w:rPr>
              <w:t>(3,324)</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Depreciation</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479"/>
              <w:spacing w:after="0"/>
              <w:rPr>
                <w:sz w:val="20"/>
                <w:szCs w:val="20"/>
                <w:color w:val="auto"/>
              </w:rPr>
            </w:pPr>
            <w:r>
              <w:rPr>
                <w:rFonts w:ascii="Arial" w:cs="Arial" w:eastAsia="Arial" w:hAnsi="Arial"/>
                <w:sz w:val="16"/>
                <w:szCs w:val="16"/>
                <w:color w:val="auto"/>
              </w:rPr>
              <w:t>16,728</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Amortization of acquired intangible assets</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479"/>
              <w:spacing w:after="0"/>
              <w:rPr>
                <w:sz w:val="20"/>
                <w:szCs w:val="20"/>
                <w:color w:val="auto"/>
              </w:rPr>
            </w:pPr>
            <w:r>
              <w:rPr>
                <w:rFonts w:ascii="Arial" w:cs="Arial" w:eastAsia="Arial" w:hAnsi="Arial"/>
                <w:sz w:val="16"/>
                <w:szCs w:val="16"/>
                <w:color w:val="auto"/>
              </w:rPr>
              <w:t>44,193</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Impairment of goodwill</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4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Stock-based compensation</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7417A"/>
            </w:tcBorders>
            <w:gridSpan w:val="2"/>
          </w:tcPr>
          <w:p>
            <w:pPr>
              <w:jc w:val="right"/>
              <w:ind w:right="479"/>
              <w:spacing w:after="0"/>
              <w:rPr>
                <w:sz w:val="20"/>
                <w:szCs w:val="20"/>
                <w:color w:val="auto"/>
              </w:rPr>
            </w:pPr>
            <w:r>
              <w:rPr>
                <w:rFonts w:ascii="Arial" w:cs="Arial" w:eastAsia="Arial" w:hAnsi="Arial"/>
                <w:sz w:val="16"/>
                <w:szCs w:val="16"/>
                <w:color w:val="auto"/>
              </w:rPr>
              <w:t>​ 19,406</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Acquisition-related inventory adjustment</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4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Litigation costs</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479"/>
              <w:spacing w:after="0"/>
              <w:rPr>
                <w:sz w:val="20"/>
                <w:szCs w:val="20"/>
                <w:color w:val="auto"/>
              </w:rPr>
            </w:pPr>
            <w:r>
              <w:rPr>
                <w:rFonts w:ascii="Arial" w:cs="Arial" w:eastAsia="Arial" w:hAnsi="Arial"/>
                <w:sz w:val="16"/>
                <w:szCs w:val="16"/>
                <w:color w:val="auto"/>
              </w:rPr>
              <w:t>5,039</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Cybersecurity incident</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479"/>
              <w:spacing w:after="0"/>
              <w:rPr>
                <w:sz w:val="20"/>
                <w:szCs w:val="20"/>
                <w:color w:val="auto"/>
              </w:rPr>
            </w:pPr>
            <w:r>
              <w:rPr>
                <w:rFonts w:ascii="Arial" w:cs="Arial" w:eastAsia="Arial" w:hAnsi="Arial"/>
                <w:sz w:val="16"/>
                <w:szCs w:val="16"/>
                <w:color w:val="auto"/>
              </w:rPr>
              <w:t>600</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Acquisition-, disposal- and integration-related</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479"/>
              <w:spacing w:after="0"/>
              <w:rPr>
                <w:sz w:val="20"/>
                <w:szCs w:val="20"/>
                <w:color w:val="auto"/>
              </w:rPr>
            </w:pPr>
            <w:r>
              <w:rPr>
                <w:rFonts w:ascii="Arial" w:cs="Arial" w:eastAsia="Arial" w:hAnsi="Arial"/>
                <w:sz w:val="16"/>
                <w:szCs w:val="16"/>
                <w:color w:val="auto"/>
              </w:rPr>
              <w:t>4,337</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Restructuring and related</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479"/>
              <w:spacing w:after="0"/>
              <w:rPr>
                <w:sz w:val="20"/>
                <w:szCs w:val="20"/>
                <w:color w:val="auto"/>
              </w:rPr>
            </w:pPr>
            <w:r>
              <w:rPr>
                <w:rFonts w:ascii="Arial" w:cs="Arial" w:eastAsia="Arial" w:hAnsi="Arial"/>
                <w:sz w:val="16"/>
                <w:szCs w:val="16"/>
                <w:color w:val="auto"/>
              </w:rPr>
              <w:t>19,658</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E7AA2"/>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Non-GAAP Adjusted EBITDA</w:t>
            </w:r>
          </w:p>
        </w:tc>
        <w:tc>
          <w:tcPr>
            <w:tcW w:w="460" w:type="dxa"/>
            <w:vAlign w:val="bottom"/>
            <w:tcBorders>
              <w:bottom w:val="single" w:sz="8" w:color="EE7AA2"/>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E7AA2"/>
            </w:tcBorders>
          </w:tcPr>
          <w:p>
            <w:pPr>
              <w:ind w:left="100"/>
              <w:spacing w:after="0"/>
              <w:rPr>
                <w:sz w:val="20"/>
                <w:szCs w:val="20"/>
                <w:color w:val="auto"/>
              </w:rPr>
            </w:pPr>
            <w:r>
              <w:rPr>
                <w:rFonts w:ascii="Arial" w:cs="Arial" w:eastAsia="Arial" w:hAnsi="Arial"/>
                <w:sz w:val="16"/>
                <w:szCs w:val="16"/>
                <w:color w:val="auto"/>
              </w:rPr>
              <w:t>​</w:t>
            </w:r>
          </w:p>
        </w:tc>
        <w:tc>
          <w:tcPr>
            <w:tcW w:w="2340" w:type="dxa"/>
            <w:vAlign w:val="bottom"/>
            <w:tcBorders>
              <w:bottom w:val="single" w:sz="8" w:color="EE7AA2"/>
            </w:tcBorders>
            <w:gridSpan w:val="3"/>
          </w:tcPr>
          <w:p>
            <w:pPr>
              <w:ind w:left="1000"/>
              <w:spacing w:after="0"/>
              <w:rPr>
                <w:sz w:val="20"/>
                <w:szCs w:val="20"/>
                <w:color w:val="auto"/>
              </w:rPr>
            </w:pPr>
            <w:r>
              <w:rPr>
                <w:rFonts w:ascii="Arial" w:cs="Arial" w:eastAsia="Arial" w:hAnsi="Arial"/>
                <w:sz w:val="16"/>
                <w:szCs w:val="16"/>
                <w:color w:val="auto"/>
              </w:rPr>
              <w:t>​ $ 106,637</w:t>
            </w:r>
          </w:p>
        </w:tc>
        <w:tc>
          <w:tcPr>
            <w:tcW w:w="840" w:type="dxa"/>
            <w:vAlign w:val="bottom"/>
            <w:tcBorders>
              <w:bottom w:val="single" w:sz="8" w:color="EE7AA2"/>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0"/>
        </w:trPr>
        <w:tc>
          <w:tcPr>
            <w:tcW w:w="5000" w:type="dxa"/>
            <w:vAlign w:val="bottom"/>
            <w:tcBorders>
              <w:bottom w:val="single" w:sz="8" w:color="EE7AA2"/>
            </w:tcBorders>
          </w:tcPr>
          <w:p>
            <w:pPr>
              <w:spacing w:after="0" w:line="20" w:lineRule="exact"/>
              <w:rPr>
                <w:sz w:val="1"/>
                <w:szCs w:val="1"/>
                <w:color w:val="auto"/>
              </w:rPr>
            </w:pPr>
          </w:p>
        </w:tc>
        <w:tc>
          <w:tcPr>
            <w:tcW w:w="460" w:type="dxa"/>
            <w:vAlign w:val="bottom"/>
            <w:tcBorders>
              <w:bottom w:val="single" w:sz="8" w:color="EE7AA2"/>
            </w:tcBorders>
          </w:tcPr>
          <w:p>
            <w:pPr>
              <w:spacing w:after="0" w:line="20" w:lineRule="exact"/>
              <w:rPr>
                <w:sz w:val="1"/>
                <w:szCs w:val="1"/>
                <w:color w:val="auto"/>
              </w:rPr>
            </w:pPr>
          </w:p>
        </w:tc>
        <w:tc>
          <w:tcPr>
            <w:tcW w:w="220" w:type="dxa"/>
            <w:vAlign w:val="bottom"/>
            <w:tcBorders>
              <w:bottom w:val="single" w:sz="8" w:color="EE7AA2"/>
            </w:tcBorders>
          </w:tcPr>
          <w:p>
            <w:pPr>
              <w:spacing w:after="0" w:line="20" w:lineRule="exact"/>
              <w:rPr>
                <w:sz w:val="1"/>
                <w:szCs w:val="1"/>
                <w:color w:val="auto"/>
              </w:rPr>
            </w:pPr>
          </w:p>
        </w:tc>
        <w:tc>
          <w:tcPr>
            <w:tcW w:w="1160" w:type="dxa"/>
            <w:vAlign w:val="bottom"/>
            <w:tcBorders>
              <w:bottom w:val="single" w:sz="8" w:color="EE7AA2"/>
            </w:tcBorders>
          </w:tcPr>
          <w:p>
            <w:pPr>
              <w:spacing w:after="0" w:line="20" w:lineRule="exact"/>
              <w:rPr>
                <w:sz w:val="1"/>
                <w:szCs w:val="1"/>
                <w:color w:val="auto"/>
              </w:rPr>
            </w:pPr>
          </w:p>
        </w:tc>
        <w:tc>
          <w:tcPr>
            <w:tcW w:w="80" w:type="dxa"/>
            <w:vAlign w:val="bottom"/>
            <w:tcBorders>
              <w:bottom w:val="single" w:sz="8" w:color="EE7AA2"/>
            </w:tcBorders>
          </w:tcPr>
          <w:p>
            <w:pPr>
              <w:spacing w:after="0" w:line="20" w:lineRule="exact"/>
              <w:rPr>
                <w:sz w:val="1"/>
                <w:szCs w:val="1"/>
                <w:color w:val="auto"/>
              </w:rPr>
            </w:pPr>
          </w:p>
        </w:tc>
        <w:tc>
          <w:tcPr>
            <w:tcW w:w="1100" w:type="dxa"/>
            <w:vAlign w:val="bottom"/>
            <w:tcBorders>
              <w:bottom w:val="single" w:sz="8" w:color="EE7AA2"/>
            </w:tcBorders>
          </w:tcPr>
          <w:p>
            <w:pPr>
              <w:spacing w:after="0" w:line="20" w:lineRule="exact"/>
              <w:rPr>
                <w:sz w:val="1"/>
                <w:szCs w:val="1"/>
                <w:color w:val="auto"/>
              </w:rPr>
            </w:pPr>
          </w:p>
        </w:tc>
        <w:tc>
          <w:tcPr>
            <w:tcW w:w="840" w:type="dxa"/>
            <w:vAlign w:val="bottom"/>
            <w:tcBorders>
              <w:bottom w:val="single" w:sz="8" w:color="EE7AA2"/>
            </w:tcBorders>
          </w:tcPr>
          <w:p>
            <w:pPr>
              <w:spacing w:after="0" w:line="20" w:lineRule="exact"/>
              <w:rPr>
                <w:sz w:val="1"/>
                <w:szCs w:val="1"/>
                <w:color w:val="auto"/>
              </w:rPr>
            </w:pPr>
          </w:p>
        </w:tc>
      </w:tr>
      <w:tr>
        <w:trPr>
          <w:trHeight w:val="291"/>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b w:val="1"/>
                <w:bCs w:val="1"/>
                <w:color w:val="auto"/>
              </w:rPr>
              <w:t>​ Adjusted EBITDA Margin (Adjusted EBITDA/Revenue):</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7417A"/>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b w:val="1"/>
                <w:bCs w:val="1"/>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GAAP Income (loss) from operations</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279"/>
              <w:spacing w:after="0"/>
              <w:rPr>
                <w:sz w:val="20"/>
                <w:szCs w:val="20"/>
                <w:color w:val="auto"/>
              </w:rPr>
            </w:pPr>
            <w:r>
              <w:rPr>
                <w:rFonts w:ascii="Arial" w:cs="Arial" w:eastAsia="Arial" w:hAnsi="Arial"/>
                <w:sz w:val="16"/>
                <w:szCs w:val="16"/>
                <w:color w:val="auto"/>
              </w:rPr>
              <w:t>(0.4)%</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Depreciation</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339"/>
              <w:spacing w:after="0"/>
              <w:rPr>
                <w:sz w:val="20"/>
                <w:szCs w:val="20"/>
                <w:color w:val="auto"/>
              </w:rPr>
            </w:pPr>
            <w:r>
              <w:rPr>
                <w:rFonts w:ascii="Arial" w:cs="Arial" w:eastAsia="Arial" w:hAnsi="Arial"/>
                <w:sz w:val="16"/>
                <w:szCs w:val="16"/>
                <w:color w:val="auto"/>
              </w:rPr>
              <w:t>2.0%</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Amortization of acquired intangible assets</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339"/>
              <w:spacing w:after="0"/>
              <w:rPr>
                <w:sz w:val="20"/>
                <w:szCs w:val="20"/>
                <w:color w:val="auto"/>
              </w:rPr>
            </w:pPr>
            <w:r>
              <w:rPr>
                <w:rFonts w:ascii="Arial" w:cs="Arial" w:eastAsia="Arial" w:hAnsi="Arial"/>
                <w:sz w:val="16"/>
                <w:szCs w:val="16"/>
                <w:color w:val="auto"/>
              </w:rPr>
              <w:t>5.2%</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Impairment of goodwill</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339"/>
              <w:spacing w:after="0"/>
              <w:rPr>
                <w:sz w:val="20"/>
                <w:szCs w:val="20"/>
                <w:color w:val="auto"/>
              </w:rPr>
            </w:pPr>
            <w:r>
              <w:rPr>
                <w:rFonts w:ascii="Arial" w:cs="Arial" w:eastAsia="Arial" w:hAnsi="Arial"/>
                <w:sz w:val="16"/>
                <w:szCs w:val="16"/>
                <w:color w:val="auto"/>
              </w:rPr>
              <w:t>0.0%</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Stock-based compensation</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339"/>
              <w:spacing w:after="0"/>
              <w:rPr>
                <w:sz w:val="20"/>
                <w:szCs w:val="20"/>
                <w:color w:val="auto"/>
              </w:rPr>
            </w:pPr>
            <w:r>
              <w:rPr>
                <w:rFonts w:ascii="Arial" w:cs="Arial" w:eastAsia="Arial" w:hAnsi="Arial"/>
                <w:sz w:val="16"/>
                <w:szCs w:val="16"/>
                <w:color w:val="auto"/>
              </w:rPr>
              <w:t>2.3%</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Acquisition-related inventory adjustment</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339"/>
              <w:spacing w:after="0"/>
              <w:rPr>
                <w:sz w:val="20"/>
                <w:szCs w:val="20"/>
                <w:color w:val="auto"/>
              </w:rPr>
            </w:pPr>
            <w:r>
              <w:rPr>
                <w:rFonts w:ascii="Arial" w:cs="Arial" w:eastAsia="Arial" w:hAnsi="Arial"/>
                <w:sz w:val="16"/>
                <w:szCs w:val="16"/>
                <w:color w:val="auto"/>
              </w:rPr>
              <w:t>0.0%</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Litigation costs</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339"/>
              <w:spacing w:after="0"/>
              <w:rPr>
                <w:sz w:val="20"/>
                <w:szCs w:val="20"/>
                <w:color w:val="auto"/>
              </w:rPr>
            </w:pPr>
            <w:r>
              <w:rPr>
                <w:rFonts w:ascii="Arial" w:cs="Arial" w:eastAsia="Arial" w:hAnsi="Arial"/>
                <w:sz w:val="16"/>
                <w:szCs w:val="16"/>
                <w:color w:val="auto"/>
              </w:rPr>
              <w:t>0.6%</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Cybersecurity incident</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339"/>
              <w:spacing w:after="0"/>
              <w:rPr>
                <w:sz w:val="20"/>
                <w:szCs w:val="20"/>
                <w:color w:val="auto"/>
              </w:rPr>
            </w:pPr>
            <w:r>
              <w:rPr>
                <w:rFonts w:ascii="Arial" w:cs="Arial" w:eastAsia="Arial" w:hAnsi="Arial"/>
                <w:sz w:val="16"/>
                <w:szCs w:val="16"/>
                <w:color w:val="auto"/>
              </w:rPr>
              <w:t>0.1%</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Acquisition-, disposal- and integration-related</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339"/>
              <w:spacing w:after="0"/>
              <w:rPr>
                <w:sz w:val="20"/>
                <w:szCs w:val="20"/>
                <w:color w:val="auto"/>
              </w:rPr>
            </w:pPr>
            <w:r>
              <w:rPr>
                <w:rFonts w:ascii="Arial" w:cs="Arial" w:eastAsia="Arial" w:hAnsi="Arial"/>
                <w:sz w:val="16"/>
                <w:szCs w:val="16"/>
                <w:color w:val="auto"/>
              </w:rPr>
              <w:t>0.5%</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 Restructuring and related</w:t>
            </w:r>
          </w:p>
        </w:tc>
        <w:tc>
          <w:tcPr>
            <w:tcW w:w="460" w:type="dxa"/>
            <w:vAlign w:val="bottom"/>
            <w:tcBorders>
              <w:bottom w:val="single" w:sz="8" w:color="E7417A"/>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7417A"/>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7417A"/>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7417A"/>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7417A"/>
            </w:tcBorders>
          </w:tcPr>
          <w:p>
            <w:pPr>
              <w:jc w:val="right"/>
              <w:ind w:right="339"/>
              <w:spacing w:after="0"/>
              <w:rPr>
                <w:sz w:val="20"/>
                <w:szCs w:val="20"/>
                <w:color w:val="auto"/>
              </w:rPr>
            </w:pPr>
            <w:r>
              <w:rPr>
                <w:rFonts w:ascii="Arial" w:cs="Arial" w:eastAsia="Arial" w:hAnsi="Arial"/>
                <w:sz w:val="16"/>
                <w:szCs w:val="16"/>
                <w:color w:val="auto"/>
              </w:rPr>
              <w:t>2.3%</w:t>
            </w:r>
          </w:p>
        </w:tc>
        <w:tc>
          <w:tcPr>
            <w:tcW w:w="840" w:type="dxa"/>
            <w:vAlign w:val="bottom"/>
            <w:tcBorders>
              <w:bottom w:val="single" w:sz="8" w:color="E7417A"/>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23"/>
        </w:trPr>
        <w:tc>
          <w:tcPr>
            <w:tcW w:w="5000" w:type="dxa"/>
            <w:vAlign w:val="bottom"/>
            <w:tcBorders>
              <w:bottom w:val="single" w:sz="8" w:color="EE7AA2"/>
            </w:tcBorders>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Non-GAAP Adjusted EBITDA Margin</w:t>
            </w:r>
          </w:p>
        </w:tc>
        <w:tc>
          <w:tcPr>
            <w:tcW w:w="460" w:type="dxa"/>
            <w:vAlign w:val="bottom"/>
            <w:tcBorders>
              <w:bottom w:val="single" w:sz="8" w:color="EE7AA2"/>
            </w:tcBorders>
          </w:tcPr>
          <w:p>
            <w:pPr>
              <w:ind w:left="3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E7AA2"/>
            </w:tcBorders>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EE7AA2"/>
            </w:tcBorders>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E7AA2"/>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E7AA2"/>
            </w:tcBorders>
          </w:tcPr>
          <w:p>
            <w:pPr>
              <w:jc w:val="right"/>
              <w:ind w:right="339"/>
              <w:spacing w:after="0"/>
              <w:rPr>
                <w:sz w:val="20"/>
                <w:szCs w:val="20"/>
                <w:color w:val="auto"/>
              </w:rPr>
            </w:pPr>
            <w:r>
              <w:rPr>
                <w:rFonts w:ascii="Arial" w:cs="Arial" w:eastAsia="Arial" w:hAnsi="Arial"/>
                <w:sz w:val="16"/>
                <w:szCs w:val="16"/>
                <w:color w:val="auto"/>
              </w:rPr>
              <w:t>12.6%</w:t>
            </w:r>
          </w:p>
        </w:tc>
        <w:tc>
          <w:tcPr>
            <w:tcW w:w="840" w:type="dxa"/>
            <w:vAlign w:val="bottom"/>
            <w:tcBorders>
              <w:bottom w:val="single" w:sz="8" w:color="EE7AA2"/>
            </w:tcBorders>
          </w:tcPr>
          <w:p>
            <w:pPr>
              <w:jc w:val="right"/>
              <w:ind w:right="299"/>
              <w:spacing w:after="0"/>
              <w:rPr>
                <w:sz w:val="20"/>
                <w:szCs w:val="20"/>
                <w:color w:val="auto"/>
              </w:rPr>
            </w:pPr>
            <w:r>
              <w:rPr>
                <w:rFonts w:ascii="Arial" w:cs="Arial" w:eastAsia="Arial" w:hAnsi="Arial"/>
                <w:sz w:val="16"/>
                <w:szCs w:val="16"/>
                <w:color w:val="auto"/>
              </w:rPr>
              <w:t>​ ​</w:t>
            </w:r>
          </w:p>
        </w:tc>
      </w:tr>
      <w:tr>
        <w:trPr>
          <w:trHeight w:val="20"/>
        </w:trPr>
        <w:tc>
          <w:tcPr>
            <w:tcW w:w="5000" w:type="dxa"/>
            <w:vAlign w:val="bottom"/>
            <w:tcBorders>
              <w:bottom w:val="single" w:sz="8" w:color="EE7AA2"/>
            </w:tcBorders>
          </w:tcPr>
          <w:p>
            <w:pPr>
              <w:spacing w:after="0" w:line="20" w:lineRule="exact"/>
              <w:rPr>
                <w:sz w:val="1"/>
                <w:szCs w:val="1"/>
                <w:color w:val="auto"/>
              </w:rPr>
            </w:pPr>
          </w:p>
        </w:tc>
        <w:tc>
          <w:tcPr>
            <w:tcW w:w="460" w:type="dxa"/>
            <w:vAlign w:val="bottom"/>
            <w:tcBorders>
              <w:bottom w:val="single" w:sz="8" w:color="EE7AA2"/>
            </w:tcBorders>
          </w:tcPr>
          <w:p>
            <w:pPr>
              <w:spacing w:after="0" w:line="20" w:lineRule="exact"/>
              <w:rPr>
                <w:sz w:val="1"/>
                <w:szCs w:val="1"/>
                <w:color w:val="auto"/>
              </w:rPr>
            </w:pPr>
          </w:p>
        </w:tc>
        <w:tc>
          <w:tcPr>
            <w:tcW w:w="220" w:type="dxa"/>
            <w:vAlign w:val="bottom"/>
            <w:tcBorders>
              <w:bottom w:val="single" w:sz="8" w:color="EE7AA2"/>
            </w:tcBorders>
          </w:tcPr>
          <w:p>
            <w:pPr>
              <w:spacing w:after="0" w:line="20" w:lineRule="exact"/>
              <w:rPr>
                <w:sz w:val="1"/>
                <w:szCs w:val="1"/>
                <w:color w:val="auto"/>
              </w:rPr>
            </w:pPr>
          </w:p>
        </w:tc>
        <w:tc>
          <w:tcPr>
            <w:tcW w:w="1160" w:type="dxa"/>
            <w:vAlign w:val="bottom"/>
            <w:tcBorders>
              <w:bottom w:val="single" w:sz="8" w:color="EE7AA2"/>
            </w:tcBorders>
          </w:tcPr>
          <w:p>
            <w:pPr>
              <w:spacing w:after="0" w:line="20" w:lineRule="exact"/>
              <w:rPr>
                <w:sz w:val="1"/>
                <w:szCs w:val="1"/>
                <w:color w:val="auto"/>
              </w:rPr>
            </w:pPr>
          </w:p>
        </w:tc>
        <w:tc>
          <w:tcPr>
            <w:tcW w:w="80" w:type="dxa"/>
            <w:vAlign w:val="bottom"/>
            <w:tcBorders>
              <w:bottom w:val="single" w:sz="8" w:color="EE7AA2"/>
            </w:tcBorders>
          </w:tcPr>
          <w:p>
            <w:pPr>
              <w:spacing w:after="0" w:line="20" w:lineRule="exact"/>
              <w:rPr>
                <w:sz w:val="1"/>
                <w:szCs w:val="1"/>
                <w:color w:val="auto"/>
              </w:rPr>
            </w:pPr>
          </w:p>
        </w:tc>
        <w:tc>
          <w:tcPr>
            <w:tcW w:w="1100" w:type="dxa"/>
            <w:vAlign w:val="bottom"/>
            <w:tcBorders>
              <w:bottom w:val="single" w:sz="8" w:color="EE7AA2"/>
            </w:tcBorders>
          </w:tcPr>
          <w:p>
            <w:pPr>
              <w:spacing w:after="0" w:line="20" w:lineRule="exact"/>
              <w:rPr>
                <w:sz w:val="1"/>
                <w:szCs w:val="1"/>
                <w:color w:val="auto"/>
              </w:rPr>
            </w:pPr>
          </w:p>
        </w:tc>
        <w:tc>
          <w:tcPr>
            <w:tcW w:w="840" w:type="dxa"/>
            <w:vAlign w:val="bottom"/>
            <w:tcBorders>
              <w:bottom w:val="single" w:sz="8" w:color="EE7AA2"/>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Ribbon Communications Inc.</w:t>
      </w:r>
      <w:r>
        <w:rPr>
          <w:rFonts w:ascii="Arial" w:cs="Arial" w:eastAsia="Arial" w:hAnsi="Arial"/>
          <w:sz w:val="16"/>
          <w:szCs w:val="16"/>
          <w:color w:val="auto"/>
        </w:rPr>
        <w:t xml:space="preserve">  2026 Proxy Statement </w:t>
      </w:r>
      <w:r>
        <w:rPr>
          <w:rFonts w:ascii="Arial" w:cs="Arial" w:eastAsia="Arial" w:hAnsi="Arial"/>
          <w:sz w:val="16"/>
          <w:szCs w:val="16"/>
          <w:b w:val="1"/>
          <w:bCs w:val="1"/>
          <w:color w:val="auto"/>
        </w:rPr>
        <w:t xml:space="preserve"> </w:t>
      </w:r>
      <w:r>
        <w:rPr>
          <w:rFonts w:ascii="Arial" w:cs="Arial" w:eastAsia="Arial" w:hAnsi="Arial"/>
          <w:sz w:val="16"/>
          <w:szCs w:val="16"/>
          <w:color w:val="E7417A"/>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w:t>
      </w:r>
      <w:r>
        <w:rPr>
          <w:rFonts w:ascii="Arial" w:cs="Arial" w:eastAsia="Arial" w:hAnsi="Arial"/>
          <w:sz w:val="17"/>
          <w:szCs w:val="17"/>
          <w:b w:val="1"/>
          <w:bCs w:val="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166370</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-55245</wp:posOffset>
            </wp:positionV>
            <wp:extent cx="6292215" cy="814387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85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30480</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6831965" cy="85255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31965" cy="85255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
      <w:numFmt w:val="bullet"/>
      <w:start w:val="1"/>
    </w:lvl>
  </w:abstractNum>
  <w:abstractNum w:abstractNumId="4">
    <w:nsid w:val="51D9C564"/>
    <w:multiLevelType w:val="hybridMultilevel"/>
    <w:lvl w:ilvl="0">
      <w:lvlJc w:val="left"/>
      <w:lvlText w:val="☐"/>
      <w:numFmt w:val="bullet"/>
      <w:start w:val="1"/>
    </w:lvl>
  </w:abstractNum>
  <w:abstractNum w:abstractNumId="5">
    <w:nsid w:val="613EFDC5"/>
    <w:multiLevelType w:val="hybridMultilevel"/>
    <w:lvl w:ilvl="0">
      <w:lvlJc w:val="left"/>
      <w:lvlText w:val="6"/>
      <w:numFmt w:val="bullet"/>
      <w:start w:val="1"/>
    </w:lvl>
  </w:abstractNum>
  <w:abstractNum w:abstractNumId="6">
    <w:nsid w:val="BF72B14"/>
    <w:multiLevelType w:val="hybridMultilevel"/>
    <w:lvl w:ilvl="0">
      <w:lvlJc w:val="left"/>
      <w:lvlText w:val="​"/>
      <w:numFmt w:val="bullet"/>
      <w:start w:val="1"/>
    </w:lvl>
    <w:lvl w:ilvl="1">
      <w:lvlJc w:val="left"/>
      <w:lvlText w:val="%2"/>
      <w:numFmt w:val="decimal"/>
      <w:start w:val="36"/>
    </w:lvl>
  </w:abstractNum>
  <w:abstractNum w:abstractNumId="7">
    <w:nsid w:val="11447B73"/>
    <w:multiLevelType w:val="hybridMultilevel"/>
    <w:lvl w:ilvl="0">
      <w:lvlJc w:val="left"/>
      <w:lvlText w:val="■"/>
      <w:numFmt w:val="bullet"/>
      <w:start w:val="1"/>
    </w:lvl>
  </w:abstractNum>
  <w:abstractNum w:abstractNumId="8">
    <w:nsid w:val="42963E5A"/>
    <w:multiLevelType w:val="hybridMultilevel"/>
    <w:lvl w:ilvl="0">
      <w:lvlJc w:val="left"/>
      <w:lvlText w:val="(%1)"/>
      <w:numFmt w:val="lowerRoman"/>
      <w:start w:val="1"/>
    </w:lvl>
  </w:abstractNum>
  <w:abstractNum w:abstractNumId="9">
    <w:nsid w:val="A0382C5"/>
    <w:multiLevelType w:val="hybridMultilevel"/>
    <w:lvl w:ilvl="0">
      <w:lvlJc w:val="left"/>
      <w:lvlText w:val="■"/>
      <w:numFmt w:val="bullet"/>
      <w:start w:val="1"/>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
      <w:numFmt w:val="bullet"/>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
      <w:numFmt w:val="bullet"/>
      <w:start w:val="1"/>
    </w:lvl>
  </w:abstractNum>
  <w:abstractNum w:abstractNumId="17">
    <w:nsid w:val="14330624"/>
    <w:multiLevelType w:val="hybridMultilevel"/>
    <w:lvl w:ilvl="0">
      <w:lvlJc w:val="left"/>
      <w:lvlText w:val="■"/>
      <w:numFmt w:val="bullet"/>
      <w:start w:val="1"/>
    </w:lvl>
  </w:abstractNum>
  <w:abstractNum w:abstractNumId="18">
    <w:nsid w:val="7FFFCA11"/>
    <w:multiLevelType w:val="hybridMultilevel"/>
    <w:lvl w:ilvl="0">
      <w:lvlJc w:val="left"/>
      <w:lvlText w:val="■"/>
      <w:numFmt w:val="bullet"/>
      <w:start w:val="1"/>
    </w:lvl>
  </w:abstractNum>
  <w:abstractNum w:abstractNumId="19">
    <w:nsid w:val="1A27709E"/>
    <w:multiLevelType w:val="hybridMultilevel"/>
    <w:lvl w:ilvl="0">
      <w:lvlJc w:val="left"/>
      <w:lvlText w:val="■"/>
      <w:numFmt w:val="bullet"/>
      <w:start w:val="1"/>
    </w:lvl>
  </w:abstractNum>
  <w:abstractNum w:abstractNumId="20">
    <w:nsid w:val="71EA1109"/>
    <w:multiLevelType w:val="hybridMultilevel"/>
    <w:lvl w:ilvl="0">
      <w:lvlJc w:val="left"/>
      <w:lvlText w:val="​"/>
      <w:numFmt w:val="bullet"/>
      <w:start w:val="1"/>
    </w:lvl>
  </w:abstractNum>
  <w:abstractNum w:abstractNumId="21">
    <w:nsid w:val="100F59DC"/>
    <w:multiLevelType w:val="hybridMultilevel"/>
    <w:lvl w:ilvl="0">
      <w:lvlJc w:val="left"/>
      <w:lvlText w:val="■"/>
      <w:numFmt w:val="bullet"/>
      <w:start w:val="1"/>
    </w:lvl>
  </w:abstractNum>
  <w:abstractNum w:abstractNumId="22">
    <w:nsid w:val="7FB7E0AA"/>
    <w:multiLevelType w:val="hybridMultilevel"/>
    <w:lvl w:ilvl="0">
      <w:lvlJc w:val="left"/>
      <w:lvlText w:val="■"/>
      <w:numFmt w:val="bullet"/>
      <w:start w:val="1"/>
    </w:lvl>
  </w:abstractNum>
  <w:abstractNum w:abstractNumId="23">
    <w:nsid w:val="6EB5BD4"/>
    <w:multiLevelType w:val="hybridMultilevel"/>
    <w:lvl w:ilvl="0">
      <w:lvlJc w:val="left"/>
      <w:lvlText w:val="■"/>
      <w:numFmt w:val="bullet"/>
      <w:start w:val="1"/>
    </w:lvl>
  </w:abstractNum>
  <w:abstractNum w:abstractNumId="24">
    <w:nsid w:val="6F6DD9AC"/>
    <w:multiLevelType w:val="hybridMultilevel"/>
    <w:lvl w:ilvl="0">
      <w:lvlJc w:val="left"/>
      <w:lvlText w:val="■"/>
      <w:numFmt w:val="bullet"/>
      <w:start w:val="1"/>
    </w:lvl>
  </w:abstractNum>
  <w:abstractNum w:abstractNumId="25">
    <w:nsid w:val="94211F2"/>
    <w:multiLevelType w:val="hybridMultilevel"/>
    <w:lvl w:ilvl="0">
      <w:lvlJc w:val="left"/>
      <w:lvlText w:val="■"/>
      <w:numFmt w:val="bullet"/>
      <w:start w:val="1"/>
    </w:lvl>
  </w:abstractNum>
  <w:abstractNum w:abstractNumId="26">
    <w:nsid w:val="885E1B"/>
    <w:multiLevelType w:val="hybridMultilevel"/>
    <w:lvl w:ilvl="0">
      <w:lvlJc w:val="left"/>
      <w:lvlText w:val="■"/>
      <w:numFmt w:val="bullet"/>
      <w:start w:val="1"/>
    </w:lvl>
  </w:abstractNum>
  <w:abstractNum w:abstractNumId="27">
    <w:nsid w:val="76272110"/>
    <w:multiLevelType w:val="hybridMultilevel"/>
    <w:lvl w:ilvl="0">
      <w:lvlJc w:val="left"/>
      <w:lvlText w:val="■"/>
      <w:numFmt w:val="bullet"/>
      <w:start w:val="1"/>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
      <w:numFmt w:val="bullet"/>
      <w:start w:val="1"/>
    </w:lvl>
  </w:abstractNum>
  <w:abstractNum w:abstractNumId="30">
    <w:nsid w:val="14E17E33"/>
    <w:multiLevelType w:val="hybridMultilevel"/>
    <w:lvl w:ilvl="0">
      <w:lvlJc w:val="left"/>
      <w:lvlText w:val="​"/>
      <w:numFmt w:val="bullet"/>
      <w:start w:val="1"/>
    </w:lvl>
    <w:lvl w:ilvl="1">
      <w:lvlJc w:val="left"/>
      <w:lvlText w:val="■"/>
      <w:numFmt w:val="bullet"/>
      <w:start w:val="1"/>
    </w:lvl>
  </w:abstractNum>
  <w:abstractNum w:abstractNumId="31">
    <w:nsid w:val="3222E7CD"/>
    <w:multiLevelType w:val="hybridMultilevel"/>
    <w:lvl w:ilvl="0">
      <w:lvlJc w:val="left"/>
      <w:lvlText w:val="■"/>
      <w:numFmt w:val="bullet"/>
      <w:start w:val="1"/>
    </w:lvl>
  </w:abstractNum>
  <w:abstractNum w:abstractNumId="32">
    <w:nsid w:val="74DE0EE3"/>
    <w:multiLevelType w:val="hybridMultilevel"/>
    <w:lvl w:ilvl="0">
      <w:lvlJc w:val="left"/>
      <w:lvlText w:val="■"/>
      <w:numFmt w:val="bullet"/>
      <w:start w:val="1"/>
    </w:lvl>
  </w:abstractNum>
  <w:abstractNum w:abstractNumId="33">
    <w:nsid w:val="68EBC550"/>
    <w:multiLevelType w:val="hybridMultilevel"/>
    <w:lvl w:ilvl="0">
      <w:lvlJc w:val="left"/>
      <w:lvlText w:val="■"/>
      <w:numFmt w:val="bullet"/>
      <w:start w:val="1"/>
    </w:lvl>
  </w:abstractNum>
  <w:abstractNum w:abstractNumId="34">
    <w:nsid w:val="2DF6D648"/>
    <w:multiLevelType w:val="hybridMultilevel"/>
    <w:lvl w:ilvl="0">
      <w:lvlJc w:val="left"/>
      <w:lvlText w:val="■"/>
      <w:numFmt w:val="bullet"/>
      <w:start w:val="1"/>
    </w:lvl>
  </w:abstractNum>
  <w:abstractNum w:abstractNumId="35">
    <w:nsid w:val="46B7D447"/>
    <w:multiLevelType w:val="hybridMultilevel"/>
    <w:lvl w:ilvl="0">
      <w:lvlJc w:val="left"/>
      <w:lvlText w:val="■"/>
      <w:numFmt w:val="bullet"/>
      <w:start w:val="1"/>
    </w:lvl>
  </w:abstractNum>
  <w:abstractNum w:abstractNumId="36">
    <w:nsid w:val="4A2AC315"/>
    <w:multiLevelType w:val="hybridMultilevel"/>
    <w:lvl w:ilvl="0">
      <w:lvlJc w:val="left"/>
      <w:lvlText w:val="​"/>
      <w:numFmt w:val="bullet"/>
      <w:start w:val="1"/>
    </w:lvl>
    <w:lvl w:ilvl="1">
      <w:lvlJc w:val="left"/>
      <w:lvlText w:val="■"/>
      <w:numFmt w:val="bullet"/>
      <w:start w:val="1"/>
    </w:lvl>
  </w:abstractNum>
  <w:abstractNum w:abstractNumId="37">
    <w:nsid w:val="39EE015C"/>
    <w:multiLevelType w:val="hybridMultilevel"/>
    <w:lvl w:ilvl="0">
      <w:lvlJc w:val="left"/>
      <w:lvlText w:val="■"/>
      <w:numFmt w:val="bullet"/>
      <w:start w:val="1"/>
    </w:lvl>
  </w:abstractNum>
  <w:abstractNum w:abstractNumId="38">
    <w:nsid w:val="57FC4FBB"/>
    <w:multiLevelType w:val="hybridMultilevel"/>
    <w:lvl w:ilvl="0">
      <w:lvlJc w:val="left"/>
      <w:lvlText w:val="■"/>
      <w:numFmt w:val="bullet"/>
      <w:start w:val="1"/>
    </w:lvl>
  </w:abstractNum>
  <w:abstractNum w:abstractNumId="39">
    <w:nsid w:val="CC1016F"/>
    <w:multiLevelType w:val="hybridMultilevel"/>
    <w:lvl w:ilvl="0">
      <w:lvlJc w:val="left"/>
      <w:lvlText w:val="■"/>
      <w:numFmt w:val="bullet"/>
      <w:start w:val="1"/>
    </w:lvl>
  </w:abstractNum>
  <w:abstractNum w:abstractNumId="40">
    <w:nsid w:val="43F18422"/>
    <w:multiLevelType w:val="hybridMultilevel"/>
    <w:lvl w:ilvl="0">
      <w:lvlJc w:val="left"/>
      <w:lvlText w:val="■"/>
      <w:numFmt w:val="bullet"/>
      <w:start w:val="1"/>
    </w:lvl>
  </w:abstractNum>
  <w:abstractNum w:abstractNumId="41">
    <w:nsid w:val="60EF0119"/>
    <w:multiLevelType w:val="hybridMultilevel"/>
    <w:lvl w:ilvl="0">
      <w:lvlJc w:val="left"/>
      <w:lvlText w:val="■"/>
      <w:numFmt w:val="bullet"/>
      <w:start w:val="1"/>
    </w:lvl>
  </w:abstractNum>
  <w:abstractNum w:abstractNumId="42">
    <w:nsid w:val="26F324BA"/>
    <w:multiLevelType w:val="hybridMultilevel"/>
    <w:lvl w:ilvl="0">
      <w:lvlJc w:val="left"/>
      <w:lvlText w:val="■"/>
      <w:numFmt w:val="bullet"/>
      <w:start w:val="1"/>
    </w:lvl>
  </w:abstractNum>
  <w:abstractNum w:abstractNumId="43">
    <w:nsid w:val="7F01579B"/>
    <w:multiLevelType w:val="hybridMultilevel"/>
    <w:lvl w:ilvl="0">
      <w:lvlJc w:val="left"/>
      <w:lvlText w:val="​"/>
      <w:numFmt w:val="bullet"/>
      <w:start w:val="1"/>
    </w:lvl>
  </w:abstractNum>
  <w:abstractNum w:abstractNumId="44">
    <w:nsid w:val="49DA307D"/>
    <w:multiLevelType w:val="hybridMultilevel"/>
    <w:lvl w:ilvl="0">
      <w:lvlJc w:val="left"/>
      <w:lvlText w:val="■"/>
      <w:numFmt w:val="bullet"/>
      <w:start w:val="1"/>
    </w:lvl>
  </w:abstractNum>
  <w:abstractNum w:abstractNumId="45">
    <w:nsid w:val="7055A5F5"/>
    <w:multiLevelType w:val="hybridMultilevel"/>
    <w:lvl w:ilvl="0">
      <w:lvlJc w:val="left"/>
      <w:lvlText w:val="■"/>
      <w:numFmt w:val="bullet"/>
      <w:start w:val="1"/>
    </w:lvl>
  </w:abstractNum>
  <w:abstractNum w:abstractNumId="46">
    <w:nsid w:val="5FB8370B"/>
    <w:multiLevelType w:val="hybridMultilevel"/>
    <w:lvl w:ilvl="0">
      <w:lvlJc w:val="left"/>
      <w:lvlText w:val="■"/>
      <w:numFmt w:val="bullet"/>
      <w:start w:val="1"/>
    </w:lvl>
  </w:abstractNum>
  <w:abstractNum w:abstractNumId="47">
    <w:nsid w:val="50801EE1"/>
    <w:multiLevelType w:val="hybridMultilevel"/>
    <w:lvl w:ilvl="0">
      <w:lvlJc w:val="left"/>
      <w:lvlText w:val="■"/>
      <w:numFmt w:val="bullet"/>
      <w:start w:val="1"/>
    </w:lvl>
  </w:abstractNum>
  <w:abstractNum w:abstractNumId="48">
    <w:nsid w:val="488AC1A"/>
    <w:multiLevelType w:val="hybridMultilevel"/>
    <w:lvl w:ilvl="0">
      <w:lvlJc w:val="left"/>
      <w:lvlText w:val="■"/>
      <w:numFmt w:val="bullet"/>
      <w:start w:val="1"/>
    </w:lvl>
  </w:abstractNum>
  <w:abstractNum w:abstractNumId="49">
    <w:nsid w:val="5FB8011C"/>
    <w:multiLevelType w:val="hybridMultilevel"/>
    <w:lvl w:ilvl="0">
      <w:lvlJc w:val="left"/>
      <w:lvlText w:val="■"/>
      <w:numFmt w:val="bullet"/>
      <w:start w:val="1"/>
    </w:lvl>
  </w:abstractNum>
  <w:abstractNum w:abstractNumId="50">
    <w:nsid w:val="6AA78F7F"/>
    <w:multiLevelType w:val="hybridMultilevel"/>
    <w:lvl w:ilvl="0">
      <w:lvlJc w:val="left"/>
      <w:lvlText w:val="■"/>
      <w:numFmt w:val="bullet"/>
      <w:start w:val="1"/>
    </w:lvl>
  </w:abstractNum>
  <w:abstractNum w:abstractNumId="51">
    <w:nsid w:val="7672BD23"/>
    <w:multiLevelType w:val="hybridMultilevel"/>
    <w:lvl w:ilvl="0">
      <w:lvlJc w:val="left"/>
      <w:lvlText w:val="​"/>
      <w:numFmt w:val="bullet"/>
      <w:start w:val="1"/>
    </w:lvl>
  </w:abstractNum>
  <w:abstractNum w:abstractNumId="52">
    <w:nsid w:val="6FC75AF8"/>
    <w:multiLevelType w:val="hybridMultilevel"/>
    <w:lvl w:ilvl="0">
      <w:lvlJc w:val="left"/>
      <w:lvlText w:val="■"/>
      <w:numFmt w:val="bullet"/>
      <w:start w:val="1"/>
    </w:lvl>
  </w:abstractNum>
  <w:abstractNum w:abstractNumId="53">
    <w:nsid w:val="6A5F7029"/>
    <w:multiLevelType w:val="hybridMultilevel"/>
    <w:lvl w:ilvl="0">
      <w:lvlJc w:val="left"/>
      <w:lvlText w:val="■"/>
      <w:numFmt w:val="bullet"/>
      <w:start w:val="1"/>
    </w:lvl>
  </w:abstractNum>
  <w:abstractNum w:abstractNumId="54">
    <w:nsid w:val="7D5E18F8"/>
    <w:multiLevelType w:val="hybridMultilevel"/>
    <w:lvl w:ilvl="0">
      <w:lvlJc w:val="left"/>
      <w:lvlText w:val="■"/>
      <w:numFmt w:val="bullet"/>
      <w:start w:val="1"/>
    </w:lvl>
  </w:abstractNum>
  <w:abstractNum w:abstractNumId="55">
    <w:nsid w:val="5F3534A4"/>
    <w:multiLevelType w:val="hybridMultilevel"/>
    <w:lvl w:ilvl="0">
      <w:lvlJc w:val="left"/>
      <w:lvlText w:val="■"/>
      <w:numFmt w:val="bullet"/>
      <w:start w:val="1"/>
    </w:lvl>
  </w:abstractNum>
  <w:abstractNum w:abstractNumId="56">
    <w:nsid w:val="73A1821B"/>
    <w:multiLevelType w:val="hybridMultilevel"/>
    <w:lvl w:ilvl="0">
      <w:lvlJc w:val="left"/>
      <w:lvlText w:val="■"/>
      <w:numFmt w:val="bullet"/>
      <w:start w:val="1"/>
    </w:lvl>
  </w:abstractNum>
  <w:abstractNum w:abstractNumId="57">
    <w:nsid w:val="7DE67713"/>
    <w:multiLevelType w:val="hybridMultilevel"/>
    <w:lvl w:ilvl="0">
      <w:lvlJc w:val="left"/>
      <w:lvlText w:val="■"/>
      <w:numFmt w:val="bullet"/>
      <w:start w:val="1"/>
    </w:lvl>
  </w:abstractNum>
  <w:abstractNum w:abstractNumId="58">
    <w:nsid w:val="555C55B5"/>
    <w:multiLevelType w:val="hybridMultilevel"/>
    <w:lvl w:ilvl="0">
      <w:lvlJc w:val="left"/>
      <w:lvlText w:val="■"/>
      <w:numFmt w:val="bullet"/>
      <w:start w:val="1"/>
    </w:lvl>
  </w:abstractNum>
  <w:abstractNum w:abstractNumId="59">
    <w:nsid w:val="3FA62ACA"/>
    <w:multiLevelType w:val="hybridMultilevel"/>
    <w:lvl w:ilvl="0">
      <w:lvlJc w:val="left"/>
      <w:lvlText w:val="​"/>
      <w:numFmt w:val="bullet"/>
      <w:start w:val="1"/>
    </w:lvl>
    <w:lvl w:ilvl="1">
      <w:lvlJc w:val="left"/>
      <w:lvlText w:val="■"/>
      <w:numFmt w:val="bullet"/>
      <w:start w:val="1"/>
    </w:lvl>
  </w:abstractNum>
  <w:abstractNum w:abstractNumId="60">
    <w:nsid w:val="14FCE74E"/>
    <w:multiLevelType w:val="hybridMultilevel"/>
    <w:lvl w:ilvl="0">
      <w:lvlJc w:val="left"/>
      <w:lvlText w:val="■"/>
      <w:numFmt w:val="bullet"/>
      <w:start w:val="1"/>
    </w:lvl>
  </w:abstractNum>
  <w:abstractNum w:abstractNumId="61">
    <w:nsid w:val="6A3DD3E8"/>
    <w:multiLevelType w:val="hybridMultilevel"/>
    <w:lvl w:ilvl="0">
      <w:lvlJc w:val="left"/>
      <w:lvlText w:val="■"/>
      <w:numFmt w:val="bullet"/>
      <w:start w:val="1"/>
    </w:lvl>
  </w:abstractNum>
  <w:abstractNum w:abstractNumId="62">
    <w:nsid w:val="71C91298"/>
    <w:multiLevelType w:val="hybridMultilevel"/>
    <w:lvl w:ilvl="0">
      <w:lvlJc w:val="left"/>
      <w:lvlText w:val="■"/>
      <w:numFmt w:val="bullet"/>
      <w:start w:val="1"/>
    </w:lvl>
  </w:abstractNum>
  <w:abstractNum w:abstractNumId="63">
    <w:nsid w:val="9DAF632"/>
    <w:multiLevelType w:val="hybridMultilevel"/>
    <w:lvl w:ilvl="0">
      <w:lvlJc w:val="left"/>
      <w:lvlText w:val="■"/>
      <w:numFmt w:val="bullet"/>
      <w:start w:val="1"/>
    </w:lvl>
  </w:abstractNum>
  <w:abstractNum w:abstractNumId="64">
    <w:nsid w:val="53299938"/>
    <w:multiLevelType w:val="hybridMultilevel"/>
    <w:lvl w:ilvl="0">
      <w:lvlJc w:val="left"/>
      <w:lvlText w:val="■"/>
      <w:numFmt w:val="bullet"/>
      <w:start w:val="1"/>
    </w:lvl>
  </w:abstractNum>
  <w:abstractNum w:abstractNumId="65">
    <w:nsid w:val="1FBFE8E0"/>
    <w:multiLevelType w:val="hybridMultilevel"/>
    <w:lvl w:ilvl="0">
      <w:lvlJc w:val="left"/>
      <w:lvlText w:val="■"/>
      <w:numFmt w:val="bullet"/>
      <w:start w:val="1"/>
    </w:lvl>
  </w:abstractNum>
  <w:abstractNum w:abstractNumId="66">
    <w:nsid w:val="5092CA79"/>
    <w:multiLevelType w:val="hybridMultilevel"/>
    <w:lvl w:ilvl="0">
      <w:lvlJc w:val="left"/>
      <w:lvlText w:val="■"/>
      <w:numFmt w:val="bullet"/>
      <w:start w:val="1"/>
    </w:lvl>
  </w:abstractNum>
  <w:abstractNum w:abstractNumId="67">
    <w:nsid w:val="1D545C4D"/>
    <w:multiLevelType w:val="hybridMultilevel"/>
    <w:lvl w:ilvl="0">
      <w:lvlJc w:val="left"/>
      <w:lvlText w:val="​"/>
      <w:numFmt w:val="bullet"/>
      <w:start w:val="1"/>
    </w:lvl>
  </w:abstractNum>
  <w:abstractNum w:abstractNumId="68">
    <w:nsid w:val="59ADEA3D"/>
    <w:multiLevelType w:val="hybridMultilevel"/>
    <w:lvl w:ilvl="0">
      <w:lvlJc w:val="left"/>
      <w:lvlText w:val="■"/>
      <w:numFmt w:val="bullet"/>
      <w:start w:val="1"/>
    </w:lvl>
  </w:abstractNum>
  <w:abstractNum w:abstractNumId="69">
    <w:nsid w:val="288F1A34"/>
    <w:multiLevelType w:val="hybridMultilevel"/>
    <w:lvl w:ilvl="0">
      <w:lvlJc w:val="left"/>
      <w:lvlText w:val="■"/>
      <w:numFmt w:val="bullet"/>
      <w:start w:val="1"/>
    </w:lvl>
  </w:abstractNum>
  <w:abstractNum w:abstractNumId="70">
    <w:nsid w:val="2A155DBC"/>
    <w:multiLevelType w:val="hybridMultilevel"/>
    <w:lvl w:ilvl="0">
      <w:lvlJc w:val="left"/>
      <w:lvlText w:val="■"/>
      <w:numFmt w:val="bullet"/>
      <w:start w:val="1"/>
    </w:lvl>
  </w:abstractNum>
  <w:abstractNum w:abstractNumId="71">
    <w:nsid w:val="1D9F6E5F"/>
    <w:multiLevelType w:val="hybridMultilevel"/>
    <w:lvl w:ilvl="0">
      <w:lvlJc w:val="left"/>
      <w:lvlText w:val="■"/>
      <w:numFmt w:val="bullet"/>
      <w:start w:val="1"/>
    </w:lvl>
  </w:abstractNum>
  <w:abstractNum w:abstractNumId="72">
    <w:nsid w:val="97E1B4E"/>
    <w:multiLevelType w:val="hybridMultilevel"/>
    <w:lvl w:ilvl="0">
      <w:lvlJc w:val="left"/>
      <w:lvlText w:val="(%1)"/>
      <w:numFmt w:val="lowerRoman"/>
      <w:start w:val="1"/>
    </w:lvl>
    <w:lvl w:ilvl="1">
      <w:lvlJc w:val="left"/>
      <w:lvlText w:val="(%2)"/>
      <w:numFmt w:val="upperLetter"/>
      <w:start w:val="1"/>
    </w:lvl>
  </w:abstractNum>
  <w:abstractNum w:abstractNumId="73">
    <w:nsid w:val="51088277"/>
    <w:multiLevelType w:val="hybridMultilevel"/>
    <w:lvl w:ilvl="0">
      <w:lvlJc w:val="left"/>
      <w:lvlText w:val="(%1)"/>
      <w:numFmt w:val="lowerRoman"/>
      <w:start w:val="3"/>
    </w:lvl>
    <w:lvl w:ilvl="1">
      <w:lvlJc w:val="left"/>
      <w:lvlText w:val="(%2)"/>
      <w:numFmt w:val="upperLetter"/>
      <w:start w:val="1"/>
    </w:lvl>
  </w:abstractNum>
  <w:abstractNum w:abstractNumId="74">
    <w:nsid w:val="1CA0C5FA"/>
    <w:multiLevelType w:val="hybridMultilevel"/>
    <w:lvl w:ilvl="0">
      <w:lvlJc w:val="left"/>
      <w:lvlText w:val="(%1)"/>
      <w:numFmt w:val="lowerRoman"/>
      <w:start w:val="1"/>
    </w:lvl>
  </w:abstractNum>
  <w:abstractNum w:abstractNumId="75">
    <w:nsid w:val="53584BCB"/>
    <w:multiLevelType w:val="hybridMultilevel"/>
    <w:lvl w:ilvl="0">
      <w:lvlJc w:val="left"/>
      <w:lvlText w:val="(%1)"/>
      <w:numFmt w:val="lowerRoman"/>
      <w:start w:val="1"/>
    </w:lvl>
  </w:abstractNum>
  <w:abstractNum w:abstractNumId="76">
    <w:nsid w:val="415E286C"/>
    <w:multiLevelType w:val="hybridMultilevel"/>
    <w:lvl w:ilvl="0">
      <w:lvlJc w:val="left"/>
      <w:lvlText w:val="(%1)"/>
      <w:numFmt w:val="lowerRoman"/>
      <w:start w:val="1"/>
    </w:lvl>
  </w:abstractNum>
  <w:abstractNum w:abstractNumId="77">
    <w:nsid w:val="7C58FD05"/>
    <w:multiLevelType w:val="hybridMultilevel"/>
    <w:lvl w:ilvl="0">
      <w:lvlJc w:val="left"/>
      <w:lvlText w:val="​"/>
      <w:numFmt w:val="bullet"/>
      <w:start w:val="1"/>
    </w:lvl>
    <w:lvl w:ilvl="1">
      <w:lvlJc w:val="left"/>
      <w:lvlText w:val="(%2)"/>
      <w:numFmt w:val="lowerRoman"/>
      <w:start w:val="1"/>
    </w:lvl>
  </w:abstractNum>
  <w:abstractNum w:abstractNumId="78">
    <w:nsid w:val="23D86AAC"/>
    <w:multiLevelType w:val="hybridMultilevel"/>
    <w:lvl w:ilvl="0">
      <w:lvlJc w:val="left"/>
      <w:lvlText w:val="​"/>
      <w:numFmt w:val="bullet"/>
      <w:start w:val="1"/>
    </w:lvl>
    <w:lvl w:ilvl="1">
      <w:lvlJc w:val="left"/>
      <w:lvlText w:val="(%2)"/>
      <w:numFmt w:val="lowerRoman"/>
      <w:start w:val="1"/>
    </w:lvl>
  </w:abstractNum>
  <w:abstractNum w:abstractNumId="79">
    <w:nsid w:val="45E6D486"/>
    <w:multiLevelType w:val="hybridMultilevel"/>
    <w:lvl w:ilvl="0">
      <w:lvlJc w:val="left"/>
      <w:lvlText w:val="​"/>
      <w:numFmt w:val="bullet"/>
      <w:start w:val="1"/>
    </w:lvl>
    <w:lvl w:ilvl="1">
      <w:lvlJc w:val="left"/>
      <w:lvlText w:val="(%2)"/>
      <w:numFmt w:val="lowerLetter"/>
      <w:start w:val="9"/>
    </w:lvl>
    <w:lvl w:ilvl="2">
      <w:lvlJc w:val="left"/>
      <w:lvlText w:val="(%3)"/>
      <w:numFmt w:val="lowerLetter"/>
      <w:start w:val="1"/>
    </w:lvl>
  </w:abstractNum>
  <w:abstractNum w:abstractNumId="80">
    <w:nsid w:val="5C10FE21"/>
    <w:multiLevelType w:val="hybridMultilevel"/>
    <w:lvl w:ilvl="0">
      <w:lvlJc w:val="left"/>
      <w:lvlText w:val="(%1)"/>
      <w:numFmt w:val="lowerRoman"/>
      <w:start w:val="2"/>
    </w:lvl>
  </w:abstractNum>
  <w:abstractNum w:abstractNumId="81">
    <w:nsid w:val="E7FFA2B"/>
    <w:multiLevelType w:val="hybridMultilevel"/>
    <w:lvl w:ilvl="0">
      <w:lvlJc w:val="left"/>
      <w:lvlText w:val="(%1)"/>
      <w:numFmt w:val="lowerRoman"/>
      <w:start w:val="4"/>
    </w:lvl>
  </w:abstractNum>
  <w:abstractNum w:abstractNumId="82">
    <w:nsid w:val="3C5991AA"/>
    <w:multiLevelType w:val="hybridMultilevel"/>
    <w:lvl w:ilvl="0">
      <w:lvlJc w:val="left"/>
      <w:lvlText w:val="​"/>
      <w:numFmt w:val="bullet"/>
      <w:start w:val="1"/>
    </w:lvl>
    <w:lvl w:ilvl="1">
      <w:lvlJc w:val="left"/>
      <w:lvlText w:val="(%2)"/>
      <w:numFmt w:val="lowerRoman"/>
      <w:start w:val="1"/>
    </w:lvl>
  </w:abstractNum>
  <w:abstractNum w:abstractNumId="83">
    <w:nsid w:val="4BD8591A"/>
    <w:multiLevelType w:val="hybridMultilevel"/>
    <w:lvl w:ilvl="0">
      <w:lvlJc w:val="left"/>
      <w:lvlText w:val="(%1)"/>
      <w:numFmt w:val="lowerRoman"/>
      <w:start w:val="2"/>
    </w:lvl>
  </w:abstractNum>
  <w:abstractNum w:abstractNumId="84">
    <w:nsid w:val="78DF6A55"/>
    <w:multiLevelType w:val="hybridMultilevel"/>
    <w:lvl w:ilvl="0">
      <w:lvlJc w:val="left"/>
      <w:lvlText w:val="■"/>
      <w:numFmt w:val="bullet"/>
      <w:start w:val="1"/>
    </w:lvl>
  </w:abstractNum>
  <w:abstractNum w:abstractNumId="85">
    <w:nsid w:val="39B7AAA2"/>
    <w:multiLevelType w:val="hybridMultilevel"/>
    <w:lvl w:ilvl="0">
      <w:lvlJc w:val="left"/>
      <w:lvlText w:val="■"/>
      <w:numFmt w:val="bullet"/>
      <w:start w:val="1"/>
    </w:lvl>
  </w:abstractNum>
  <w:abstractNum w:abstractNumId="86">
    <w:nsid w:val="2B0D8DBE"/>
    <w:multiLevelType w:val="hybridMultilevel"/>
    <w:lvl w:ilvl="0">
      <w:lvlJc w:val="left"/>
      <w:lvlText w:val="(%1)"/>
      <w:numFmt w:val="decimal"/>
      <w:start w:val="1"/>
    </w:lvl>
  </w:abstractNum>
  <w:abstractNum w:abstractNumId="87">
    <w:nsid w:val="6C80EC70"/>
    <w:multiLevelType w:val="hybridMultilevel"/>
    <w:lvl w:ilvl="0">
      <w:lvlJc w:val="left"/>
      <w:lvlText w:val="(%1)"/>
      <w:numFmt w:val="decimal"/>
      <w:start w:val="1"/>
    </w:lvl>
  </w:abstractNum>
  <w:abstractNum w:abstractNumId="88">
    <w:nsid w:val="379E21B5"/>
    <w:multiLevelType w:val="hybridMultilevel"/>
    <w:lvl w:ilvl="0">
      <w:lvlJc w:val="left"/>
      <w:lvlText w:val="(%1)"/>
      <w:numFmt w:val="lowerLetter"/>
      <w:start w:val="1"/>
    </w:lvl>
  </w:abstractNum>
  <w:abstractNum w:abstractNumId="89">
    <w:nsid w:val="69E373"/>
    <w:multiLevelType w:val="hybridMultilevel"/>
    <w:lvl w:ilvl="0">
      <w:lvlJc w:val="left"/>
      <w:lvlText w:val="(%1)"/>
      <w:numFmt w:val="decimal"/>
      <w:start w:val="2"/>
    </w:lvl>
  </w:abstractNum>
  <w:abstractNum w:abstractNumId="90">
    <w:nsid w:val="2C27173B"/>
    <w:multiLevelType w:val="hybridMultilevel"/>
    <w:lvl w:ilvl="0">
      <w:lvlJc w:val="left"/>
      <w:lvlText w:val="(%1)"/>
      <w:numFmt w:val="decimal"/>
      <w:start w:val="1"/>
    </w:lvl>
  </w:abstractNum>
  <w:abstractNum w:abstractNumId="91">
    <w:nsid w:val="4C9B0904"/>
    <w:multiLevelType w:val="hybridMultilevel"/>
    <w:lvl w:ilvl="0">
      <w:lvlJc w:val="left"/>
      <w:lvlText w:val="(%1)"/>
      <w:numFmt w:val="decimal"/>
      <w:start w:val="2"/>
    </w:lvl>
  </w:abstractNum>
  <w:abstractNum w:abstractNumId="92">
    <w:nsid w:val="6AA7B75C"/>
    <w:multiLevelType w:val="hybridMultilevel"/>
    <w:lvl w:ilvl="0">
      <w:lvlJc w:val="left"/>
      <w:lvlText w:val="■"/>
      <w:numFmt w:val="bullet"/>
      <w:start w:val="1"/>
    </w:lvl>
  </w:abstractNum>
  <w:abstractNum w:abstractNumId="93">
    <w:nsid w:val="1DF029D3"/>
    <w:multiLevelType w:val="hybridMultilevel"/>
    <w:lvl w:ilvl="0">
      <w:lvlJc w:val="left"/>
      <w:lvlText w:val="■"/>
      <w:numFmt w:val="bullet"/>
      <w:start w:val="1"/>
    </w:lvl>
  </w:abstractNum>
  <w:abstractNum w:abstractNumId="94">
    <w:nsid w:val="5675FF36"/>
    <w:multiLevelType w:val="hybridMultilevel"/>
    <w:lvl w:ilvl="0">
      <w:lvlJc w:val="left"/>
      <w:lvlText w:val="■"/>
      <w:numFmt w:val="bullet"/>
      <w:start w:val="1"/>
    </w:lvl>
  </w:abstractNum>
  <w:abstractNum w:abstractNumId="95">
    <w:nsid w:val="3DD15094"/>
    <w:multiLevelType w:val="hybridMultilevel"/>
    <w:lvl w:ilvl="0">
      <w:lvlJc w:val="left"/>
      <w:lvlText w:val="​"/>
      <w:numFmt w:val="bullet"/>
      <w:start w:val="1"/>
    </w:lvl>
  </w:abstractNum>
  <w:abstractNum w:abstractNumId="96">
    <w:nsid w:val="3DB012B3"/>
    <w:multiLevelType w:val="hybridMultilevel"/>
    <w:lvl w:ilvl="0">
      <w:lvlJc w:val="left"/>
      <w:lvlText w:val="■"/>
      <w:numFmt w:val="bullet"/>
      <w:start w:val="1"/>
    </w:lvl>
  </w:abstractNum>
  <w:abstractNum w:abstractNumId="97">
    <w:nsid w:val="2708C9AF"/>
    <w:multiLevelType w:val="hybridMultilevel"/>
    <w:lvl w:ilvl="0">
      <w:lvlJc w:val="left"/>
      <w:lvlText w:val="■"/>
      <w:numFmt w:val="bullet"/>
      <w:start w:val="1"/>
    </w:lvl>
  </w:abstractNum>
  <w:abstractNum w:abstractNumId="98">
    <w:nsid w:val="5B25ACE2"/>
    <w:multiLevelType w:val="hybridMultilevel"/>
    <w:lvl w:ilvl="0">
      <w:lvlJc w:val="left"/>
      <w:lvlText w:val="■"/>
      <w:numFmt w:val="bullet"/>
      <w:start w:val="1"/>
    </w:lvl>
  </w:abstractNum>
  <w:abstractNum w:abstractNumId="99">
    <w:nsid w:val="175DFCF0"/>
    <w:multiLevelType w:val="hybridMultilevel"/>
    <w:lvl w:ilvl="0">
      <w:lvlJc w:val="left"/>
      <w:lvlText w:val="​"/>
      <w:numFmt w:val="bullet"/>
      <w:start w:val="1"/>
    </w:lvl>
    <w:lvl w:ilvl="1">
      <w:lvlJc w:val="left"/>
      <w:lvlText w:val="■"/>
      <w:numFmt w:val="bullet"/>
      <w:start w:val="1"/>
    </w:lvl>
  </w:abstractNum>
  <w:abstractNum w:abstractNumId="100">
    <w:nsid w:val="4F97E3E4"/>
    <w:multiLevelType w:val="hybridMultilevel"/>
    <w:lvl w:ilvl="0">
      <w:lvlJc w:val="left"/>
      <w:lvlText w:val="■"/>
      <w:numFmt w:val="bullet"/>
      <w:start w:val="1"/>
    </w:lvl>
  </w:abstractNum>
  <w:abstractNum w:abstractNumId="101">
    <w:nsid w:val="53B0A9E"/>
    <w:multiLevelType w:val="hybridMultilevel"/>
    <w:lvl w:ilvl="0">
      <w:lvlJc w:val="left"/>
      <w:lvlText w:val="■"/>
      <w:numFmt w:val="bullet"/>
      <w:start w:val="1"/>
    </w:lvl>
  </w:abstractNum>
  <w:abstractNum w:abstractNumId="102">
    <w:nsid w:val="34FD6B4F"/>
    <w:multiLevelType w:val="hybridMultilevel"/>
    <w:lvl w:ilvl="0">
      <w:lvlJc w:val="left"/>
      <w:lvlText w:val="■"/>
      <w:numFmt w:val="bullet"/>
      <w:start w:val="1"/>
    </w:lvl>
  </w:abstractNum>
  <w:abstractNum w:abstractNumId="103">
    <w:nsid w:val="5915FF32"/>
    <w:multiLevelType w:val="hybridMultilevel"/>
    <w:lvl w:ilvl="0">
      <w:lvlJc w:val="left"/>
      <w:lvlText w:val="​"/>
      <w:numFmt w:val="bullet"/>
      <w:start w:val="1"/>
    </w:lvl>
  </w:abstractNum>
  <w:abstractNum w:abstractNumId="104">
    <w:nsid w:val="56438D15"/>
    <w:multiLevelType w:val="hybridMultilevel"/>
    <w:lvl w:ilvl="0">
      <w:lvlJc w:val="left"/>
      <w:lvlText w:val="■"/>
      <w:numFmt w:val="bullet"/>
      <w:start w:val="1"/>
    </w:lvl>
  </w:abstractNum>
  <w:abstractNum w:abstractNumId="105">
    <w:nsid w:val="519E3149"/>
    <w:multiLevelType w:val="hybridMultilevel"/>
    <w:lvl w:ilvl="0">
      <w:lvlJc w:val="left"/>
      <w:lvlText w:val="■"/>
      <w:numFmt w:val="bullet"/>
      <w:start w:val="1"/>
    </w:lvl>
  </w:abstractNum>
  <w:abstractNum w:abstractNumId="106">
    <w:nsid w:val="2C6E4AFD"/>
    <w:multiLevelType w:val="hybridMultilevel"/>
    <w:lvl w:ilvl="0">
      <w:lvlJc w:val="left"/>
      <w:lvlText w:val="■"/>
      <w:numFmt w:val="bullet"/>
      <w:start w:val="1"/>
    </w:lvl>
  </w:abstractNum>
  <w:abstractNum w:abstractNumId="107">
    <w:nsid w:val="17A1B582"/>
    <w:multiLevelType w:val="hybridMultilevel"/>
    <w:lvl w:ilvl="0">
      <w:lvlJc w:val="left"/>
      <w:lvlText w:val="■"/>
      <w:numFmt w:val="bullet"/>
      <w:start w:val="1"/>
    </w:lvl>
  </w:abstractNum>
  <w:abstractNum w:abstractNumId="108">
    <w:nsid w:val="4DF72E4E"/>
    <w:multiLevelType w:val="hybridMultilevel"/>
    <w:lvl w:ilvl="0">
      <w:lvlJc w:val="left"/>
      <w:lvlText w:val="■"/>
      <w:numFmt w:val="bullet"/>
      <w:start w:val="1"/>
    </w:lvl>
  </w:abstractNum>
  <w:abstractNum w:abstractNumId="109">
    <w:nsid w:val="5046B5A9"/>
    <w:multiLevelType w:val="hybridMultilevel"/>
    <w:lvl w:ilvl="0">
      <w:lvlJc w:val="left"/>
      <w:lvlText w:val="​"/>
      <w:numFmt w:val="bullet"/>
      <w:start w:val="1"/>
    </w:lvl>
  </w:abstractNum>
  <w:abstractNum w:abstractNumId="110">
    <w:nsid w:val="5D888A08"/>
    <w:multiLevelType w:val="hybridMultilevel"/>
    <w:lvl w:ilvl="0">
      <w:lvlJc w:val="left"/>
      <w:lvlText w:val="■"/>
      <w:numFmt w:val="bullet"/>
      <w:start w:val="1"/>
    </w:lvl>
  </w:abstractNum>
  <w:abstractNum w:abstractNumId="111">
    <w:nsid w:val="2A082C70"/>
    <w:multiLevelType w:val="hybridMultilevel"/>
    <w:lvl w:ilvl="0">
      <w:lvlJc w:val="left"/>
      <w:lvlText w:val="■"/>
      <w:numFmt w:val="bullet"/>
      <w:start w:val="1"/>
    </w:lvl>
  </w:abstractNum>
  <w:abstractNum w:abstractNumId="112">
    <w:nsid w:val="5EC6AFD4"/>
    <w:multiLevelType w:val="hybridMultilevel"/>
    <w:lvl w:ilvl="0">
      <w:lvlJc w:val="left"/>
      <w:lvlText w:val="■"/>
      <w:numFmt w:val="bullet"/>
      <w:start w:val="1"/>
    </w:lvl>
  </w:abstractNum>
  <w:abstractNum w:abstractNumId="113">
    <w:nsid w:val="19E21BB2"/>
    <w:multiLevelType w:val="hybridMultilevel"/>
    <w:lvl w:ilvl="0">
      <w:lvlJc w:val="left"/>
      <w:lvlText w:val="(%1)"/>
      <w:numFmt w:val="decimal"/>
      <w:start w:val="1"/>
    </w:lvl>
  </w:abstractNum>
  <w:abstractNum w:abstractNumId="114">
    <w:nsid w:val="75E0858A"/>
    <w:multiLevelType w:val="hybridMultilevel"/>
    <w:lvl w:ilvl="0">
      <w:lvlJc w:val="left"/>
      <w:lvlText w:val="(%1)"/>
      <w:numFmt w:val="decimal"/>
      <w:start w:val="1"/>
    </w:lvl>
  </w:abstractNum>
  <w:abstractNum w:abstractNumId="115">
    <w:nsid w:val="57A61A29"/>
    <w:multiLevelType w:val="hybridMultilevel"/>
    <w:lvl w:ilvl="0">
      <w:lvlJc w:val="left"/>
      <w:lvlText w:val="(%1)"/>
      <w:numFmt w:val="decimal"/>
      <w:start w:val="1"/>
    </w:lvl>
  </w:abstractNum>
  <w:abstractNum w:abstractNumId="116">
    <w:nsid w:val="5399C654"/>
    <w:multiLevelType w:val="hybridMultilevel"/>
    <w:lvl w:ilvl="0">
      <w:lvlJc w:val="left"/>
      <w:lvlText w:val="■"/>
      <w:numFmt w:val="bullet"/>
      <w:start w:val="1"/>
    </w:lvl>
  </w:abstractNum>
  <w:abstractNum w:abstractNumId="117">
    <w:nsid w:val="20EE1348"/>
    <w:multiLevelType w:val="hybridMultilevel"/>
    <w:lvl w:ilvl="0">
      <w:lvlJc w:val="left"/>
      <w:lvlText w:val="■"/>
      <w:numFmt w:val="bullet"/>
      <w:start w:val="1"/>
    </w:lvl>
  </w:abstractNum>
  <w:abstractNum w:abstractNumId="118">
    <w:nsid w:val="4427069A"/>
    <w:multiLevelType w:val="hybridMultilevel"/>
    <w:lvl w:ilvl="0">
      <w:lvlJc w:val="left"/>
      <w:lvlText w:val="(%1)"/>
      <w:numFmt w:val="decimal"/>
      <w:start w:val="1"/>
    </w:lvl>
  </w:abstractNum>
  <w:abstractNum w:abstractNumId="119">
    <w:nsid w:val="B37E80A"/>
    <w:multiLevelType w:val="hybridMultilevel"/>
    <w:lvl w:ilvl="0">
      <w:lvlJc w:val="left"/>
      <w:lvlText w:val="%1"/>
      <w:numFmt w:val="decimal"/>
      <w:start w:val="1"/>
    </w:lvl>
    <w:lvl w:ilvl="1">
      <w:lvlJc w:val="left"/>
      <w:lvlText w:val="(%2)"/>
      <w:numFmt w:val="lowerLetter"/>
      <w:start w:val="1"/>
    </w:lvl>
  </w:abstractNum>
  <w:abstractNum w:abstractNumId="120">
    <w:nsid w:val="2157F6BC"/>
    <w:multiLevelType w:val="hybridMultilevel"/>
    <w:lvl w:ilvl="0">
      <w:lvlJc w:val="left"/>
      <w:lvlText w:val="(%1)"/>
      <w:numFmt w:val="decimal"/>
      <w:start w:val="4"/>
    </w:lvl>
    <w:lvl w:ilvl="1">
      <w:lvlJc w:val="left"/>
      <w:lvlText w:val="%2"/>
      <w:numFmt w:val="lowerLetter"/>
      <w:start w:val="1"/>
    </w:lvl>
  </w:abstractNum>
  <w:abstractNum w:abstractNumId="121">
    <w:nsid w:val="704E1DD5"/>
    <w:multiLevelType w:val="hybridMultilevel"/>
    <w:lvl w:ilvl="0">
      <w:lvlJc w:val="left"/>
      <w:lvlText w:val="(%1)"/>
      <w:numFmt w:val="decimal"/>
      <w:start w:val="1"/>
    </w:lvl>
  </w:abstractNum>
  <w:abstractNum w:abstractNumId="122">
    <w:nsid w:val="57D2F10E"/>
    <w:multiLevelType w:val="hybridMultilevel"/>
    <w:lvl w:ilvl="0">
      <w:lvlJc w:val="left"/>
      <w:lvlText w:val="(%1)"/>
      <w:numFmt w:val="decimal"/>
      <w:start w:val="1"/>
    </w:lvl>
  </w:abstractNum>
  <w:abstractNum w:abstractNumId="123">
    <w:nsid w:val="BFFAE18"/>
    <w:multiLevelType w:val="hybridMultilevel"/>
    <w:lvl w:ilvl="0">
      <w:lvlJc w:val="left"/>
      <w:lvlText w:val="(%1)"/>
      <w:numFmt w:val="decimal"/>
      <w:start w:val="14"/>
    </w:lvl>
  </w:abstractNum>
  <w:abstractNum w:abstractNumId="124">
    <w:nsid w:val="E3E47A8"/>
    <w:multiLevelType w:val="hybridMultilevel"/>
    <w:lvl w:ilvl="0">
      <w:lvlJc w:val="left"/>
      <w:lvlText w:val="(%1)"/>
      <w:numFmt w:val="decimal"/>
      <w:start w:val="1"/>
    </w:lvl>
  </w:abstractNum>
  <w:abstractNum w:abstractNumId="125">
    <w:nsid w:val="2E48F044"/>
    <w:multiLevelType w:val="hybridMultilevel"/>
    <w:lvl w:ilvl="0">
      <w:lvlJc w:val="left"/>
      <w:lvlText w:val="(%1)"/>
      <w:numFmt w:val="decimal"/>
      <w:start w:val="2"/>
    </w:lvl>
  </w:abstractNum>
  <w:abstractNum w:abstractNumId="126">
    <w:nsid w:val="49D0FEA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27">
    <w:nsid w:val="4BEE5A5B"/>
    <w:multiLevelType w:val="hybridMultilevel"/>
    <w:lvl w:ilvl="0">
      <w:lvlJc w:val="left"/>
      <w:lvlText w:val="(%1)"/>
      <w:numFmt w:val="lowerLetter"/>
      <w:start w:val="1"/>
    </w:lvl>
  </w:abstractNum>
  <w:abstractNum w:abstractNumId="128">
    <w:nsid w:val="5551B9F3"/>
    <w:multiLevelType w:val="hybridMultilevel"/>
    <w:lvl w:ilvl="0">
      <w:lvlJc w:val="left"/>
      <w:lvlText w:val="(%1)"/>
      <w:numFmt w:val="lowerRoman"/>
      <w:start w:val="1"/>
    </w:lvl>
  </w:abstractNum>
  <w:abstractNum w:abstractNumId="129">
    <w:nsid w:val="24F6AB8E"/>
    <w:multiLevelType w:val="hybridMultilevel"/>
    <w:lvl w:ilvl="0">
      <w:lvlJc w:val="left"/>
      <w:lvlText w:val="(%1)"/>
      <w:numFmt w:val="lowerRoman"/>
      <w:start w:val="1"/>
    </w:lvl>
  </w:abstractNum>
  <w:abstractNum w:abstractNumId="130">
    <w:nsid w:val="634C574C"/>
    <w:multiLevelType w:val="hybridMultilevel"/>
    <w:lvl w:ilvl="0">
      <w:lvlJc w:val="left"/>
      <w:lvlText w:val="(%1)"/>
      <w:numFmt w:val="lowerRoman"/>
      <w:start w:val="4"/>
    </w:lvl>
  </w:abstractNum>
  <w:abstractNum w:abstractNumId="131">
    <w:nsid w:val="24E99DD7"/>
    <w:multiLevelType w:val="hybridMultilevel"/>
    <w:lvl w:ilvl="0">
      <w:lvlJc w:val="left"/>
      <w:lvlText w:val="(%1)"/>
      <w:numFmt w:val="decimal"/>
      <w:start w:val="1"/>
    </w:lvl>
  </w:abstractNum>
  <w:abstractNum w:abstractNumId="132">
    <w:nsid w:val="2A31B62D"/>
    <w:multiLevelType w:val="hybridMultilevel"/>
    <w:lvl w:ilvl="0">
      <w:lvlJc w:val="left"/>
      <w:lvlText w:val="(%1)"/>
      <w:numFmt w:val="decimal"/>
      <w:start w:val="1"/>
    </w:lvl>
  </w:abstractNum>
  <w:abstractNum w:abstractNumId="133">
    <w:nsid w:val="1849C29B"/>
    <w:multiLevelType w:val="hybridMultilevel"/>
    <w:lvl w:ilvl="0">
      <w:lvlJc w:val="left"/>
      <w:lvlText w:val="(%1)"/>
      <w:numFmt w:val="decimal"/>
      <w:start w:val="3"/>
    </w:lvl>
  </w:abstractNum>
  <w:abstractNum w:abstractNumId="134">
    <w:nsid w:val="7DFF9D09"/>
    <w:multiLevelType w:val="hybridMultilevel"/>
    <w:lvl w:ilvl="0">
      <w:lvlJc w:val="left"/>
      <w:lvlText w:val="(%1)"/>
      <w:numFmt w:val="decimal"/>
      <w:start w:val="4"/>
    </w:lvl>
  </w:abstractNum>
  <w:abstractNum w:abstractNumId="135">
    <w:nsid w:val="754342"/>
    <w:multiLevelType w:val="hybridMultilevel"/>
    <w:lvl w:ilvl="0">
      <w:lvlJc w:val="left"/>
      <w:lvlText w:val="​"/>
      <w:numFmt w:val="bullet"/>
      <w:start w:val="1"/>
    </w:lvl>
  </w:abstractNum>
  <w:abstractNum w:abstractNumId="136">
    <w:nsid w:val="69E7F3E5"/>
    <w:multiLevelType w:val="hybridMultilevel"/>
    <w:lvl w:ilvl="0">
      <w:lvlJc w:val="left"/>
      <w:lvlText w:val="■"/>
      <w:numFmt w:val="bullet"/>
      <w:start w:val="1"/>
    </w:lvl>
  </w:abstractNum>
  <w:abstractNum w:abstractNumId="137">
    <w:nsid w:val="2A6DE806"/>
    <w:multiLevelType w:val="hybridMultilevel"/>
    <w:lvl w:ilvl="0">
      <w:lvlJc w:val="left"/>
      <w:lvlText w:val="*"/>
      <w:numFmt w:val="bullet"/>
      <w:start w:val="1"/>
    </w:lvl>
    <w:lvl w:ilvl="1">
      <w:lvlJc w:val="left"/>
      <w:lvlText w:val="■"/>
      <w:numFmt w:val="bullet"/>
      <w:start w:val="1"/>
    </w:lvl>
  </w:abstractNum>
  <w:abstractNum w:abstractNumId="138">
    <w:nsid w:val="1816F8C4"/>
    <w:multiLevelType w:val="hybridMultilevel"/>
    <w:lvl w:ilvl="0">
      <w:lvlJc w:val="left"/>
      <w:lvlText w:val="(%1)"/>
      <w:numFmt w:val="decimal"/>
      <w:start w:val="1"/>
    </w:lvl>
  </w:abstractNum>
  <w:abstractNum w:abstractNumId="139">
    <w:nsid w:val="37DF2233"/>
    <w:multiLevelType w:val="hybridMultilevel"/>
    <w:lvl w:ilvl="0">
      <w:lvlJc w:val="left"/>
      <w:lvlText w:val="(%1)"/>
      <w:numFmt w:val="decimal"/>
      <w:start w:val="8"/>
    </w:lvl>
  </w:abstractNum>
  <w:abstractNum w:abstractNumId="140">
    <w:nsid w:val="7AB49DAF"/>
    <w:multiLevelType w:val="hybridMultilevel"/>
    <w:lvl w:ilvl="0">
      <w:lvlJc w:val="left"/>
      <w:lvlText w:val="(%1)"/>
      <w:numFmt w:val="decimal"/>
      <w:start w:val="9"/>
    </w:lvl>
  </w:abstractNum>
  <w:abstractNum w:abstractNumId="141">
    <w:nsid w:val="759F82CD"/>
    <w:multiLevelType w:val="hybridMultilevel"/>
    <w:lvl w:ilvl="0">
      <w:lvlJc w:val="left"/>
      <w:lvlText w:val="​"/>
      <w:numFmt w:val="bullet"/>
      <w:start w:val="1"/>
    </w:lvl>
  </w:abstractNum>
  <w:abstractNum w:abstractNumId="142">
    <w:nsid w:val="61E74EA3"/>
    <w:multiLevelType w:val="hybridMultilevel"/>
    <w:lvl w:ilvl="0">
      <w:lvlJc w:val="left"/>
      <w:lvlText w:val="​"/>
      <w:numFmt w:val="bullet"/>
      <w:start w:val="1"/>
    </w:lvl>
  </w:abstractNum>
  <w:abstractNum w:abstractNumId="143">
    <w:nsid w:val="597B4D84"/>
    <w:multiLevelType w:val="hybridMultilevel"/>
    <w:lvl w:ilvl="0">
      <w:lvlJc w:val="left"/>
      <w:lvlText w:val="​"/>
      <w:numFmt w:val="bullet"/>
      <w:start w:val="1"/>
    </w:lvl>
  </w:abstractNum>
  <w:abstractNum w:abstractNumId="144">
    <w:nsid w:val="F819E7F"/>
    <w:multiLevelType w:val="hybridMultilevel"/>
    <w:lvl w:ilvl="0">
      <w:lvlJc w:val="left"/>
      <w:lvlText w:val="(%1)"/>
      <w:numFmt w:val="lowerRoman"/>
      <w:start w:val="1"/>
    </w:lvl>
  </w:abstractNum>
  <w:abstractNum w:abstractNumId="145">
    <w:nsid w:val="57C7D42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2026-04-17T07:34:14Z</dcterms:created>
  <dcterms:modified xsi:type="dcterms:W3CDTF">2026-04-17T07:34:14Z</dcterms:modified>
</cp:coreProperties>
</file>