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444d1_8k.htm"/>
      <w:bookmarkStart w:id="1" w:name="kstm2621444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60728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3" w:name="xdx_903_edei--DocumentPeriodEndDate_c202"/>
      <w:bookmarkEnd w:id="3"/>
      <w:r>
        <w:rPr>
          <w:rFonts w:ascii="Times New Roman;Times;Serif" w:hAnsi="Times New Roman;Times;Serif"/>
          <w:b/>
          <w:i w:val="false"/>
          <w:caps w:val="false"/>
          <w:smallCaps w:val="false"/>
          <w:sz w:val="20"/>
        </w:rPr>
        <w:t>July 28, 2026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 of Report (Date of earliest event reported)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6_edei--EntityRegistrantName_c2026"/>
      <w:bookmarkEnd w:id="4"/>
      <w:r>
        <w:rPr>
          <w:rFonts w:ascii="Times New Roman;Times;Serif" w:hAnsi="Times New Roman;Times;Serif"/>
          <w:b/>
          <w:i w:val="false"/>
          <w:caps w:val="false"/>
          <w:smallCaps w:val="false"/>
          <w:sz w:val="36"/>
        </w:rPr>
        <w:t>RIBBON COMMUNICATIONS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255" w:type="dxa"/>
        <w:jc w:val="left"/>
        <w:tblInd w:w="0" w:type="dxa"/>
        <w:tblLayout w:type="fixed"/>
        <w:tblCellMar>
          <w:top w:w="0" w:type="dxa"/>
          <w:left w:w="0" w:type="dxa"/>
          <w:bottom w:w="0" w:type="dxa"/>
          <w:right w:w="0" w:type="dxa"/>
        </w:tblCellMar>
      </w:tblPr>
      <w:tblGrid>
        <w:gridCol w:w="2240"/>
        <w:gridCol w:w="90"/>
        <w:gridCol w:w="2240"/>
        <w:gridCol w:w="90"/>
        <w:gridCol w:w="1595"/>
      </w:tblGrid>
      <w:tr>
        <w:trPr/>
        <w:tc>
          <w:tcPr>
            <w:tcW w:w="22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 w:name="xdx_902_edei--EntityIncorporationStateCo"/>
            <w:bookmarkEnd w:id="5"/>
            <w:r>
              <w:rPr>
                <w:rFonts w:ascii="Times New Roman;Times;Serif" w:hAnsi="Times New Roman;Times;Serif"/>
                <w:b w:val="false"/>
                <w:i w:val="false"/>
                <w:caps w:val="false"/>
                <w:smallCaps w:val="false"/>
                <w:sz w:val="20"/>
              </w:rPr>
              <w:t>Delaware</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22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 w:name="xdx_906_edei--EntityFileNumber_c20260728"/>
            <w:bookmarkEnd w:id="6"/>
            <w:r>
              <w:rPr>
                <w:rFonts w:ascii="Times New Roman;Times;Serif" w:hAnsi="Times New Roman;Times;Serif"/>
                <w:b w:val="false"/>
                <w:i w:val="false"/>
                <w:caps w:val="false"/>
                <w:smallCaps w:val="false"/>
                <w:sz w:val="20"/>
              </w:rPr>
              <w:t>001-38267</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5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7" w:name="xdx_908_edei--EntityTaxIdentificationNum"/>
            <w:bookmarkEnd w:id="7"/>
            <w:r>
              <w:rPr>
                <w:rFonts w:ascii="Times New Roman;Times;Serif" w:hAnsi="Times New Roman;Times;Serif"/>
                <w:b w:val="false"/>
                <w:i w:val="false"/>
                <w:caps w:val="false"/>
                <w:smallCaps w:val="false"/>
                <w:sz w:val="20"/>
              </w:rPr>
              <w:t>82-1669692</w:t>
            </w:r>
          </w:p>
        </w:tc>
      </w:tr>
      <w:tr>
        <w:trPr/>
        <w:tc>
          <w:tcPr>
            <w:tcW w:w="2240"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22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59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 xml:space="preserve">6500 Chase Oaks Blvd., </w:t>
      </w:r>
      <w:bookmarkStart w:id="9" w:name="xdx_900_edei--EntityAddressAddressLine2_"/>
      <w:bookmarkEnd w:id="9"/>
      <w:r>
        <w:rPr>
          <w:rFonts w:ascii="Times New Roman;Times;Serif" w:hAnsi="Times New Roman;Times;Serif"/>
          <w:b/>
          <w:i w:val="false"/>
          <w:caps w:val="false"/>
          <w:smallCaps w:val="false"/>
          <w:sz w:val="20"/>
        </w:rPr>
        <w:t xml:space="preserve">Suite 100, </w:t>
      </w:r>
      <w:bookmarkStart w:id="10" w:name="xdx_90E_edei--EntityAddressCityOrTown_c2"/>
      <w:bookmarkEnd w:id="10"/>
      <w:r>
        <w:rPr>
          <w:rFonts w:ascii="Times New Roman;Times;Serif" w:hAnsi="Times New Roman;Times;Serif"/>
          <w:b/>
          <w:i w:val="false"/>
          <w:caps w:val="false"/>
          <w:smallCaps w:val="false"/>
          <w:sz w:val="20"/>
        </w:rPr>
        <w:t xml:space="preserve">Plano, </w:t>
      </w:r>
      <w:bookmarkStart w:id="11" w:name="xdx_909_edei--EntityAddressStateOrProvin"/>
      <w:bookmarkEnd w:id="11"/>
      <w:r>
        <w:rPr>
          <w:rFonts w:ascii="Times New Roman;Times;Serif" w:hAnsi="Times New Roman;Times;Serif"/>
          <w:b/>
          <w:i w:val="false"/>
          <w:caps w:val="false"/>
          <w:smallCaps w:val="false"/>
          <w:sz w:val="20"/>
        </w:rPr>
        <w:t xml:space="preserve">TX </w:t>
      </w:r>
      <w:bookmarkStart w:id="12" w:name="xdx_902_edei--EntityAddressPostalZipCode"/>
      <w:bookmarkEnd w:id="12"/>
      <w:r>
        <w:rPr>
          <w:rFonts w:ascii="Times New Roman;Times;Serif" w:hAnsi="Times New Roman;Times;Serif"/>
          <w:b/>
          <w:i w:val="false"/>
          <w:caps w:val="false"/>
          <w:smallCaps w:val="false"/>
          <w:sz w:val="20"/>
        </w:rPr>
        <w:t>75023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3" w:name="xdx_903_edei--CityAreaCode_c20260728__20"/>
      <w:bookmarkEnd w:id="13"/>
      <w:r>
        <w:rPr>
          <w:rFonts w:ascii="Times New Roman;Times;Serif" w:hAnsi="Times New Roman;Times;Serif"/>
          <w:b/>
          <w:i w:val="false"/>
          <w:caps w:val="false"/>
          <w:smallCaps w:val="false"/>
          <w:sz w:val="20"/>
        </w:rPr>
        <w:t xml:space="preserve">978) </w:t>
      </w:r>
      <w:bookmarkStart w:id="14" w:name="xdx_90B_edei--LocalPhoneNumber_c20260728"/>
      <w:bookmarkEnd w:id="14"/>
      <w:r>
        <w:rPr>
          <w:rFonts w:ascii="Times New Roman;Times;Serif" w:hAnsi="Times New Roman;Times;Serif"/>
          <w:b/>
          <w:i w:val="false"/>
          <w:caps w:val="false"/>
          <w:smallCaps w:val="false"/>
          <w:sz w:val="20"/>
        </w:rPr>
        <w:t>614-8100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bookmarkStart w:id="15" w:name="xdx_907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bookmarkStart w:id="16" w:name="xdx_903_edei--SolicitingMaterial_c202607"/>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bookmarkStart w:id="17" w:name="xdx_902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bookmarkStart w:id="18" w:name="xdx_90D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475" w:type="dxa"/>
        <w:jc w:val="left"/>
        <w:tblInd w:w="0" w:type="dxa"/>
        <w:tblLayout w:type="fixed"/>
        <w:tblCellMar>
          <w:top w:w="0" w:type="dxa"/>
          <w:left w:w="0" w:type="dxa"/>
          <w:bottom w:w="0" w:type="dxa"/>
          <w:right w:w="0" w:type="dxa"/>
        </w:tblCellMar>
      </w:tblPr>
      <w:tblGrid>
        <w:gridCol w:w="2885"/>
        <w:gridCol w:w="90"/>
        <w:gridCol w:w="1640"/>
        <w:gridCol w:w="90"/>
        <w:gridCol w:w="3770"/>
      </w:tblGrid>
      <w:tr>
        <w:trPr/>
        <w:tc>
          <w:tcPr>
            <w:tcW w:w="288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90" w:type="dxa"/>
            <w:tcBorders/>
            <w:vAlign w:val="center"/>
          </w:tcPr>
          <w:p>
            <w:pPr>
              <w:pStyle w:val="TableContents"/>
              <w:bidi w:val="0"/>
              <w:spacing w:before="0" w:after="283"/>
              <w:jc w:val="center"/>
              <w:rPr/>
            </w:pPr>
            <w:r>
              <w:rPr/>
              <w:t> </w:t>
            </w:r>
          </w:p>
        </w:tc>
        <w:tc>
          <w:tcPr>
            <w:tcW w:w="164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90" w:type="dxa"/>
            <w:tcBorders/>
            <w:vAlign w:val="center"/>
          </w:tcPr>
          <w:p>
            <w:pPr>
              <w:pStyle w:val="TableContents"/>
              <w:bidi w:val="0"/>
              <w:spacing w:before="0" w:after="283"/>
              <w:jc w:val="center"/>
              <w:rPr/>
            </w:pPr>
            <w:r>
              <w:rPr/>
              <w:t> </w:t>
            </w:r>
          </w:p>
        </w:tc>
        <w:tc>
          <w:tcPr>
            <w:tcW w:w="37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8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9_edei--Security12bTitle_c20260728"/>
            <w:bookmarkEnd w:id="19"/>
            <w:r>
              <w:rPr>
                <w:rFonts w:ascii="Times New Roman;Times;Serif" w:hAnsi="Times New Roman;Times;Serif"/>
                <w:b w:val="false"/>
                <w:i w:val="false"/>
                <w:caps w:val="false"/>
                <w:smallCaps w:val="false"/>
                <w:sz w:val="20"/>
              </w:rPr>
              <w:t>Common Stock, par value $0.0001</w:t>
            </w:r>
          </w:p>
        </w:tc>
        <w:tc>
          <w:tcPr>
            <w:tcW w:w="90" w:type="dxa"/>
            <w:tcBorders/>
            <w:vAlign w:val="center"/>
          </w:tcPr>
          <w:p>
            <w:pPr>
              <w:pStyle w:val="TableContents"/>
              <w:bidi w:val="0"/>
              <w:spacing w:before="0" w:after="283"/>
              <w:jc w:val="center"/>
              <w:rPr/>
            </w:pPr>
            <w:r>
              <w:rPr/>
              <w:t> </w:t>
            </w:r>
          </w:p>
        </w:tc>
        <w:tc>
          <w:tcPr>
            <w:tcW w:w="16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1_edei--TradingSymbol_c20260728__2"/>
            <w:bookmarkEnd w:id="20"/>
            <w:r>
              <w:rPr>
                <w:rFonts w:ascii="Times New Roman;Times;Serif" w:hAnsi="Times New Roman;Times;Serif"/>
                <w:b w:val="false"/>
                <w:i w:val="false"/>
                <w:caps w:val="false"/>
                <w:smallCaps w:val="false"/>
                <w:sz w:val="20"/>
              </w:rPr>
              <w:t>RBBN</w:t>
            </w:r>
          </w:p>
        </w:tc>
        <w:tc>
          <w:tcPr>
            <w:tcW w:w="90" w:type="dxa"/>
            <w:tcBorders/>
            <w:vAlign w:val="center"/>
          </w:tcPr>
          <w:p>
            <w:pPr>
              <w:pStyle w:val="TableContents"/>
              <w:bidi w:val="0"/>
              <w:spacing w:before="0" w:after="283"/>
              <w:jc w:val="center"/>
              <w:rPr/>
            </w:pPr>
            <w:r>
              <w:rPr/>
              <w:t> </w:t>
            </w:r>
          </w:p>
        </w:tc>
        <w:tc>
          <w:tcPr>
            <w:tcW w:w="377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B_edei--SecurityExchangeName_c2026"/>
            <w:bookmarkEnd w:id="21"/>
            <w:r>
              <w:rPr>
                <w:rFonts w:ascii="Times New Roman;Times;Serif" w:hAnsi="Times New Roman;Times;Serif"/>
                <w:b w:val="false"/>
                <w:i w:val="false"/>
                <w:caps w:val="false"/>
                <w:smallCaps w:val="false"/>
                <w:sz w:val="20"/>
              </w:rPr>
              <w:t>The 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6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875"/>
        <w:gridCol w:w="4865"/>
      </w:tblGrid>
      <w:tr>
        <w:trPr/>
        <w:tc>
          <w:tcPr>
            <w:tcW w:w="8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Item 2.02.</w:t>
            </w:r>
          </w:p>
        </w:tc>
        <w:tc>
          <w:tcPr>
            <w:tcW w:w="4865" w:type="dxa"/>
            <w:tcBorders/>
            <w:vAlign w:val="center"/>
          </w:tcPr>
          <w:p>
            <w:pPr>
              <w:pStyle w:val="TableContents"/>
              <w:bidi w:val="0"/>
              <w:spacing w:before="0" w:after="283"/>
              <w:jc w:val="left"/>
              <w:rPr/>
            </w:pPr>
            <w:r>
              <w:rPr>
                <w:b/>
              </w:rPr>
              <w:t>Results of Operations and Financial Condition.</w:t>
            </w:r>
            <w:r>
              <w:rPr/>
              <w:t xml:space="preserve">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2.02 of this Current Report on Form 8-K (the "Current Report"), including Exhibit 99.1 attached hereto, shall not be deemed “filed” for purposes of Section 18 of the Securities Exchange Act of 1934, as amended (the “Exchange Act”), otherwise subject to the liabilities of that Section or incorporated by reference in any filing under the Securities Act of 1933, as amended (the "Securities Act"), or the Exchange Act, except as shall be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28, 2026, Ribbon Communications Inc. (the "Company") issued a press release reporting financial information for the quarter ended June 30, 2026, a copy of which is furnished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1040"/>
        <w:gridCol w:w="3560"/>
      </w:tblGrid>
      <w:tr>
        <w:trPr/>
        <w:tc>
          <w:tcPr>
            <w:tcW w:w="1040"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both"/>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1180" w:type="dxa"/>
        <w:jc w:val="left"/>
        <w:tblInd w:w="0" w:type="dxa"/>
        <w:tblLayout w:type="fixed"/>
        <w:tblCellMar>
          <w:top w:w="0" w:type="dxa"/>
          <w:left w:w="0" w:type="dxa"/>
          <w:bottom w:w="0" w:type="dxa"/>
          <w:right w:w="0" w:type="dxa"/>
        </w:tblCellMar>
      </w:tblPr>
      <w:tblGrid>
        <w:gridCol w:w="305"/>
        <w:gridCol w:w="875"/>
      </w:tblGrid>
      <w:tr>
        <w:trPr/>
        <w:tc>
          <w:tcPr>
            <w:tcW w:w="305" w:type="dxa"/>
            <w:tcBorders/>
            <w:vAlign w:val="center"/>
          </w:tcPr>
          <w:p>
            <w:pPr>
              <w:pStyle w:val="TableContents"/>
              <w:bidi w:val="0"/>
              <w:spacing w:before="0" w:after="283"/>
              <w:jc w:val="left"/>
              <w:rPr/>
            </w:pPr>
            <w:r>
              <w:rPr/>
              <w:t>(d)</w:t>
            </w:r>
          </w:p>
        </w:tc>
        <w:tc>
          <w:tcPr>
            <w:tcW w:w="875" w:type="dxa"/>
            <w:tcBorders/>
            <w:vAlign w:val="center"/>
          </w:tcPr>
          <w:p>
            <w:pPr>
              <w:pStyle w:val="TableContents"/>
              <w:bidi w:val="0"/>
              <w:spacing w:before="0" w:after="283"/>
              <w:jc w:val="both"/>
              <w:rPr/>
            </w:pPr>
            <w:r>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75"/>
        <w:gridCol w:w="440"/>
        <w:gridCol w:w="7685"/>
      </w:tblGrid>
      <w:tr>
        <w:trPr/>
        <w:tc>
          <w:tcPr>
            <w:tcW w:w="7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hyperlink w:anchor="tm2621444d1_ex99-1.htm">
              <w:r>
                <w:rPr>
                  <w:rStyle w:val="InternetLink"/>
                </w:rPr>
                <w:t>99.1</w:t>
              </w:r>
            </w:hyperlink>
          </w:p>
        </w:tc>
        <w:tc>
          <w:tcPr>
            <w:tcW w:w="7685" w:type="dxa"/>
            <w:tcBorders/>
            <w:vAlign w:val="center"/>
          </w:tcPr>
          <w:p>
            <w:pPr>
              <w:pStyle w:val="TableContents"/>
              <w:bidi w:val="0"/>
              <w:spacing w:before="0" w:after="283"/>
              <w:jc w:val="both"/>
              <w:rPr/>
            </w:pPr>
            <w:hyperlink w:anchor="tm2621444d1_ex99-1.htm">
              <w:r>
                <w:rPr>
                  <w:rStyle w:val="InternetLink"/>
                </w:rPr>
                <w:t>Press Release of Ribbon Communications Inc., dated July 28, 2026.</w:t>
              </w:r>
            </w:hyperlink>
          </w:p>
        </w:tc>
      </w:tr>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104</w:t>
            </w:r>
          </w:p>
        </w:tc>
        <w:tc>
          <w:tcPr>
            <w:tcW w:w="7685" w:type="dxa"/>
            <w:tcBorders/>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355" w:type="dxa"/>
        <w:jc w:val="left"/>
        <w:tblInd w:w="0" w:type="dxa"/>
        <w:tblLayout w:type="fixed"/>
        <w:tblCellMar>
          <w:top w:w="0" w:type="dxa"/>
          <w:left w:w="0" w:type="dxa"/>
          <w:bottom w:w="0" w:type="dxa"/>
          <w:right w:w="0" w:type="dxa"/>
        </w:tblCellMar>
      </w:tblPr>
      <w:tblGrid>
        <w:gridCol w:w="1625"/>
        <w:gridCol w:w="320"/>
        <w:gridCol w:w="545"/>
        <w:gridCol w:w="4865"/>
      </w:tblGrid>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28, 2026</w:t>
            </w:r>
          </w:p>
        </w:tc>
        <w:tc>
          <w:tcPr>
            <w:tcW w:w="5730" w:type="dxa"/>
            <w:gridSpan w:val="3"/>
            <w:tcBorders/>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Ribbon Communications Inc.</w:t>
            </w:r>
          </w:p>
        </w:tc>
      </w:tr>
      <w:tr>
        <w:trPr/>
        <w:tc>
          <w:tcPr>
            <w:tcW w:w="162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1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Patrick Macken</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Patrick W. Macken</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Chief Legal Officer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right"/>
        <w:rPr>
          <w:b/>
          <w:sz w:val="20"/>
        </w:rPr>
      </w:pPr>
      <w:bookmarkStart w:id="23" w:name="tm2621444d1_ex99-1.htm"/>
      <w:bookmarkStart w:id="24" w:name="kstm2621444d1_ex991"/>
      <w:bookmarkEnd w:id="23"/>
      <w:bookmarkEnd w:id="24"/>
      <w:r>
        <w:rPr>
          <w:b/>
          <w:sz w:val="20"/>
        </w:rPr>
        <w:t>Exhibit 99.1</w:t>
      </w:r>
      <w:r>
        <w:br w:type="page"/>
      </w:r>
    </w:p>
    <w:p>
      <w:pPr>
        <w:pStyle w:val="TextBody"/>
        <w:bidi w:val="0"/>
        <w:spacing w:before="0" w:after="283"/>
        <w:jc w:val="left"/>
        <w:rPr/>
      </w:pPr>
      <w:r>
        <w:rPr/>
        <w:t> </w:t>
      </w:r>
    </w:p>
    <w:p>
      <w:pPr>
        <w:pStyle w:val="TextBody"/>
        <w:bidi w:val="0"/>
        <w:spacing w:before="0" w:after="283"/>
        <w:jc w:val="left"/>
        <w:rPr/>
      </w:pPr>
      <w:r>
        <w:rPr/>
        <w:drawing>
          <wp:inline distT="0" distB="0" distL="0" distR="0">
            <wp:extent cx="173355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33550" cy="495300"/>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Ribbon Communications Inc. Reports</w:t>
        <w:br/>
        <w:t>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Revenue increased 18% sequentially and Profitability improved by $20M;</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further gains expected in 2H 2026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Record IP Optical Quarterly Bookings led by growth in North America;</w:t>
      </w:r>
      <w:r>
        <w:rPr>
          <w:rFonts w:ascii="Times New Roman;Times;Serif" w:hAnsi="Times New Roman;Times;Serif"/>
          <w:b w:val="false"/>
          <w:i w:val="false"/>
          <w:caps w:val="false"/>
          <w:smallCaps w:val="false"/>
          <w:sz w:val="20"/>
        </w:rPr>
        <w:t> </w:t>
      </w:r>
    </w:p>
    <w:p>
      <w:pPr>
        <w:pStyle w:val="TextBody"/>
        <w:shd w:fill="FFFFFF" w:val="clear"/>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Critical Infrastructure and DCI Wins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Large Enterprise momentum,</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including selection by Salesforce for Agentforce Contact Center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PLANO, Texas – </w:t>
      </w:r>
      <w:r>
        <w:rPr>
          <w:rFonts w:ascii="Times New Roman;Times;Serif" w:hAnsi="Times New Roman;Times;Serif"/>
          <w:b w:val="false"/>
          <w:i w:val="false"/>
          <w:caps w:val="false"/>
          <w:smallCaps w:val="false"/>
          <w:sz w:val="20"/>
          <w:u w:val="single"/>
        </w:rPr>
        <w:t>Ribbon Communications Inc.</w:t>
      </w:r>
      <w:r>
        <w:rPr>
          <w:rFonts w:ascii="Times New Roman;Times;Serif" w:hAnsi="Times New Roman;Times;Serif"/>
          <w:b w:val="false"/>
          <w:i w:val="false"/>
          <w:caps w:val="false"/>
          <w:smallCaps w:val="false"/>
          <w:sz w:val="20"/>
        </w:rPr>
        <w:t xml:space="preserve"> (Nasdaq: RBBN), a global leader in real-time communications technology, IP routing, and optical networking solutions, today announced its financial results for the second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Results¹:</w:t>
      </w:r>
    </w:p>
    <w:p>
      <w:pPr>
        <w:pStyle w:val="TextBody"/>
        <w:bidi w:val="0"/>
        <w:spacing w:before="0" w:after="0"/>
        <w:ind w:left="0" w:right="0" w:hanging="0"/>
        <w:jc w:val="left"/>
        <w:rPr>
          <w:caps w:val="false"/>
          <w:smallCaps w:val="false"/>
        </w:rPr>
      </w:pPr>
      <w:r>
        <w:rPr>
          <w:caps w:val="false"/>
          <w:smallCaps w:val="false"/>
        </w:rPr>
        <w:t> </w:t>
      </w:r>
    </w:p>
    <w:tbl>
      <w:tblPr>
        <w:tblW w:w="8763" w:type="dxa"/>
        <w:jc w:val="left"/>
        <w:tblInd w:w="0" w:type="dxa"/>
        <w:tblLayout w:type="fixed"/>
        <w:tblCellMar>
          <w:top w:w="0" w:type="dxa"/>
          <w:left w:w="0" w:type="dxa"/>
          <w:bottom w:w="0" w:type="dxa"/>
          <w:right w:w="0" w:type="dxa"/>
        </w:tblCellMar>
      </w:tblPr>
      <w:tblGrid>
        <w:gridCol w:w="38"/>
        <w:gridCol w:w="110"/>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Revenue was $192 million, compared to $221 million for the second quarter of 2025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GAAP Operating Loss was ($12) million, compared to income of $4 million for the second quarter of 2025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Non-GAAP Adjusted EBITDA was $12 million, compared to $32 million for the second quarter of 2025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GAAP Gross Margin was 47%, compared to 49.6% for the second quarter of 2025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Non-GAAP Gross Margin was 49.3%, compared to 52.1% for the second quarter of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had meaningful sequential improvement in revenue and profitability in both of our operating segments in the second quarter, with key financial metrics above the mid-point of our guidance. Demand continued to strengthen in our IP Optical Networks business, resulting in a new record level of bookings, and one of our best quarters in the U.S. market,” stated Bruce McClelland, President and Chief Executive Officer of Ribbon Communications. “The Enterprise market was also a highlight in the quarter with a major Microsoft Teams Voice deployment with a top tier financial institution, and the announcement of our partnership with Salesforce for their new Agentforce Contact Center launch.”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McClelland continued, “For the balance of the year, we continue to expect sequential revenue growth and improved earnings. We see several larger opportunities in our IP Optical business that could provide additional upside, balanced by a more moderated view of voice modernization deployment acceleration with our U.S. Tier One Service Providers. We expect second-half revenue growth from several regions, including Telecom Operators and Critical Infrastructure Providers in EMEA and Southeast Asia, U.S. Government Federal Agencies, and U.S. Regional Service Providers investing in multi-purpose optical networks that support Data Center Interconnect (DCI), broadband internet access, and mobile backhaul.”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Rick Marmurek, Chief Financial Officer of Ribbon Communications, remarked, “Our financial results in the second quarter reflected improved execution in the business with healthy customer demand across most of our markets. Our financial priorities remain unchanged—execute efficiently, expand margins over time, and generate stronger cash flow as higher-value growth opportunities become a larger part of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33550" cy="495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33550" cy="4953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204" w:type="dxa"/>
        <w:jc w:val="left"/>
        <w:tblInd w:w="0" w:type="dxa"/>
        <w:tblLayout w:type="fixed"/>
        <w:tblCellMar>
          <w:top w:w="0" w:type="dxa"/>
          <w:left w:w="0" w:type="dxa"/>
          <w:bottom w:w="0" w:type="dxa"/>
          <w:right w:w="0" w:type="dxa"/>
        </w:tblCellMar>
      </w:tblPr>
      <w:tblGrid>
        <w:gridCol w:w="3695"/>
        <w:gridCol w:w="60"/>
        <w:gridCol w:w="170"/>
        <w:gridCol w:w="599"/>
        <w:gridCol w:w="108"/>
        <w:gridCol w:w="81"/>
        <w:gridCol w:w="170"/>
        <w:gridCol w:w="599"/>
        <w:gridCol w:w="80"/>
        <w:gridCol w:w="60"/>
        <w:gridCol w:w="146"/>
        <w:gridCol w:w="516"/>
        <w:gridCol w:w="93"/>
        <w:gridCol w:w="70"/>
        <w:gridCol w:w="146"/>
        <w:gridCol w:w="516"/>
        <w:gridCol w:w="95"/>
      </w:tblGrid>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7"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7"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Six months ended</w:t>
            </w:r>
          </w:p>
        </w:tc>
        <w:tc>
          <w:tcPr>
            <w:tcW w:w="9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7"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7"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w:t>
            </w:r>
          </w:p>
        </w:tc>
        <w:tc>
          <w:tcPr>
            <w:tcW w:w="95" w:type="dxa"/>
            <w:tcBorders/>
            <w:vAlign w:val="center"/>
          </w:tcPr>
          <w:p>
            <w:pPr>
              <w:pStyle w:val="TableContents"/>
              <w:bidi w:val="0"/>
              <w:spacing w:before="0" w:after="283"/>
              <w:jc w:val="left"/>
              <w:rPr/>
            </w:pPr>
            <w:r>
              <w:rPr/>
              <w:t> </w:t>
            </w:r>
          </w:p>
        </w:tc>
      </w:tr>
      <w:tr>
        <w:trPr/>
        <w:tc>
          <w:tcPr>
            <w:tcW w:w="3695" w:type="dxa"/>
            <w:tcBorders>
              <w:bottom w:val="single" w:sz="8" w:space="0" w:color="000000"/>
            </w:tcBorders>
            <w:tcMar>
              <w:bottom w:w="28" w:type="dxa"/>
            </w:tcMar>
            <w:vAlign w:val="center"/>
          </w:tcPr>
          <w:p>
            <w:pPr>
              <w:pStyle w:val="TableContents"/>
              <w:bidi w:val="0"/>
              <w:spacing w:before="0" w:after="283"/>
              <w:jc w:val="left"/>
              <w:rPr>
                <w:b/>
                <w:i/>
                <w:sz w:val="20"/>
              </w:rPr>
            </w:pPr>
            <w:r>
              <w:rPr>
                <w:b/>
                <w:i/>
                <w:sz w:val="20"/>
              </w:rPr>
              <w:t>In millions, except per share amounts</w:t>
            </w:r>
          </w:p>
        </w:tc>
        <w:tc>
          <w:tcPr>
            <w:tcW w:w="60" w:type="dxa"/>
            <w:tcBorders/>
            <w:vAlign w:val="center"/>
          </w:tcPr>
          <w:p>
            <w:pPr>
              <w:pStyle w:val="TableContents"/>
              <w:bidi w:val="0"/>
              <w:spacing w:before="0" w:after="283"/>
              <w:jc w:val="left"/>
              <w:rPr/>
            </w:pPr>
            <w:r>
              <w:rPr/>
              <w:t> </w:t>
            </w:r>
          </w:p>
        </w:tc>
        <w:tc>
          <w:tcPr>
            <w:tcW w:w="76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08"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76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93"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66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sz w:val="20"/>
              </w:rPr>
            </w:pPr>
            <w:r>
              <w:rPr>
                <w:sz w:val="20"/>
              </w:rPr>
              <w:t>GAAP Revenue</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20"/>
              </w:rPr>
            </w:pPr>
            <w:r>
              <w:rPr>
                <w:sz w:val="20"/>
              </w:rPr>
              <w:t>$</w:t>
            </w:r>
          </w:p>
        </w:tc>
        <w:tc>
          <w:tcPr>
            <w:tcW w:w="599" w:type="dxa"/>
            <w:tcBorders/>
            <w:shd w:fill="CCEEFF" w:val="clear"/>
            <w:vAlign w:val="center"/>
          </w:tcPr>
          <w:p>
            <w:pPr>
              <w:pStyle w:val="TableContents"/>
              <w:bidi w:val="0"/>
              <w:spacing w:before="0" w:after="283"/>
              <w:jc w:val="right"/>
              <w:rPr>
                <w:sz w:val="20"/>
              </w:rPr>
            </w:pPr>
            <w:r>
              <w:rPr>
                <w:sz w:val="20"/>
              </w:rPr>
              <w:t>192</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20"/>
              </w:rPr>
            </w:pPr>
            <w:r>
              <w:rPr>
                <w:sz w:val="20"/>
              </w:rPr>
              <w:t>$</w:t>
            </w:r>
          </w:p>
        </w:tc>
        <w:tc>
          <w:tcPr>
            <w:tcW w:w="599" w:type="dxa"/>
            <w:tcBorders/>
            <w:shd w:fill="CCEEFF" w:val="clear"/>
            <w:vAlign w:val="center"/>
          </w:tcPr>
          <w:p>
            <w:pPr>
              <w:pStyle w:val="TableContents"/>
              <w:bidi w:val="0"/>
              <w:spacing w:before="0" w:after="283"/>
              <w:jc w:val="right"/>
              <w:rPr>
                <w:sz w:val="20"/>
              </w:rPr>
            </w:pPr>
            <w:r>
              <w:rPr>
                <w:sz w:val="20"/>
              </w:rPr>
              <w:t>221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sz w:val="20"/>
              </w:rPr>
            </w:pPr>
            <w:r>
              <w:rPr>
                <w:sz w:val="20"/>
              </w:rPr>
              <w:t>$</w:t>
            </w:r>
          </w:p>
        </w:tc>
        <w:tc>
          <w:tcPr>
            <w:tcW w:w="516" w:type="dxa"/>
            <w:tcBorders/>
            <w:shd w:fill="CCEEFF" w:val="clear"/>
            <w:vAlign w:val="center"/>
          </w:tcPr>
          <w:p>
            <w:pPr>
              <w:pStyle w:val="TableContents"/>
              <w:bidi w:val="0"/>
              <w:spacing w:before="0" w:after="283"/>
              <w:jc w:val="right"/>
              <w:rPr>
                <w:sz w:val="20"/>
              </w:rPr>
            </w:pPr>
            <w:r>
              <w:rPr>
                <w:sz w:val="20"/>
              </w:rPr>
              <w:t>355</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sz w:val="20"/>
              </w:rPr>
            </w:pPr>
            <w:r>
              <w:rPr>
                <w:sz w:val="20"/>
              </w:rPr>
              <w:t>$</w:t>
            </w:r>
          </w:p>
        </w:tc>
        <w:tc>
          <w:tcPr>
            <w:tcW w:w="516" w:type="dxa"/>
            <w:tcBorders/>
            <w:shd w:fill="CCEEFF" w:val="clear"/>
            <w:vAlign w:val="center"/>
          </w:tcPr>
          <w:p>
            <w:pPr>
              <w:pStyle w:val="TableContents"/>
              <w:bidi w:val="0"/>
              <w:spacing w:before="0" w:after="283"/>
              <w:jc w:val="right"/>
              <w:rPr>
                <w:sz w:val="20"/>
              </w:rPr>
            </w:pPr>
            <w:r>
              <w:rPr>
                <w:sz w:val="20"/>
              </w:rPr>
              <w:t>402</w:t>
            </w:r>
          </w:p>
        </w:tc>
        <w:tc>
          <w:tcPr>
            <w:tcW w:w="9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sz w:val="20"/>
              </w:rPr>
            </w:pPr>
            <w:r>
              <w:rPr>
                <w:sz w:val="20"/>
              </w:rPr>
              <w:t>GAAP Net income (loss)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sz w:val="20"/>
              </w:rPr>
            </w:pPr>
            <w:r>
              <w:rPr>
                <w:sz w:val="20"/>
              </w:rPr>
              <w:t>$</w:t>
            </w:r>
          </w:p>
        </w:tc>
        <w:tc>
          <w:tcPr>
            <w:tcW w:w="599" w:type="dxa"/>
            <w:tcBorders/>
            <w:shd w:fill="FFFFFF" w:val="clear"/>
            <w:vAlign w:val="center"/>
          </w:tcPr>
          <w:p>
            <w:pPr>
              <w:pStyle w:val="TableContents"/>
              <w:bidi w:val="0"/>
              <w:spacing w:before="0" w:after="283"/>
              <w:jc w:val="right"/>
              <w:rPr>
                <w:sz w:val="20"/>
              </w:rPr>
            </w:pPr>
            <w:r>
              <w:rPr>
                <w:sz w:val="20"/>
              </w:rPr>
              <w:t>(27</w:t>
            </w:r>
          </w:p>
        </w:tc>
        <w:tc>
          <w:tcPr>
            <w:tcW w:w="108" w:type="dxa"/>
            <w:tcBorders/>
            <w:shd w:fill="FFFFFF" w:val="clear"/>
            <w:vAlign w:val="center"/>
          </w:tcPr>
          <w:p>
            <w:pPr>
              <w:pStyle w:val="TableContents"/>
              <w:bidi w:val="0"/>
              <w:spacing w:before="0" w:after="283"/>
              <w:jc w:val="left"/>
              <w:rPr>
                <w:sz w:val="20"/>
              </w:rPr>
            </w:pPr>
            <w:r>
              <w:rPr>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sz w:val="20"/>
              </w:rPr>
            </w:pPr>
            <w:r>
              <w:rPr>
                <w:sz w:val="20"/>
              </w:rPr>
              <w:t>$</w:t>
            </w:r>
          </w:p>
        </w:tc>
        <w:tc>
          <w:tcPr>
            <w:tcW w:w="599" w:type="dxa"/>
            <w:tcBorders/>
            <w:shd w:fill="FFFFFF" w:val="clear"/>
            <w:vAlign w:val="center"/>
          </w:tcPr>
          <w:p>
            <w:pPr>
              <w:pStyle w:val="TableContents"/>
              <w:bidi w:val="0"/>
              <w:spacing w:before="0" w:after="283"/>
              <w:jc w:val="right"/>
              <w:rPr>
                <w:sz w:val="20"/>
              </w:rPr>
            </w:pPr>
            <w:r>
              <w:rPr>
                <w:sz w:val="20"/>
              </w:rPr>
              <w:t>(11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20"/>
              </w:rPr>
            </w:pPr>
            <w:r>
              <w:rPr>
                <w:sz w:val="20"/>
              </w:rPr>
              <w:t>$</w:t>
            </w:r>
          </w:p>
        </w:tc>
        <w:tc>
          <w:tcPr>
            <w:tcW w:w="516" w:type="dxa"/>
            <w:tcBorders/>
            <w:shd w:fill="FFFFFF" w:val="clear"/>
            <w:vAlign w:val="center"/>
          </w:tcPr>
          <w:p>
            <w:pPr>
              <w:pStyle w:val="TableContents"/>
              <w:bidi w:val="0"/>
              <w:spacing w:before="0" w:after="283"/>
              <w:jc w:val="right"/>
              <w:rPr>
                <w:sz w:val="20"/>
              </w:rPr>
            </w:pPr>
            <w:r>
              <w:rPr>
                <w:sz w:val="20"/>
              </w:rPr>
              <w:t>(61</w:t>
            </w:r>
          </w:p>
        </w:tc>
        <w:tc>
          <w:tcPr>
            <w:tcW w:w="93" w:type="dxa"/>
            <w:tcBorders/>
            <w:shd w:fill="FFFFFF" w:val="clear"/>
            <w:vAlign w:val="center"/>
          </w:tcPr>
          <w:p>
            <w:pPr>
              <w:pStyle w:val="TableContents"/>
              <w:bidi w:val="0"/>
              <w:spacing w:before="0" w:after="283"/>
              <w:jc w:val="left"/>
              <w:rPr>
                <w:sz w:val="20"/>
              </w:rPr>
            </w:pPr>
            <w:r>
              <w:rPr>
                <w:sz w:val="20"/>
              </w:rPr>
              <w:t>)</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20"/>
              </w:rPr>
            </w:pPr>
            <w:r>
              <w:rPr>
                <w:sz w:val="20"/>
              </w:rPr>
              <w:t>$</w:t>
            </w:r>
          </w:p>
        </w:tc>
        <w:tc>
          <w:tcPr>
            <w:tcW w:w="516" w:type="dxa"/>
            <w:tcBorders/>
            <w:shd w:fill="FFFFFF" w:val="clear"/>
            <w:vAlign w:val="center"/>
          </w:tcPr>
          <w:p>
            <w:pPr>
              <w:pStyle w:val="TableContents"/>
              <w:bidi w:val="0"/>
              <w:spacing w:before="0" w:after="283"/>
              <w:jc w:val="right"/>
              <w:rPr>
                <w:sz w:val="20"/>
              </w:rPr>
            </w:pPr>
            <w:r>
              <w:rPr>
                <w:sz w:val="20"/>
              </w:rPr>
              <w:t>(37</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695" w:type="dxa"/>
            <w:tcBorders/>
            <w:shd w:fill="CCEEFF" w:val="clear"/>
            <w:vAlign w:val="center"/>
          </w:tcPr>
          <w:p>
            <w:pPr>
              <w:pStyle w:val="TableContents"/>
              <w:bidi w:val="0"/>
              <w:spacing w:before="0" w:after="283"/>
              <w:jc w:val="left"/>
              <w:rPr>
                <w:sz w:val="20"/>
              </w:rPr>
            </w:pPr>
            <w:r>
              <w:rPr>
                <w:sz w:val="20"/>
              </w:rPr>
              <w:t>Non-GAAP Net income (loss)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20"/>
              </w:rPr>
            </w:pPr>
            <w:r>
              <w:rPr>
                <w:sz w:val="20"/>
              </w:rPr>
              <w:t>$</w:t>
            </w:r>
          </w:p>
        </w:tc>
        <w:tc>
          <w:tcPr>
            <w:tcW w:w="599" w:type="dxa"/>
            <w:tcBorders/>
            <w:shd w:fill="CCEEFF" w:val="clear"/>
            <w:vAlign w:val="center"/>
          </w:tcPr>
          <w:p>
            <w:pPr>
              <w:pStyle w:val="TableContents"/>
              <w:bidi w:val="0"/>
              <w:spacing w:before="0" w:after="283"/>
              <w:jc w:val="right"/>
              <w:rPr>
                <w:sz w:val="20"/>
              </w:rPr>
            </w:pPr>
            <w:r>
              <w:rPr>
                <w:sz w:val="20"/>
              </w:rPr>
              <w:t>(5</w:t>
            </w:r>
          </w:p>
        </w:tc>
        <w:tc>
          <w:tcPr>
            <w:tcW w:w="108" w:type="dxa"/>
            <w:tcBorders/>
            <w:shd w:fill="CCEEFF" w:val="clear"/>
            <w:vAlign w:val="center"/>
          </w:tcPr>
          <w:p>
            <w:pPr>
              <w:pStyle w:val="TableContents"/>
              <w:bidi w:val="0"/>
              <w:spacing w:before="0" w:after="283"/>
              <w:jc w:val="left"/>
              <w:rPr>
                <w:sz w:val="20"/>
              </w:rPr>
            </w:pPr>
            <w:r>
              <w:rPr>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20"/>
              </w:rPr>
            </w:pPr>
            <w:r>
              <w:rPr>
                <w:sz w:val="20"/>
              </w:rPr>
              <w:t>$</w:t>
            </w:r>
          </w:p>
        </w:tc>
        <w:tc>
          <w:tcPr>
            <w:tcW w:w="599" w:type="dxa"/>
            <w:tcBorders/>
            <w:shd w:fill="CCEEFF" w:val="clear"/>
            <w:vAlign w:val="center"/>
          </w:tcPr>
          <w:p>
            <w:pPr>
              <w:pStyle w:val="TableContents"/>
              <w:bidi w:val="0"/>
              <w:spacing w:before="0" w:after="283"/>
              <w:jc w:val="right"/>
              <w:rPr>
                <w:sz w:val="20"/>
              </w:rPr>
            </w:pPr>
            <w:r>
              <w:rPr>
                <w:sz w:val="20"/>
              </w:rPr>
              <w:t>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sz w:val="20"/>
              </w:rPr>
            </w:pPr>
            <w:r>
              <w:rPr>
                <w:sz w:val="20"/>
              </w:rPr>
              <w:t>$</w:t>
            </w:r>
          </w:p>
        </w:tc>
        <w:tc>
          <w:tcPr>
            <w:tcW w:w="516" w:type="dxa"/>
            <w:tcBorders/>
            <w:shd w:fill="CCEEFF" w:val="clear"/>
            <w:vAlign w:val="center"/>
          </w:tcPr>
          <w:p>
            <w:pPr>
              <w:pStyle w:val="TableContents"/>
              <w:bidi w:val="0"/>
              <w:spacing w:before="0" w:after="283"/>
              <w:jc w:val="right"/>
              <w:rPr>
                <w:sz w:val="20"/>
              </w:rPr>
            </w:pPr>
            <w:r>
              <w:rPr>
                <w:sz w:val="20"/>
              </w:rPr>
              <w:t>(13</w:t>
            </w:r>
          </w:p>
        </w:tc>
        <w:tc>
          <w:tcPr>
            <w:tcW w:w="93" w:type="dxa"/>
            <w:tcBorders/>
            <w:shd w:fill="CCEEFF" w:val="clear"/>
            <w:vAlign w:val="center"/>
          </w:tcPr>
          <w:p>
            <w:pPr>
              <w:pStyle w:val="TableContents"/>
              <w:bidi w:val="0"/>
              <w:spacing w:before="0" w:after="283"/>
              <w:jc w:val="left"/>
              <w:rPr>
                <w:sz w:val="20"/>
              </w:rPr>
            </w:pPr>
            <w:r>
              <w:rPr>
                <w:sz w:val="20"/>
              </w:rPr>
              <w:t>)</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sz w:val="20"/>
              </w:rPr>
            </w:pPr>
            <w:r>
              <w:rPr>
                <w:sz w:val="20"/>
              </w:rPr>
              <w:t>$</w:t>
            </w:r>
          </w:p>
        </w:tc>
        <w:tc>
          <w:tcPr>
            <w:tcW w:w="516" w:type="dxa"/>
            <w:tcBorders/>
            <w:shd w:fill="CCEEFF" w:val="clear"/>
            <w:vAlign w:val="center"/>
          </w:tcPr>
          <w:p>
            <w:pPr>
              <w:pStyle w:val="TableContents"/>
              <w:bidi w:val="0"/>
              <w:spacing w:before="0" w:after="283"/>
              <w:jc w:val="right"/>
              <w:rPr>
                <w:sz w:val="20"/>
              </w:rPr>
            </w:pPr>
            <w:r>
              <w:rPr>
                <w:sz w:val="20"/>
              </w:rPr>
              <w:t>5</w:t>
            </w:r>
          </w:p>
        </w:tc>
        <w:tc>
          <w:tcPr>
            <w:tcW w:w="9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sz w:val="20"/>
              </w:rPr>
            </w:pPr>
            <w:r>
              <w:rPr>
                <w:sz w:val="20"/>
              </w:rPr>
              <w:t>Non-GAAP Adjusted EBITDA</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sz w:val="20"/>
              </w:rPr>
            </w:pPr>
            <w:r>
              <w:rPr>
                <w:sz w:val="20"/>
              </w:rPr>
              <w:t>$</w:t>
            </w:r>
          </w:p>
        </w:tc>
        <w:tc>
          <w:tcPr>
            <w:tcW w:w="599" w:type="dxa"/>
            <w:tcBorders/>
            <w:shd w:fill="FFFFFF" w:val="clear"/>
            <w:vAlign w:val="center"/>
          </w:tcPr>
          <w:p>
            <w:pPr>
              <w:pStyle w:val="TableContents"/>
              <w:bidi w:val="0"/>
              <w:spacing w:before="0" w:after="283"/>
              <w:jc w:val="right"/>
              <w:rPr>
                <w:sz w:val="20"/>
              </w:rPr>
            </w:pPr>
            <w:r>
              <w:rPr>
                <w:sz w:val="20"/>
              </w:rPr>
              <w:t>12</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sz w:val="20"/>
              </w:rPr>
            </w:pPr>
            <w:r>
              <w:rPr>
                <w:sz w:val="20"/>
              </w:rPr>
              <w:t>$</w:t>
            </w:r>
          </w:p>
        </w:tc>
        <w:tc>
          <w:tcPr>
            <w:tcW w:w="599" w:type="dxa"/>
            <w:tcBorders/>
            <w:shd w:fill="FFFFFF" w:val="clear"/>
            <w:vAlign w:val="center"/>
          </w:tcPr>
          <w:p>
            <w:pPr>
              <w:pStyle w:val="TableContents"/>
              <w:bidi w:val="0"/>
              <w:spacing w:before="0" w:after="283"/>
              <w:jc w:val="right"/>
              <w:rPr>
                <w:sz w:val="20"/>
              </w:rPr>
            </w:pPr>
            <w:r>
              <w:rPr>
                <w:sz w:val="20"/>
              </w:rPr>
              <w:t>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20"/>
              </w:rPr>
            </w:pPr>
            <w:r>
              <w:rPr>
                <w:sz w:val="20"/>
              </w:rPr>
              <w:t>$</w:t>
            </w:r>
          </w:p>
        </w:tc>
        <w:tc>
          <w:tcPr>
            <w:tcW w:w="516" w:type="dxa"/>
            <w:tcBorders/>
            <w:shd w:fill="FFFFFF" w:val="clear"/>
            <w:vAlign w:val="center"/>
          </w:tcPr>
          <w:p>
            <w:pPr>
              <w:pStyle w:val="TableContents"/>
              <w:bidi w:val="0"/>
              <w:spacing w:before="0" w:after="283"/>
              <w:jc w:val="right"/>
              <w:rPr>
                <w:sz w:val="20"/>
              </w:rPr>
            </w:pPr>
            <w:r>
              <w:rPr>
                <w:sz w:val="20"/>
              </w:rPr>
              <w:t>4</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20"/>
              </w:rPr>
            </w:pPr>
            <w:r>
              <w:rPr>
                <w:sz w:val="20"/>
              </w:rPr>
              <w:t>$</w:t>
            </w:r>
          </w:p>
        </w:tc>
        <w:tc>
          <w:tcPr>
            <w:tcW w:w="516" w:type="dxa"/>
            <w:tcBorders/>
            <w:shd w:fill="FFFFFF" w:val="clear"/>
            <w:vAlign w:val="center"/>
          </w:tcPr>
          <w:p>
            <w:pPr>
              <w:pStyle w:val="TableContents"/>
              <w:bidi w:val="0"/>
              <w:spacing w:before="0" w:after="283"/>
              <w:jc w:val="right"/>
              <w:rPr>
                <w:sz w:val="20"/>
              </w:rPr>
            </w:pPr>
            <w:r>
              <w:rPr>
                <w:sz w:val="20"/>
              </w:rPr>
              <w:t>38</w:t>
            </w:r>
          </w:p>
        </w:tc>
        <w:tc>
          <w:tcPr>
            <w:tcW w:w="95"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sz w:val="20"/>
              </w:rPr>
            </w:pPr>
            <w:r>
              <w:rPr>
                <w:sz w:val="20"/>
              </w:rPr>
              <w:t>GAAP diluted earnings (loss) per share</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20"/>
              </w:rPr>
            </w:pPr>
            <w:r>
              <w:rPr>
                <w:sz w:val="20"/>
              </w:rPr>
              <w:t>$</w:t>
            </w:r>
          </w:p>
        </w:tc>
        <w:tc>
          <w:tcPr>
            <w:tcW w:w="599" w:type="dxa"/>
            <w:tcBorders/>
            <w:shd w:fill="CCEEFF" w:val="clear"/>
            <w:vAlign w:val="center"/>
          </w:tcPr>
          <w:p>
            <w:pPr>
              <w:pStyle w:val="TableContents"/>
              <w:bidi w:val="0"/>
              <w:spacing w:before="0" w:after="283"/>
              <w:jc w:val="right"/>
              <w:rPr>
                <w:sz w:val="20"/>
              </w:rPr>
            </w:pPr>
            <w:r>
              <w:rPr>
                <w:sz w:val="20"/>
              </w:rPr>
              <w:t>(0.15</w:t>
            </w:r>
          </w:p>
        </w:tc>
        <w:tc>
          <w:tcPr>
            <w:tcW w:w="108" w:type="dxa"/>
            <w:tcBorders/>
            <w:shd w:fill="CCEEFF" w:val="clear"/>
            <w:vAlign w:val="center"/>
          </w:tcPr>
          <w:p>
            <w:pPr>
              <w:pStyle w:val="TableContents"/>
              <w:bidi w:val="0"/>
              <w:spacing w:before="0" w:after="283"/>
              <w:jc w:val="left"/>
              <w:rPr>
                <w:sz w:val="20"/>
              </w:rPr>
            </w:pPr>
            <w:r>
              <w:rPr>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20"/>
              </w:rPr>
            </w:pPr>
            <w:r>
              <w:rPr>
                <w:sz w:val="20"/>
              </w:rPr>
              <w:t>$</w:t>
            </w:r>
          </w:p>
        </w:tc>
        <w:tc>
          <w:tcPr>
            <w:tcW w:w="599" w:type="dxa"/>
            <w:tcBorders/>
            <w:shd w:fill="CCEEFF" w:val="clear"/>
            <w:vAlign w:val="center"/>
          </w:tcPr>
          <w:p>
            <w:pPr>
              <w:pStyle w:val="TableContents"/>
              <w:bidi w:val="0"/>
              <w:spacing w:before="0" w:after="283"/>
              <w:jc w:val="right"/>
              <w:rPr>
                <w:sz w:val="20"/>
              </w:rPr>
            </w:pPr>
            <w:r>
              <w:rPr>
                <w:sz w:val="20"/>
              </w:rPr>
              <w:t>(0.06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sz w:val="20"/>
              </w:rPr>
            </w:pPr>
            <w:r>
              <w:rPr>
                <w:sz w:val="20"/>
              </w:rPr>
              <w:t>$</w:t>
            </w:r>
          </w:p>
        </w:tc>
        <w:tc>
          <w:tcPr>
            <w:tcW w:w="516" w:type="dxa"/>
            <w:tcBorders/>
            <w:shd w:fill="CCEEFF" w:val="clear"/>
            <w:vAlign w:val="center"/>
          </w:tcPr>
          <w:p>
            <w:pPr>
              <w:pStyle w:val="TableContents"/>
              <w:bidi w:val="0"/>
              <w:spacing w:before="0" w:after="283"/>
              <w:jc w:val="right"/>
              <w:rPr>
                <w:sz w:val="20"/>
              </w:rPr>
            </w:pPr>
            <w:r>
              <w:rPr>
                <w:sz w:val="20"/>
              </w:rPr>
              <w:t>(0.35</w:t>
            </w:r>
          </w:p>
        </w:tc>
        <w:tc>
          <w:tcPr>
            <w:tcW w:w="93" w:type="dxa"/>
            <w:tcBorders/>
            <w:shd w:fill="CCEEFF" w:val="clear"/>
            <w:vAlign w:val="center"/>
          </w:tcPr>
          <w:p>
            <w:pPr>
              <w:pStyle w:val="TableContents"/>
              <w:bidi w:val="0"/>
              <w:spacing w:before="0" w:after="283"/>
              <w:jc w:val="left"/>
              <w:rPr>
                <w:sz w:val="20"/>
              </w:rPr>
            </w:pPr>
            <w:r>
              <w:rPr>
                <w:sz w:val="20"/>
              </w:rPr>
              <w:t>)</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sz w:val="20"/>
              </w:rPr>
            </w:pPr>
            <w:r>
              <w:rPr>
                <w:sz w:val="20"/>
              </w:rPr>
              <w:t>$</w:t>
            </w:r>
          </w:p>
        </w:tc>
        <w:tc>
          <w:tcPr>
            <w:tcW w:w="516" w:type="dxa"/>
            <w:tcBorders/>
            <w:shd w:fill="CCEEFF" w:val="clear"/>
            <w:vAlign w:val="center"/>
          </w:tcPr>
          <w:p>
            <w:pPr>
              <w:pStyle w:val="TableContents"/>
              <w:bidi w:val="0"/>
              <w:spacing w:before="0" w:after="283"/>
              <w:jc w:val="right"/>
              <w:rPr>
                <w:sz w:val="20"/>
              </w:rPr>
            </w:pPr>
            <w:r>
              <w:rPr>
                <w:sz w:val="20"/>
              </w:rPr>
              <w:t>(0.21</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3695" w:type="dxa"/>
            <w:tcBorders/>
            <w:shd w:fill="FFFFFF" w:val="clear"/>
            <w:vAlign w:val="center"/>
          </w:tcPr>
          <w:p>
            <w:pPr>
              <w:pStyle w:val="TableContents"/>
              <w:bidi w:val="0"/>
              <w:spacing w:before="0" w:after="283"/>
              <w:jc w:val="left"/>
              <w:rPr>
                <w:sz w:val="20"/>
              </w:rPr>
            </w:pPr>
            <w:r>
              <w:rPr>
                <w:sz w:val="20"/>
              </w:rPr>
              <w:t>Non-GAAP diluted earnings (loss) per share</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sz w:val="20"/>
              </w:rPr>
            </w:pPr>
            <w:r>
              <w:rPr>
                <w:sz w:val="20"/>
              </w:rPr>
              <w:t>$</w:t>
            </w:r>
          </w:p>
        </w:tc>
        <w:tc>
          <w:tcPr>
            <w:tcW w:w="599" w:type="dxa"/>
            <w:tcBorders/>
            <w:shd w:fill="FFFFFF" w:val="clear"/>
            <w:vAlign w:val="center"/>
          </w:tcPr>
          <w:p>
            <w:pPr>
              <w:pStyle w:val="TableContents"/>
              <w:bidi w:val="0"/>
              <w:spacing w:before="0" w:after="283"/>
              <w:jc w:val="right"/>
              <w:rPr>
                <w:sz w:val="20"/>
              </w:rPr>
            </w:pPr>
            <w:r>
              <w:rPr>
                <w:sz w:val="20"/>
              </w:rPr>
              <w:t>(0.03</w:t>
            </w:r>
          </w:p>
        </w:tc>
        <w:tc>
          <w:tcPr>
            <w:tcW w:w="108" w:type="dxa"/>
            <w:tcBorders/>
            <w:shd w:fill="FFFFFF" w:val="clear"/>
            <w:vAlign w:val="center"/>
          </w:tcPr>
          <w:p>
            <w:pPr>
              <w:pStyle w:val="TableContents"/>
              <w:bidi w:val="0"/>
              <w:spacing w:before="0" w:after="283"/>
              <w:jc w:val="left"/>
              <w:rPr>
                <w:sz w:val="20"/>
              </w:rPr>
            </w:pPr>
            <w:r>
              <w:rPr>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sz w:val="20"/>
              </w:rPr>
            </w:pPr>
            <w:r>
              <w:rPr>
                <w:sz w:val="20"/>
              </w:rPr>
              <w:t>$</w:t>
            </w:r>
          </w:p>
        </w:tc>
        <w:tc>
          <w:tcPr>
            <w:tcW w:w="599" w:type="dxa"/>
            <w:tcBorders/>
            <w:shd w:fill="FFFFFF" w:val="clear"/>
            <w:vAlign w:val="center"/>
          </w:tcPr>
          <w:p>
            <w:pPr>
              <w:pStyle w:val="TableContents"/>
              <w:bidi w:val="0"/>
              <w:spacing w:before="0" w:after="283"/>
              <w:jc w:val="right"/>
              <w:rPr>
                <w:sz w:val="20"/>
              </w:rPr>
            </w:pPr>
            <w:r>
              <w:rPr>
                <w:sz w:val="20"/>
              </w:rPr>
              <w:t>0.05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20"/>
              </w:rPr>
            </w:pPr>
            <w:r>
              <w:rPr>
                <w:sz w:val="20"/>
              </w:rPr>
              <w:t>$</w:t>
            </w:r>
          </w:p>
        </w:tc>
        <w:tc>
          <w:tcPr>
            <w:tcW w:w="516" w:type="dxa"/>
            <w:tcBorders/>
            <w:shd w:fill="FFFFFF" w:val="clear"/>
            <w:vAlign w:val="center"/>
          </w:tcPr>
          <w:p>
            <w:pPr>
              <w:pStyle w:val="TableContents"/>
              <w:bidi w:val="0"/>
              <w:spacing w:before="0" w:after="283"/>
              <w:jc w:val="right"/>
              <w:rPr>
                <w:sz w:val="20"/>
              </w:rPr>
            </w:pPr>
            <w:r>
              <w:rPr>
                <w:sz w:val="20"/>
              </w:rPr>
              <w:t>(0.08</w:t>
            </w:r>
          </w:p>
        </w:tc>
        <w:tc>
          <w:tcPr>
            <w:tcW w:w="93" w:type="dxa"/>
            <w:tcBorders/>
            <w:shd w:fill="FFFFFF" w:val="clear"/>
            <w:vAlign w:val="center"/>
          </w:tcPr>
          <w:p>
            <w:pPr>
              <w:pStyle w:val="TableContents"/>
              <w:bidi w:val="0"/>
              <w:spacing w:before="0" w:after="283"/>
              <w:jc w:val="left"/>
              <w:rPr>
                <w:sz w:val="20"/>
              </w:rPr>
            </w:pPr>
            <w:r>
              <w:rPr>
                <w:sz w:val="20"/>
              </w:rPr>
              <w:t>)</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20"/>
              </w:rPr>
            </w:pPr>
            <w:r>
              <w:rPr>
                <w:sz w:val="20"/>
              </w:rPr>
              <w:t>$</w:t>
            </w:r>
          </w:p>
        </w:tc>
        <w:tc>
          <w:tcPr>
            <w:tcW w:w="516" w:type="dxa"/>
            <w:tcBorders/>
            <w:shd w:fill="FFFFFF" w:val="clear"/>
            <w:vAlign w:val="center"/>
          </w:tcPr>
          <w:p>
            <w:pPr>
              <w:pStyle w:val="TableContents"/>
              <w:bidi w:val="0"/>
              <w:spacing w:before="0" w:after="283"/>
              <w:jc w:val="right"/>
              <w:rPr>
                <w:sz w:val="20"/>
              </w:rPr>
            </w:pPr>
            <w:r>
              <w:rPr>
                <w:sz w:val="20"/>
              </w:rPr>
              <w:t>0.03</w:t>
            </w:r>
          </w:p>
        </w:tc>
        <w:tc>
          <w:tcPr>
            <w:tcW w:w="95"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sz w:val="20"/>
              </w:rPr>
            </w:pPr>
            <w:r>
              <w:rPr>
                <w:sz w:val="20"/>
              </w:rPr>
              <w:t>Weighted average shares outstanding basic</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sz w:val="20"/>
              </w:rPr>
            </w:pPr>
            <w:r>
              <w:rPr>
                <w:sz w:val="20"/>
              </w:rPr>
              <w:t>177</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sz w:val="20"/>
              </w:rPr>
            </w:pPr>
            <w:r>
              <w:rPr>
                <w:sz w:val="20"/>
              </w:rPr>
              <w:t>177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sz w:val="20"/>
              </w:rPr>
            </w:pPr>
            <w:r>
              <w:rPr>
                <w:sz w:val="20"/>
              </w:rPr>
              <w:t>176</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sz w:val="20"/>
              </w:rPr>
            </w:pPr>
            <w:r>
              <w:rPr>
                <w:sz w:val="20"/>
              </w:rPr>
              <w:t>176</w:t>
            </w:r>
          </w:p>
        </w:tc>
        <w:tc>
          <w:tcPr>
            <w:tcW w:w="9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sz w:val="20"/>
              </w:rPr>
            </w:pPr>
            <w:r>
              <w:rPr>
                <w:sz w:val="20"/>
              </w:rPr>
              <w:t>Weighted average shares outstanding diluted</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sz w:val="20"/>
              </w:rPr>
            </w:pPr>
            <w:r>
              <w:rPr>
                <w:sz w:val="20"/>
              </w:rPr>
              <w:t>180</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sz w:val="20"/>
              </w:rPr>
            </w:pPr>
            <w:r>
              <w:rPr>
                <w:sz w:val="20"/>
              </w:rPr>
              <w:t>180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right"/>
              <w:rPr>
                <w:sz w:val="20"/>
              </w:rPr>
            </w:pPr>
            <w:r>
              <w:rPr>
                <w:sz w:val="20"/>
              </w:rPr>
              <w:t>179</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right"/>
              <w:rPr>
                <w:sz w:val="20"/>
              </w:rPr>
            </w:pPr>
            <w:r>
              <w:rPr>
                <w:sz w:val="20"/>
              </w:rPr>
              <w:t>180</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Please see the reconciliations of the non-GAAP financial measures to the most directly comparable GAAP measures and additional information about non-GAAP measures in the section entitled “Discussion of Non-GAAP Financial Measures” in the attached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Planters Broadband Selects Ribbon to Launch New 400G/800G- Ready Optical Route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Ribbon's Cloud Native Technology Partners with Agentforce Contact Center in the Public Cloud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Ribbon Introduces Rapid Deployment Networking Solutions for Mobile Data Centers, Defense Agencies, and Critical Infrastructure Providers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Ribbon and Comporium Expand Partnership to Advance Voice Infrastructure Modernization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MGW Partners with Ribbon to Modernize Infrastructure and Expand Rural Connectivity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Outlook</w:t>
      </w:r>
      <w:r>
        <w:rPr>
          <w:rFonts w:ascii="Times New Roman;Times;Serif" w:hAnsi="Times New Roman;Times;Serif"/>
          <w:b/>
          <w:i w:val="false"/>
          <w:caps w:val="false"/>
          <w:smallCaps w:val="false"/>
          <w:position w:val="7"/>
          <w:sz w:val="16"/>
          <w:sz w:val="2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third quarter of 2026, the Company projects revenue of $215 million to $230 million. Non-GAAP gross margin is projected in a range of 51% to 52%. Adjusted EBITDA is projected in a range of $26 million to $31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also adjusted full-year 2026 targets and now expects revenue in a range of $810 million to $840 million, non-GAAP gross margin in a range of 51% to 52%, and Adjusted EBITDA in a range of $78 million to $88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outlook is based on current indications for its business, which are subject to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GAAP earnings guidance is not provided. Please see the reconciliations of the non-GAAP financial measures to the most directly comparable GAAP measures and additional information about the non-GAAP measures in the section entitled “Discussion of Non-GAAP Financial Measures” in the attached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Upcoming Conference Schedule</w:t>
      </w:r>
    </w:p>
    <w:p>
      <w:pPr>
        <w:pStyle w:val="TextBody"/>
        <w:bidi w:val="0"/>
        <w:spacing w:before="0" w:after="0"/>
        <w:ind w:left="0" w:right="0" w:hanging="0"/>
        <w:jc w:val="left"/>
        <w:rPr>
          <w:caps w:val="false"/>
          <w:smallCaps w:val="false"/>
        </w:rPr>
      </w:pPr>
      <w:r>
        <w:rPr>
          <w:caps w:val="false"/>
          <w:smallCaps w:val="false"/>
        </w:rPr>
        <w:t> </w:t>
      </w:r>
    </w:p>
    <w:tbl>
      <w:tblPr>
        <w:tblW w:w="8888" w:type="dxa"/>
        <w:jc w:val="left"/>
        <w:tblInd w:w="0" w:type="dxa"/>
        <w:tblLayout w:type="fixed"/>
        <w:tblCellMar>
          <w:top w:w="0" w:type="dxa"/>
          <w:left w:w="0" w:type="dxa"/>
          <w:bottom w:w="0" w:type="dxa"/>
          <w:right w:w="0" w:type="dxa"/>
        </w:tblCellMar>
      </w:tblPr>
      <w:tblGrid>
        <w:gridCol w:w="38"/>
        <w:gridCol w:w="110"/>
        <w:gridCol w:w="1700"/>
        <w:gridCol w:w="704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17-18, 2026:</w:t>
            </w:r>
          </w:p>
        </w:tc>
        <w:tc>
          <w:tcPr>
            <w:tcW w:w="7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Rosenblatt 6th Annual Tech Summit 2026: The Age of AI</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25, 2026:</w:t>
            </w:r>
          </w:p>
        </w:tc>
        <w:tc>
          <w:tcPr>
            <w:tcW w:w="7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Jefferies Semiconductor, IT Hardware &amp; Communications Technology Conference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and Webcast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Ribbon Communications will host a conference call to discuss the Company’s financial results at 4:30 p.m. ET on Tuesday, July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Dial-in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US/Canada: 877-407-2991</w:t>
        <w:br/>
        <w:t>International: 201-389-0925</w:t>
        <w:br/>
        <w:t>Instant Telephone Access: </w:t>
      </w:r>
      <w:r>
        <w:rPr>
          <w:rFonts w:ascii="Times New Roman;Times;Serif" w:hAnsi="Times New Roman;Times;Serif"/>
          <w:b w:val="false"/>
          <w:i w:val="false"/>
          <w:caps w:val="false"/>
          <w:smallCaps w:val="false"/>
          <w:sz w:val="20"/>
          <w:u w:val="single"/>
        </w:rPr>
        <w:t>Call me™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33550" cy="4953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33550" cy="4953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live (listen-only) webcast and replay will be available on the Company’s Investor Relations website at </w:t>
      </w:r>
      <w:r>
        <w:rPr>
          <w:rFonts w:ascii="Times New Roman;Times;Serif" w:hAnsi="Times New Roman;Times;Serif"/>
          <w:b w:val="false"/>
          <w:i w:val="false"/>
          <w:caps w:val="false"/>
          <w:smallCaps w:val="false"/>
          <w:sz w:val="20"/>
          <w:u w:val="single"/>
        </w:rPr>
        <w:t>investors.ribboncommunications.com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(978) 614-8050</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ir@rbbn.com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Catherine Berthier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(646) 741-1974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cberthier@rbbn.com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Ribbon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Ribbon Communications (Nasdaq: RBBN) is a global provider of voice communications software, IP routing, and optical networking to mobile and wireline service providers, enterprises, critical infrastructure and defense sectors. We support our customers’ Path to Autonomous Networks by leveraging the latest AIOps automation platforms and Agentic AI technologies, helping them deliver better customer experiences, reduce operational costs, and achieve sustainable growth. To learn more about Ribbon, visit </w:t>
      </w:r>
      <w:r>
        <w:rPr>
          <w:rFonts w:ascii="Times New Roman;Times;Serif" w:hAnsi="Times New Roman;Times;Serif"/>
          <w:b w:val="false"/>
          <w:i w:val="false"/>
          <w:caps w:val="false"/>
          <w:smallCaps w:val="false"/>
          <w:sz w:val="20"/>
          <w:u w:val="single"/>
        </w:rPr>
        <w:t>rbbn.com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contains “forward-looking statements” within the meaning of the U.S. Private Securities Litigation Reform Act of 1995, which are subject to a number of risks and uncertainties. All statements other than statements of historical facts contained in this release, including without limitation, statements regarding Company’s projected financial results for the third quarter and full year 2026 and beyond; expected customer bookings, spend and timing; beliefs about the Company’s business strategy, including new product introductions such as the Acumen AIOps platform; beliefs about the accelerating adoption of AI and the shift towards autonomous networking; and the timing of customer network transformation projects, are forward-looking statements. Without limiting the foregoing, the words “anticipates”, “believes”, “could”, “estimates”, “expects”, “expectations”, “intends”, “may”, “plans”, “projects” and other similar language, whether in the negative or affirmative, are intended to identify forward-looking statements, although not all forward-looking statements contain these identifying words.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based on the Company’s current expectations and assumptions regarding its business, the economy and other future conditions. Because forward-looking statements relate to the future, they are subject to inherent uncertainties, risks and changes in circumstances that are unknown and/or difficult to predict and that may cause the Company’s actual results, performance or achievements to be materially different from those expressed or implied by the forward-looking statements. Such risks and uncertainties include, but are not limited to, unpredictable fluctuations in quarterly revenue and operating results; the impact of restructuring and cost-containment activities; impacts from new tariffs, the proposed termination of the USMCA and other trade restrictions or taxes on our products; supply chain disruptions resulting from component availability; impacts from the wars in the Middle East and Ukraine and related economic volatility and uncertainty resulting therefrom; the impact of military call-ups of our employees in Israel; material litigation; the impact of fluctuations in interest rates; material cybersecurity and data intrusion incidents, including any security breaches resulting in the theft, transfer, or unauthorized disclosure of customer, employee, or company information; our ability to comply with applicable domestic and foreign information security and privacy laws, regulations and technology platform rules or other obligations related to data privacy and security; failure to compete successfully against telecommunications equipment and networking companies; failure to grow our customer base or generate recurring business from our existing customers; credit risks; the timing of customer purchasing decisions and our recognition of revenues; macroeconomic conditions, including inflation; our ability to adapt to rapid technological and market changes; our ability to generate positive returns on our research and development; our ability to protect our intellectual property rights and obtain necessary licenses; our ability to maintain partner, reseller, distribution and vendor support and supply relationships; the potential for defects in our products; risks related to the terms of our credit agreement; higher risks in international operations and markets; currency fluctuations; unanticipated adverse changes in legal, regulatory or tax laws; future accounting pronouncements or changes in our accounting policies; and/or failure or circumvention of our controls and procedures. We therefore caution you against relying on any of these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33550" cy="4953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733550" cy="4953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factors are not intended to be an all-encompassing list of risks and uncertainties that may affect the Company's business and results from operations. Additional information regarding these and other factors can be found in the Company's reports filed with the Securities and Exchange Commission, including, without limitation, its Form 10-K for the year ended December 31, 2025. Any forward-looking statement made by the Company in this release speaks only as of the date on which this release was first issued. The Company undertakes no obligation to update any forward-looking statement publicly or otherwise, whether as a result of new information, future developments or otherwise,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Discussion of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uses several different financial measures, both GAAP and non-GAAP, in analyzing and assessing the overall performance of its business, making operating decisions, planning and forecasting future periods, and determining payments under compensation programs. The Company considers the use of non-GAAP financial measures helpful in assessing the core performance of its continuing operations and when planning and forecasting future periods. The Company’s annual financial plan is prepared on a non-GAAP basis and is approved by its board of directors. In addition, budgeting and forecasting for revenue and expenses are conducted on a non-GAAP basis, and actual results on a non-GAAP basis are assessed against the annual financial plan. The Company defines continuing operations as the ongoing results of its business adjusted for certain expenses and credits, as described below. The Company believes that providing non-GAAP information to investors allows them to view the Company's financial results in the way its management views them and helps investors to better understand the Company’s core financial and operating performance and evaluate the efficacy of the methodology and information used by its management to evaluate and measure such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Company’s management uses non-GAAP financial measures as tools to enhance its understanding of certain aspects of the Company’s financial performance, management does not consider these measures to be a substitute for, or superior to, GAAP measures. In addition, the Company’s presentations of these measures may not be comparable to similarly titled measures used by other companies. These non-GAAP financial measures should not be considered alternatives for, or in isolation from, the financial information prepared and presented in accordance with GAAP. Investors are cautioned that there are material limitations associated with the use of non-GAAP financial measures. In particular, many of the adjustments to the Company’s financial measures reflect the exclusion of items that are recurring and will be reflected in its financial results for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 related to stock-based awards is generally not controllable in the short-term and can vary significantly based on the timing, size and nature of awards granted. The Company believes that presenting non-GAAP operating results that exclude stock-based compensation provides investors with visibility and insight into its management’s method of analysis and its core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Amortization of Acquired Technology (including software licenses); Amortization of Acquired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amounts are inconsistent in frequency and amount and are significantly impacted by the timing and size of acquisitions. Amortization of acquired technology is reported separately within Cost of revenue and Amortization of acquired intangible assets is reported separately within Operating expenses. These items are reported collectively as Amortization of acquired intangible assets in the accompanying reconciliations of non-GAAP and GAAP financial measures. The Company believes that excluding non-cash amortization of these intangible assets facilitates the comparison of its financial results to its historical operating results and to other companies in its industry as if the acquired intangible assets had been developed internally rather than acquired.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certain ongoing litigation where Ribbon is the defendant (as described in the Company's Commitments and Contingencies footnotes in its Form 10-Qs and Form 10-Ks filed with the SEC), the Company has incurred litigation costs beginning in 2023. These costs are included as a component of general and administrative expense. The Company believes that such costs are not part of its core business or ongoing operations, are unplanned, and generally are not within its control. Accordingly, the Company believes that excluding litigation costs related to these specific legal matters facilitates the comparison of the Company's financial results to its historical operating results and to other companies in its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33550" cy="4953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733550" cy="4953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Cybersecurity Incident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recorded expenses associated with responding to and remediating a cybersecurity incident, including costs for external legal services, cybersecurity experts, and IT restoration activities. The Company believes that excluding these expenses facilitates the comparison of its financial results to its historical operating performance and to other companies in its industry, as these costs are non-recurring in nature and are not associated with future revenue streams or ongoing operational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Acquisition-, Disposal- and Integration-Related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certain acquisition-, disposal- and integration-related costs to be unrelated to the organic continuing operations of the Company and its acquired businesses. Such costs are generally not relevant to assessing or estimating the long-term performance of the acquired assets. In 2025, the Company recorded expense for legal and professional fees associated with contemplated corporate development activities. The Company excludes such acquisition-, disposal- and integration-related costs to allow more accurate comparisons of its financial results to its historical operations and the financial results of less acquisitive peer companies and allows management and investors to consider the ongoing operations of the business both with and without such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Restructuring and Related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recorded restructuring and related expense to streamline operations and reduce operating costs by closing and consolidating certain facilities and reducing its worldwide workforce. The Company believes that excluding restructuring and related expense facilitates the comparison of its financial results to its historical operating results and to other companies in its industry, as there are no future revenue streams or other benefits associated with these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Preferred Stock and Warrant Liability Mark-to-Market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adjustments to the fair value of its Series A Preferred Stock and Warrants to purchase shares of the Company’s common stock in Other (expense) income, net. Both of these instruments were issued in March 2023 in connection with the Company’s private placement and have been classified as liabilities and marked to market each reporting period until the Series A Preferred Stock was fully redeemed on June 25, 2024. The Warrant liability remains outstanding and will continue to be marked to market each reporting period. The Company excluded these gains and losses from the change in the fair value of these liabilities because it believes that such gains or losses were not part of its core business or ongoing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 Effect of Non-GAAP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Non-GAAP income tax provision is presented based on an estimated tax rate applied against forecasted annual non-GAAP income. The Company computes its non-GAAP estimated tax rate using its estimated GAAP annual effective tax rate for the period and adjusting for the tax effect of pre-tax non-GAAP adjustments. The Company computes a single annual non-GAAP rate for the Company and applies that rate (rather than multiple rates by jurisdiction) to its consolidated quarterly results. The Company expects that this methodology will provide a consistent rate throughout the year and allow investors to better understand the impact of income taxes on its results. Due to the methodology applied to its estimated annual tax rate, the Company’s estimated tax rate on non-GAAP income will differ from its GAAP tax rate and from its actual tax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Adjusted EBITDA as a supplemental measure to review and assess its performance. The Company calculates Adjusted EBITDA by excluding from income (loss) from operations: depreciation; stock-based compensation; amortization of acquired intangible assets; certain litigation costs; expenses related to cybersecurity incidents; acquisition-, disposal- and integration-related expense; and restructuring and related expense. In general, the Company excludes the expenses that it considers to be non-cash and/or not a part of its ongoing operations. The Company may exclude other items in the future that have those characteristics. Adjusted EBITDA is a non-GAAP financial measure that is used by the investing community for comparative and valuation purposes. The Company discloses this metric to support and facilitate dialogue with research analysts and investors. Other companies may calculate Adjusted EBITDA differently than the Company does, limiting its usefulness as a comparative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33550" cy="4953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733550" cy="4953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t>RIBBON COMMUNICATIONS INC.</w:t>
      </w:r>
    </w:p>
    <w:p>
      <w:pPr>
        <w:pStyle w:val="TextBody"/>
        <w:bidi w:val="0"/>
        <w:jc w:val="center"/>
        <w:rPr/>
      </w:pPr>
      <w:r>
        <w:rPr/>
        <w:t>Consolidated Statements of Operations</w:t>
      </w:r>
    </w:p>
    <w:p>
      <w:pPr>
        <w:pStyle w:val="TextBody"/>
        <w:bidi w:val="0"/>
        <w:jc w:val="center"/>
        <w:rPr/>
      </w:pPr>
      <w:r>
        <w:rPr/>
        <w:t>(in thousands, except percentages and per share amounts)</w:t>
      </w:r>
    </w:p>
    <w:p>
      <w:pPr>
        <w:pStyle w:val="TextBody"/>
        <w:bidi w:val="0"/>
        <w:jc w:val="center"/>
        <w:rPr/>
      </w:pPr>
      <w:r>
        <w:rPr/>
        <w:t>(unaudited)</w:t>
      </w:r>
    </w:p>
    <w:p>
      <w:pPr>
        <w:pStyle w:val="TextBody"/>
        <w:bidi w:val="0"/>
        <w:spacing w:before="0" w:after="283"/>
        <w:jc w:val="left"/>
        <w:rPr/>
      </w:pPr>
      <w:r>
        <w:rPr/>
        <w:t> </w:t>
      </w:r>
    </w:p>
    <w:tbl>
      <w:tblPr>
        <w:tblW w:w="8675" w:type="dxa"/>
        <w:jc w:val="left"/>
        <w:tblInd w:w="0" w:type="dxa"/>
        <w:tblLayout w:type="fixed"/>
        <w:tblCellMar>
          <w:top w:w="0" w:type="dxa"/>
          <w:left w:w="0" w:type="dxa"/>
          <w:bottom w:w="0" w:type="dxa"/>
          <w:right w:w="0" w:type="dxa"/>
        </w:tblCellMar>
      </w:tblPr>
      <w:tblGrid>
        <w:gridCol w:w="5465"/>
        <w:gridCol w:w="60"/>
        <w:gridCol w:w="125"/>
        <w:gridCol w:w="695"/>
        <w:gridCol w:w="185"/>
        <w:gridCol w:w="60"/>
        <w:gridCol w:w="125"/>
        <w:gridCol w:w="695"/>
        <w:gridCol w:w="185"/>
        <w:gridCol w:w="60"/>
        <w:gridCol w:w="125"/>
        <w:gridCol w:w="695"/>
        <w:gridCol w:w="200"/>
      </w:tblGrid>
      <w:tr>
        <w:trPr/>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950" w:type="dxa"/>
            <w:gridSpan w:val="10"/>
            <w:tcBorders>
              <w:bottom w:val="single" w:sz="8" w:space="0" w:color="000000"/>
            </w:tcBorders>
            <w:tcMar>
              <w:bottom w:w="28" w:type="dxa"/>
            </w:tcMar>
            <w:vAlign w:val="center"/>
          </w:tcPr>
          <w:p>
            <w:pPr>
              <w:pStyle w:val="TableContents"/>
              <w:bidi w:val="0"/>
              <w:spacing w:before="0" w:after="283"/>
              <w:jc w:val="center"/>
              <w:rPr>
                <w:sz w:val="20"/>
              </w:rPr>
            </w:pPr>
            <w:r>
              <w:rPr>
                <w:sz w:val="20"/>
              </w:rPr>
              <w:t>Three months ended</w:t>
            </w:r>
          </w:p>
        </w:tc>
        <w:tc>
          <w:tcPr>
            <w:tcW w:w="200" w:type="dxa"/>
            <w:tcBorders/>
            <w:vAlign w:val="center"/>
          </w:tcPr>
          <w:p>
            <w:pPr>
              <w:pStyle w:val="TableContents"/>
              <w:bidi w:val="0"/>
              <w:spacing w:before="0" w:after="283"/>
              <w:jc w:val="left"/>
              <w:rPr/>
            </w:pPr>
            <w:r>
              <w:rPr/>
              <w:t> </w:t>
            </w:r>
          </w:p>
        </w:tc>
      </w:tr>
      <w:tr>
        <w:trPr/>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sz w:val="20"/>
              </w:rPr>
            </w:pPr>
            <w:r>
              <w:rPr>
                <w:sz w:val="20"/>
              </w:rPr>
              <w:t>June 30,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sz w:val="20"/>
              </w:rPr>
            </w:pPr>
            <w:r>
              <w:rPr>
                <w:sz w:val="20"/>
              </w:rPr>
              <w:t>March 31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sz w:val="20"/>
              </w:rPr>
            </w:pPr>
            <w:r>
              <w:rPr>
                <w:sz w:val="20"/>
              </w:rPr>
              <w:t>June 30,</w:t>
            </w:r>
          </w:p>
        </w:tc>
        <w:tc>
          <w:tcPr>
            <w:tcW w:w="200" w:type="dxa"/>
            <w:tcBorders/>
            <w:vAlign w:val="center"/>
          </w:tcPr>
          <w:p>
            <w:pPr>
              <w:pStyle w:val="TableContents"/>
              <w:bidi w:val="0"/>
              <w:spacing w:before="0" w:after="283"/>
              <w:jc w:val="left"/>
              <w:rPr/>
            </w:pPr>
            <w:r>
              <w:rPr/>
              <w:t> </w:t>
            </w:r>
          </w:p>
        </w:tc>
      </w:tr>
      <w:tr>
        <w:trPr/>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2025</w:t>
            </w:r>
          </w:p>
        </w:tc>
        <w:tc>
          <w:tcPr>
            <w:tcW w:w="200" w:type="dxa"/>
            <w:tcBorders/>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sz w:val="20"/>
              </w:rPr>
            </w:pPr>
            <w:r>
              <w:rPr>
                <w:sz w:val="20"/>
              </w:rPr>
              <w:t>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sz w:val="20"/>
              </w:rPr>
            </w:pPr>
            <w:r>
              <w:rPr>
                <w:sz w:val="20"/>
              </w:rPr>
              <w:t>Product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95,560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68,114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115,057</w:t>
            </w:r>
          </w:p>
        </w:tc>
        <w:tc>
          <w:tcPr>
            <w:tcW w:w="20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sz w:val="20"/>
              </w:rPr>
            </w:pPr>
            <w:r>
              <w:rPr>
                <w:sz w:val="20"/>
              </w:rPr>
              <w:t>Service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96,780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94,492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105,526</w:t>
            </w:r>
          </w:p>
        </w:tc>
        <w:tc>
          <w:tcPr>
            <w:tcW w:w="20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sz w:val="20"/>
              </w:rPr>
            </w:pPr>
            <w:r>
              <w:rPr>
                <w:sz w:val="20"/>
              </w:rPr>
              <w:t>Total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192,340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162,606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220,583</w:t>
            </w:r>
          </w:p>
        </w:tc>
        <w:tc>
          <w:tcPr>
            <w:tcW w:w="20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sz w:val="20"/>
              </w:rPr>
            </w:pPr>
            <w:r>
              <w:rPr>
                <w:sz w:val="20"/>
              </w:rPr>
              <w:t>Cost of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sz w:val="20"/>
              </w:rPr>
            </w:pPr>
            <w:r>
              <w:rPr>
                <w:sz w:val="20"/>
              </w:rPr>
              <w:t>Product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58,877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49,425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66,746</w:t>
            </w:r>
          </w:p>
        </w:tc>
        <w:tc>
          <w:tcPr>
            <w:tcW w:w="20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sz w:val="20"/>
              </w:rPr>
            </w:pPr>
            <w:r>
              <w:rPr>
                <w:sz w:val="20"/>
              </w:rPr>
              <w:t>Service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38,766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38,928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39,253</w:t>
            </w:r>
          </w:p>
        </w:tc>
        <w:tc>
          <w:tcPr>
            <w:tcW w:w="20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sz w:val="20"/>
              </w:rPr>
            </w:pPr>
            <w:r>
              <w:rPr>
                <w:sz w:val="20"/>
              </w:rPr>
              <w:t>Amortization of acquired technology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4,354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4,562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5,277</w:t>
            </w:r>
          </w:p>
        </w:tc>
        <w:tc>
          <w:tcPr>
            <w:tcW w:w="20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sz w:val="20"/>
              </w:rPr>
            </w:pPr>
            <w:r>
              <w:rPr>
                <w:sz w:val="20"/>
              </w:rPr>
              <w:t>Total cost of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101,997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92,915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111,276</w:t>
            </w:r>
          </w:p>
        </w:tc>
        <w:tc>
          <w:tcPr>
            <w:tcW w:w="20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sz w:val="20"/>
              </w:rPr>
            </w:pPr>
            <w:r>
              <w:rPr>
                <w:sz w:val="20"/>
              </w:rPr>
              <w:t>Gross profit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90,343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69,691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109,307</w:t>
            </w:r>
          </w:p>
        </w:tc>
        <w:tc>
          <w:tcPr>
            <w:tcW w:w="20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sz w:val="20"/>
              </w:rPr>
            </w:pPr>
            <w:r>
              <w:rPr>
                <w:sz w:val="20"/>
              </w:rPr>
              <w:t>Gross margin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47.0</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42.9</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49.6</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54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sz w:val="20"/>
              </w:rPr>
            </w:pPr>
            <w:r>
              <w:rPr>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sz w:val="20"/>
              </w:rPr>
            </w:pPr>
            <w:r>
              <w:rPr>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44,858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44,445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44,696</w:t>
            </w:r>
          </w:p>
        </w:tc>
        <w:tc>
          <w:tcPr>
            <w:tcW w:w="20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sz w:val="20"/>
              </w:rPr>
            </w:pPr>
            <w:r>
              <w:rPr>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33,124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32,269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32,536</w:t>
            </w:r>
          </w:p>
        </w:tc>
        <w:tc>
          <w:tcPr>
            <w:tcW w:w="20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sz w:val="20"/>
              </w:rPr>
            </w:pPr>
            <w:r>
              <w:rPr>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14,643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16,978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16,630</w:t>
            </w:r>
          </w:p>
        </w:tc>
        <w:tc>
          <w:tcPr>
            <w:tcW w:w="20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sz w:val="20"/>
              </w:rPr>
            </w:pPr>
            <w:r>
              <w:rPr>
                <w:sz w:val="20"/>
              </w:rPr>
              <w:t>Amortization of acquired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5,495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5,656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5,975</w:t>
            </w:r>
          </w:p>
        </w:tc>
        <w:tc>
          <w:tcPr>
            <w:tcW w:w="20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sz w:val="20"/>
              </w:rPr>
            </w:pPr>
            <w:r>
              <w:rPr>
                <w:sz w:val="20"/>
              </w:rPr>
              <w:t>Acquisition-, disposal- and integration-related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3,898</w:t>
            </w:r>
          </w:p>
        </w:tc>
        <w:tc>
          <w:tcPr>
            <w:tcW w:w="20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sz w:val="20"/>
              </w:rPr>
            </w:pPr>
            <w:r>
              <w:rPr>
                <w:sz w:val="20"/>
              </w:rPr>
              <w:t>Restructuring and related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4,442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2,038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1,346</w:t>
            </w:r>
          </w:p>
        </w:tc>
        <w:tc>
          <w:tcPr>
            <w:tcW w:w="20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sz w:val="20"/>
              </w:rPr>
            </w:pPr>
            <w:r>
              <w:rPr>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102,562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101,386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105,081</w:t>
            </w:r>
          </w:p>
        </w:tc>
        <w:tc>
          <w:tcPr>
            <w:tcW w:w="20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sz w:val="20"/>
              </w:rPr>
            </w:pPr>
            <w:r>
              <w:rPr>
                <w:sz w:val="20"/>
              </w:rPr>
              <w:t>Income (loss)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(12,219</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(31,695</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4,226</w:t>
            </w:r>
          </w:p>
        </w:tc>
        <w:tc>
          <w:tcPr>
            <w:tcW w:w="20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sz w:val="20"/>
              </w:rPr>
            </w:pPr>
            <w:r>
              <w:rPr>
                <w:sz w:val="20"/>
              </w:rPr>
              <w:t>Interest expense,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(10,685</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(9,756</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(10,977</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5465" w:type="dxa"/>
            <w:tcBorders/>
            <w:shd w:fill="CCEEFF" w:val="clear"/>
            <w:vAlign w:val="center"/>
          </w:tcPr>
          <w:p>
            <w:pPr>
              <w:pStyle w:val="TableContents"/>
              <w:bidi w:val="0"/>
              <w:spacing w:before="0" w:after="283"/>
              <w:jc w:val="left"/>
              <w:rPr>
                <w:sz w:val="20"/>
              </w:rPr>
            </w:pPr>
            <w:r>
              <w:rPr>
                <w:sz w:val="20"/>
              </w:rPr>
              <w:t>Other (expense) income,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(2,258</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514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(2,159</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5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sz w:val="20"/>
              </w:rPr>
            </w:pPr>
            <w:r>
              <w:rPr>
                <w:sz w:val="20"/>
              </w:rPr>
              <w:t>Income (loss) before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(25,162</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(40,937</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(8,910</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5465" w:type="dxa"/>
            <w:tcBorders/>
            <w:shd w:fill="FFFFFF" w:val="clear"/>
            <w:vAlign w:val="center"/>
          </w:tcPr>
          <w:p>
            <w:pPr>
              <w:pStyle w:val="TableContents"/>
              <w:bidi w:val="0"/>
              <w:spacing w:before="0" w:after="283"/>
              <w:jc w:val="left"/>
              <w:rPr>
                <w:sz w:val="20"/>
              </w:rPr>
            </w:pPr>
            <w:r>
              <w:rPr>
                <w:sz w:val="20"/>
              </w:rPr>
              <w:t>Income tax benefit (provision)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(1,709</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6,448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(2,183</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54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sz w:val="20"/>
              </w:rPr>
            </w:pPr>
            <w:r>
              <w:rPr>
                <w:sz w:val="20"/>
              </w:rPr>
              <w:t>Net income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(26,871</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(34,489</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(11,093</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54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sz w:val="20"/>
              </w:rPr>
            </w:pPr>
            <w:r>
              <w:rPr>
                <w:sz w:val="20"/>
              </w:rPr>
              <w:t>Earnings (loss) per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sz w:val="20"/>
              </w:rPr>
            </w:pPr>
            <w:r>
              <w:rPr>
                <w:sz w:val="20"/>
              </w:rPr>
              <w:t>Basic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(0.15</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(0.20</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(0.06</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5465" w:type="dxa"/>
            <w:tcBorders/>
            <w:shd w:fill="FFFFFF" w:val="clear"/>
            <w:vAlign w:val="center"/>
          </w:tcPr>
          <w:p>
            <w:pPr>
              <w:pStyle w:val="TableContents"/>
              <w:bidi w:val="0"/>
              <w:spacing w:before="0" w:after="283"/>
              <w:jc w:val="left"/>
              <w:rPr>
                <w:sz w:val="20"/>
              </w:rPr>
            </w:pPr>
            <w:r>
              <w:rPr>
                <w:sz w:val="20"/>
              </w:rPr>
              <w:t>Diluted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(0.15</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(0.20</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(0.06</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54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sz w:val="20"/>
              </w:rPr>
            </w:pPr>
            <w:r>
              <w:rPr>
                <w:sz w:val="20"/>
              </w:rPr>
              <w:t>Weighted average shares used to compute earnings (loss) per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sz w:val="20"/>
              </w:rPr>
            </w:pPr>
            <w:r>
              <w:rPr>
                <w:sz w:val="20"/>
              </w:rPr>
              <w:t>Basic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177,251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175,661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176,749</w:t>
            </w:r>
          </w:p>
        </w:tc>
        <w:tc>
          <w:tcPr>
            <w:tcW w:w="20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sz w:val="20"/>
              </w:rPr>
            </w:pPr>
            <w:r>
              <w:rPr>
                <w:sz w:val="20"/>
              </w:rPr>
              <w:t>Diluted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177,251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175,661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176,749</w:t>
            </w:r>
          </w:p>
        </w:tc>
        <w:tc>
          <w:tcPr>
            <w:tcW w:w="20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33550" cy="4953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733550" cy="4953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t>RIBBON COMMUNICATIONS INC.</w:t>
      </w:r>
    </w:p>
    <w:p>
      <w:pPr>
        <w:pStyle w:val="TextBody"/>
        <w:bidi w:val="0"/>
        <w:jc w:val="center"/>
        <w:rPr/>
      </w:pPr>
      <w:r>
        <w:rPr/>
        <w:t>Consolidated Statements of Operations</w:t>
      </w:r>
    </w:p>
    <w:p>
      <w:pPr>
        <w:pStyle w:val="TextBody"/>
        <w:bidi w:val="0"/>
        <w:jc w:val="center"/>
        <w:rPr/>
      </w:pPr>
      <w:r>
        <w:rPr/>
        <w:t>(in thousands, except percentages and per share amounts)</w:t>
      </w:r>
    </w:p>
    <w:p>
      <w:pPr>
        <w:pStyle w:val="TextBody"/>
        <w:bidi w:val="0"/>
        <w:jc w:val="center"/>
        <w:rPr/>
      </w:pPr>
      <w:r>
        <w:rPr/>
        <w:t>(unaudited)</w:t>
      </w:r>
    </w:p>
    <w:p>
      <w:pPr>
        <w:pStyle w:val="TextBody"/>
        <w:bidi w:val="0"/>
        <w:spacing w:before="0" w:after="0"/>
        <w:ind w:left="0" w:right="0" w:hanging="0"/>
        <w:jc w:val="left"/>
        <w:rPr>
          <w:caps w:val="false"/>
          <w:smallCaps w:val="false"/>
        </w:rPr>
      </w:pPr>
      <w:r>
        <w:rPr>
          <w:caps w:val="false"/>
          <w:smallCaps w:val="false"/>
        </w:rPr>
        <w:t> </w:t>
      </w:r>
    </w:p>
    <w:tbl>
      <w:tblPr>
        <w:tblW w:w="7610" w:type="dxa"/>
        <w:jc w:val="left"/>
        <w:tblInd w:w="0" w:type="dxa"/>
        <w:tblLayout w:type="fixed"/>
        <w:tblCellMar>
          <w:top w:w="0" w:type="dxa"/>
          <w:left w:w="0" w:type="dxa"/>
          <w:bottom w:w="0" w:type="dxa"/>
          <w:right w:w="0" w:type="dxa"/>
        </w:tblCellMar>
      </w:tblPr>
      <w:tblGrid>
        <w:gridCol w:w="5465"/>
        <w:gridCol w:w="60"/>
        <w:gridCol w:w="125"/>
        <w:gridCol w:w="695"/>
        <w:gridCol w:w="185"/>
        <w:gridCol w:w="60"/>
        <w:gridCol w:w="125"/>
        <w:gridCol w:w="695"/>
        <w:gridCol w:w="200"/>
      </w:tblGrid>
      <w:tr>
        <w:trPr/>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Six months ended</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163,674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197,048</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191,272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204,814</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354,946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401,862</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108,302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124,639</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77,694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74,881</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acquired technology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8,916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10,665</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194,912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210,185</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160,034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191,677</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89,303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88,264</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65,393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64,324</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31,621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31,758</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acquired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11,151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12,130</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disposal- and integration-related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3,898</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and related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6,480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6,687</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203,948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207,061</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(43,914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(15,384</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(20,441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(21,477</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970</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(66,099</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(35,891</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 (provision)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(1,429</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(61,360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(37,320</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(loss) per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shares used to compute earnings (loss) per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176,460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176,237</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176,460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176,237</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33550" cy="4953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733550" cy="4953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RIBBON COMMUNICATIONS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Balance Sheets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jc w:val="center"/>
        <w:rPr/>
      </w:pPr>
      <w:r>
        <w:rPr/>
        <w:t> </w:t>
      </w:r>
    </w:p>
    <w:tbl>
      <w:tblPr>
        <w:tblW w:w="5954" w:type="dxa"/>
        <w:jc w:val="left"/>
        <w:tblInd w:w="0" w:type="dxa"/>
        <w:tblLayout w:type="fixed"/>
        <w:tblCellMar>
          <w:top w:w="0" w:type="dxa"/>
          <w:left w:w="0" w:type="dxa"/>
          <w:bottom w:w="0" w:type="dxa"/>
          <w:right w:w="0" w:type="dxa"/>
        </w:tblCellMar>
      </w:tblPr>
      <w:tblGrid>
        <w:gridCol w:w="3500"/>
        <w:gridCol w:w="60"/>
        <w:gridCol w:w="125"/>
        <w:gridCol w:w="905"/>
        <w:gridCol w:w="80"/>
        <w:gridCol w:w="60"/>
        <w:gridCol w:w="137"/>
        <w:gridCol w:w="992"/>
        <w:gridCol w:w="95"/>
      </w:tblGrid>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vAlign w:val="center"/>
          </w:tcPr>
          <w:p>
            <w:pPr>
              <w:pStyle w:val="TableContents"/>
              <w:bidi w:val="0"/>
              <w:spacing w:before="0" w:after="283"/>
              <w:jc w:val="center"/>
              <w:rPr>
                <w:sz w:val="20"/>
              </w:rPr>
            </w:pPr>
            <w:r>
              <w:rPr>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sz w:val="20"/>
              </w:rPr>
            </w:pPr>
            <w:r>
              <w:rPr>
                <w:sz w:val="20"/>
              </w:rPr>
              <w:t>December 31,</w:t>
            </w:r>
          </w:p>
        </w:tc>
        <w:tc>
          <w:tcPr>
            <w:tcW w:w="95"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2025</w:t>
            </w:r>
          </w:p>
        </w:tc>
        <w:tc>
          <w:tcPr>
            <w:tcW w:w="95"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center"/>
              <w:rPr>
                <w:b/>
                <w:sz w:val="20"/>
              </w:rPr>
            </w:pPr>
            <w:r>
              <w:rPr>
                <w:b/>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sz w:val="20"/>
              </w:rPr>
            </w:pPr>
            <w:r>
              <w:rPr>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sz w:val="20"/>
              </w:rPr>
            </w:pPr>
            <w:r>
              <w:rPr>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05" w:type="dxa"/>
            <w:tcBorders/>
            <w:shd w:fill="CCEEFF" w:val="clear"/>
            <w:vAlign w:val="center"/>
          </w:tcPr>
          <w:p>
            <w:pPr>
              <w:pStyle w:val="TableContents"/>
              <w:bidi w:val="0"/>
              <w:spacing w:before="0" w:after="283"/>
              <w:jc w:val="right"/>
              <w:rPr>
                <w:sz w:val="20"/>
              </w:rPr>
            </w:pPr>
            <w:r>
              <w:rPr>
                <w:sz w:val="20"/>
              </w:rPr>
              <w:t>43,510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20"/>
              </w:rPr>
            </w:pPr>
            <w:r>
              <w:rPr>
                <w:sz w:val="20"/>
              </w:rPr>
              <w:t>$</w:t>
            </w:r>
          </w:p>
        </w:tc>
        <w:tc>
          <w:tcPr>
            <w:tcW w:w="992" w:type="dxa"/>
            <w:tcBorders/>
            <w:shd w:fill="CCEEFF" w:val="clear"/>
            <w:vAlign w:val="center"/>
          </w:tcPr>
          <w:p>
            <w:pPr>
              <w:pStyle w:val="TableContents"/>
              <w:bidi w:val="0"/>
              <w:spacing w:before="0" w:after="283"/>
              <w:jc w:val="right"/>
              <w:rPr>
                <w:sz w:val="20"/>
              </w:rPr>
            </w:pPr>
            <w:r>
              <w:rPr>
                <w:sz w:val="20"/>
              </w:rPr>
              <w:t>96,405</w:t>
            </w:r>
          </w:p>
        </w:tc>
        <w:tc>
          <w:tcPr>
            <w:tcW w:w="9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sz w:val="20"/>
              </w:rPr>
            </w:pPr>
            <w:r>
              <w:rPr>
                <w:sz w:val="20"/>
              </w:rPr>
              <w:t>Restricted cash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1,973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sz w:val="20"/>
              </w:rPr>
            </w:pPr>
            <w:r>
              <w:rPr>
                <w:sz w:val="20"/>
              </w:rPr>
              <w:t>1,726</w:t>
            </w:r>
          </w:p>
        </w:tc>
        <w:tc>
          <w:tcPr>
            <w:tcW w:w="9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sz w:val="20"/>
              </w:rPr>
            </w:pPr>
            <w:r>
              <w:rPr>
                <w:sz w:val="20"/>
              </w:rPr>
              <w:t>Accounts receivable,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220,203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sz w:val="20"/>
              </w:rPr>
            </w:pPr>
            <w:r>
              <w:rPr>
                <w:sz w:val="20"/>
              </w:rPr>
              <w:t>231,885</w:t>
            </w:r>
          </w:p>
        </w:tc>
        <w:tc>
          <w:tcPr>
            <w:tcW w:w="9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sz w:val="20"/>
              </w:rPr>
            </w:pPr>
            <w:r>
              <w:rPr>
                <w:sz w:val="20"/>
              </w:rPr>
              <w:t>Inventory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87,811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sz w:val="20"/>
              </w:rPr>
            </w:pPr>
            <w:r>
              <w:rPr>
                <w:sz w:val="20"/>
              </w:rPr>
              <w:t>78,806</w:t>
            </w:r>
          </w:p>
        </w:tc>
        <w:tc>
          <w:tcPr>
            <w:tcW w:w="9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sz w:val="20"/>
              </w:rPr>
            </w:pPr>
            <w:r>
              <w:rPr>
                <w:sz w:val="20"/>
              </w:rPr>
              <w:t>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52,132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45,663</w:t>
            </w:r>
          </w:p>
        </w:tc>
        <w:tc>
          <w:tcPr>
            <w:tcW w:w="9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sz w:val="20"/>
              </w:rPr>
            </w:pPr>
            <w:r>
              <w:rPr>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405,629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sz w:val="20"/>
              </w:rPr>
            </w:pPr>
            <w:r>
              <w:rPr>
                <w:sz w:val="20"/>
              </w:rPr>
              <w:t>454,485</w:t>
            </w:r>
          </w:p>
        </w:tc>
        <w:tc>
          <w:tcPr>
            <w:tcW w:w="9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sz w:val="20"/>
              </w:rPr>
            </w:pPr>
            <w:r>
              <w:rPr>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61,137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sz w:val="20"/>
              </w:rPr>
            </w:pPr>
            <w:r>
              <w:rPr>
                <w:sz w:val="20"/>
              </w:rPr>
              <w:t>65,559</w:t>
            </w:r>
          </w:p>
        </w:tc>
        <w:tc>
          <w:tcPr>
            <w:tcW w:w="9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sz w:val="20"/>
              </w:rPr>
            </w:pPr>
            <w:r>
              <w:rPr>
                <w:sz w:val="20"/>
              </w:rPr>
              <w:t>Intangible assets,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124,384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sz w:val="20"/>
              </w:rPr>
            </w:pPr>
            <w:r>
              <w:rPr>
                <w:sz w:val="20"/>
              </w:rPr>
              <w:t>143,344</w:t>
            </w:r>
          </w:p>
        </w:tc>
        <w:tc>
          <w:tcPr>
            <w:tcW w:w="9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sz w:val="20"/>
              </w:rPr>
            </w:pPr>
            <w:r>
              <w:rPr>
                <w:sz w:val="20"/>
              </w:rPr>
              <w:t>Goodwill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300,892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sz w:val="20"/>
              </w:rPr>
            </w:pPr>
            <w:r>
              <w:rPr>
                <w:sz w:val="20"/>
              </w:rPr>
              <w:t>300,892</w:t>
            </w:r>
          </w:p>
        </w:tc>
        <w:tc>
          <w:tcPr>
            <w:tcW w:w="9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sz w:val="20"/>
              </w:rPr>
            </w:pPr>
            <w:r>
              <w:rPr>
                <w:sz w:val="20"/>
              </w:rPr>
              <w:t>Deferred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182,727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sz w:val="20"/>
              </w:rPr>
            </w:pPr>
            <w:r>
              <w:rPr>
                <w:sz w:val="20"/>
              </w:rPr>
              <w:t>174,318</w:t>
            </w:r>
          </w:p>
        </w:tc>
        <w:tc>
          <w:tcPr>
            <w:tcW w:w="9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sz w:val="20"/>
              </w:rPr>
            </w:pPr>
            <w:r>
              <w:rPr>
                <w:sz w:val="20"/>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41,895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sz w:val="20"/>
              </w:rPr>
            </w:pPr>
            <w:r>
              <w:rPr>
                <w:sz w:val="20"/>
              </w:rPr>
              <w:t>46,240</w:t>
            </w:r>
          </w:p>
        </w:tc>
        <w:tc>
          <w:tcPr>
            <w:tcW w:w="9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sz w:val="20"/>
              </w:rPr>
            </w:pPr>
            <w:r>
              <w:rPr>
                <w:sz w:val="20"/>
              </w:rPr>
              <w:t>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26,158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27,417</w:t>
            </w:r>
          </w:p>
        </w:tc>
        <w:tc>
          <w:tcPr>
            <w:tcW w:w="9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1,142,822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92"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1,212,255</w:t>
            </w:r>
          </w:p>
        </w:tc>
        <w:tc>
          <w:tcPr>
            <w:tcW w:w="9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center"/>
              <w:rPr>
                <w:b/>
                <w:sz w:val="20"/>
              </w:rPr>
            </w:pPr>
            <w:r>
              <w:rPr>
                <w:b/>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sz w:val="20"/>
              </w:rPr>
            </w:pPr>
            <w:r>
              <w:rPr>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sz w:val="20"/>
              </w:rPr>
            </w:pPr>
            <w:r>
              <w:rPr>
                <w:sz w:val="20"/>
              </w:rPr>
              <w:t>Current portion of term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905" w:type="dxa"/>
            <w:tcBorders/>
            <w:shd w:fill="FFFFFF" w:val="clear"/>
            <w:vAlign w:val="center"/>
          </w:tcPr>
          <w:p>
            <w:pPr>
              <w:pStyle w:val="TableContents"/>
              <w:bidi w:val="0"/>
              <w:spacing w:before="0" w:after="283"/>
              <w:jc w:val="right"/>
              <w:rPr>
                <w:sz w:val="20"/>
              </w:rPr>
            </w:pPr>
            <w:r>
              <w:rPr>
                <w:sz w:val="20"/>
              </w:rPr>
              <w:t>8,750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sz w:val="20"/>
              </w:rPr>
            </w:pPr>
            <w:r>
              <w:rPr>
                <w:sz w:val="20"/>
              </w:rPr>
              <w:t>$</w:t>
            </w:r>
          </w:p>
        </w:tc>
        <w:tc>
          <w:tcPr>
            <w:tcW w:w="992" w:type="dxa"/>
            <w:tcBorders/>
            <w:shd w:fill="FFFFFF" w:val="clear"/>
            <w:vAlign w:val="center"/>
          </w:tcPr>
          <w:p>
            <w:pPr>
              <w:pStyle w:val="TableContents"/>
              <w:bidi w:val="0"/>
              <w:spacing w:before="0" w:after="283"/>
              <w:jc w:val="right"/>
              <w:rPr>
                <w:sz w:val="20"/>
              </w:rPr>
            </w:pPr>
            <w:r>
              <w:rPr>
                <w:sz w:val="20"/>
              </w:rPr>
              <w:t>8,750</w:t>
            </w:r>
          </w:p>
        </w:tc>
        <w:tc>
          <w:tcPr>
            <w:tcW w:w="9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sz w:val="20"/>
              </w:rPr>
            </w:pPr>
            <w:r>
              <w:rPr>
                <w:sz w:val="20"/>
              </w:rPr>
              <w:t>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87,077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sz w:val="20"/>
              </w:rPr>
            </w:pPr>
            <w:r>
              <w:rPr>
                <w:sz w:val="20"/>
              </w:rPr>
              <w:t>79,840</w:t>
            </w:r>
          </w:p>
        </w:tc>
        <w:tc>
          <w:tcPr>
            <w:tcW w:w="9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sz w:val="20"/>
              </w:rPr>
            </w:pPr>
            <w:r>
              <w:rPr>
                <w:sz w:val="20"/>
              </w:rPr>
              <w:t>Accrued expenses and other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82,512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sz w:val="20"/>
              </w:rPr>
            </w:pPr>
            <w:r>
              <w:rPr>
                <w:sz w:val="20"/>
              </w:rPr>
              <w:t>90,759</w:t>
            </w:r>
          </w:p>
        </w:tc>
        <w:tc>
          <w:tcPr>
            <w:tcW w:w="9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sz w:val="20"/>
              </w:rPr>
            </w:pPr>
            <w:r>
              <w:rPr>
                <w:sz w:val="20"/>
              </w:rPr>
              <w:t>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11,655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sz w:val="20"/>
              </w:rPr>
            </w:pPr>
            <w:r>
              <w:rPr>
                <w:sz w:val="20"/>
              </w:rPr>
              <w:t>11,699</w:t>
            </w:r>
          </w:p>
        </w:tc>
        <w:tc>
          <w:tcPr>
            <w:tcW w:w="9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sz w:val="20"/>
              </w:rPr>
            </w:pPr>
            <w:r>
              <w:rPr>
                <w:sz w:val="20"/>
              </w:rPr>
              <w:t>Warrant liability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1,007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sz w:val="20"/>
              </w:rPr>
            </w:pPr>
            <w:r>
              <w:rPr>
                <w:sz w:val="20"/>
              </w:rPr>
              <w:t>Deferred revenue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118,333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124,425</w:t>
            </w:r>
          </w:p>
        </w:tc>
        <w:tc>
          <w:tcPr>
            <w:tcW w:w="9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sz w:val="20"/>
              </w:rPr>
            </w:pPr>
            <w:r>
              <w:rPr>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309,334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sz w:val="20"/>
              </w:rPr>
            </w:pPr>
            <w:r>
              <w:rPr>
                <w:sz w:val="20"/>
              </w:rPr>
              <w:t>315,473</w:t>
            </w:r>
          </w:p>
        </w:tc>
        <w:tc>
          <w:tcPr>
            <w:tcW w:w="9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sz w:val="20"/>
              </w:rPr>
            </w:pPr>
            <w:r>
              <w:rPr>
                <w:sz w:val="20"/>
              </w:rPr>
              <w:t>Long-term debt, net of current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320,606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sz w:val="20"/>
              </w:rPr>
            </w:pPr>
            <w:r>
              <w:rPr>
                <w:sz w:val="20"/>
              </w:rPr>
              <w:t>324,525</w:t>
            </w:r>
          </w:p>
        </w:tc>
        <w:tc>
          <w:tcPr>
            <w:tcW w:w="9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sz w:val="20"/>
              </w:rPr>
            </w:pPr>
            <w:r>
              <w:rPr>
                <w:sz w:val="20"/>
              </w:rPr>
              <w:t>Warrant liability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sz w:val="20"/>
              </w:rPr>
            </w:pPr>
            <w:r>
              <w:rPr>
                <w:sz w:val="20"/>
              </w:rPr>
              <w:t>1,919</w:t>
            </w:r>
          </w:p>
        </w:tc>
        <w:tc>
          <w:tcPr>
            <w:tcW w:w="9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sz w:val="20"/>
              </w:rPr>
            </w:pPr>
            <w:r>
              <w:rPr>
                <w:sz w:val="20"/>
              </w:rPr>
              <w:t>Operating lease liabilities, net of current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56,000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sz w:val="20"/>
              </w:rPr>
            </w:pPr>
            <w:r>
              <w:rPr>
                <w:sz w:val="20"/>
              </w:rPr>
              <w:t>60,159</w:t>
            </w:r>
          </w:p>
        </w:tc>
        <w:tc>
          <w:tcPr>
            <w:tcW w:w="9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sz w:val="20"/>
              </w:rPr>
            </w:pPr>
            <w:r>
              <w:rPr>
                <w:sz w:val="20"/>
              </w:rPr>
              <w:t>Deferred revenue, net of current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34,632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sz w:val="20"/>
              </w:rPr>
            </w:pPr>
            <w:r>
              <w:rPr>
                <w:sz w:val="20"/>
              </w:rPr>
              <w:t>31,654</w:t>
            </w:r>
          </w:p>
        </w:tc>
        <w:tc>
          <w:tcPr>
            <w:tcW w:w="9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sz w:val="20"/>
              </w:rPr>
            </w:pPr>
            <w:r>
              <w:rPr>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5,728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sz w:val="20"/>
              </w:rPr>
            </w:pPr>
            <w:r>
              <w:rPr>
                <w:sz w:val="20"/>
              </w:rPr>
              <w:t>5,728</w:t>
            </w:r>
          </w:p>
        </w:tc>
        <w:tc>
          <w:tcPr>
            <w:tcW w:w="9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sz w:val="20"/>
              </w:rPr>
            </w:pPr>
            <w:r>
              <w:rPr>
                <w:sz w:val="20"/>
              </w:rPr>
              <w:t>Other long-term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23,950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23,803</w:t>
            </w:r>
          </w:p>
        </w:tc>
        <w:tc>
          <w:tcPr>
            <w:tcW w:w="9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sz w:val="20"/>
              </w:rPr>
            </w:pPr>
            <w:r>
              <w:rPr>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750,250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763,261</w:t>
            </w:r>
          </w:p>
        </w:tc>
        <w:tc>
          <w:tcPr>
            <w:tcW w:w="9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sz w:val="20"/>
              </w:rPr>
            </w:pPr>
            <w:r>
              <w:rPr>
                <w:sz w:val="20"/>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sz w:val="20"/>
              </w:rPr>
            </w:pPr>
            <w:r>
              <w:rPr>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sz w:val="20"/>
              </w:rPr>
            </w:pPr>
            <w:r>
              <w:rPr>
                <w:sz w:val="20"/>
              </w:rPr>
              <w:t>Common stock</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sz w:val="20"/>
              </w:rPr>
            </w:pPr>
            <w:r>
              <w:rPr>
                <w:sz w:val="20"/>
              </w:rPr>
              <w:t>18</w:t>
            </w:r>
          </w:p>
        </w:tc>
        <w:tc>
          <w:tcPr>
            <w:tcW w:w="9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sz w:val="20"/>
              </w:rPr>
            </w:pPr>
            <w:r>
              <w:rPr>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1,981,940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sz w:val="20"/>
              </w:rPr>
            </w:pPr>
            <w:r>
              <w:rPr>
                <w:sz w:val="20"/>
              </w:rPr>
              <w:t>1,976,958</w:t>
            </w:r>
          </w:p>
        </w:tc>
        <w:tc>
          <w:tcPr>
            <w:tcW w:w="9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sz w:val="20"/>
              </w:rPr>
            </w:pPr>
            <w:r>
              <w:rPr>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(1,595,909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sz w:val="20"/>
              </w:rPr>
            </w:pPr>
            <w:r>
              <w:rPr>
                <w:sz w:val="20"/>
              </w:rPr>
              <w:t>(1,534,549</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3500" w:type="dxa"/>
            <w:tcBorders/>
            <w:shd w:fill="FFFFFF" w:val="clear"/>
            <w:vAlign w:val="center"/>
          </w:tcPr>
          <w:p>
            <w:pPr>
              <w:pStyle w:val="TableContents"/>
              <w:bidi w:val="0"/>
              <w:spacing w:before="0" w:after="283"/>
              <w:jc w:val="left"/>
              <w:rPr>
                <w:sz w:val="20"/>
              </w:rPr>
            </w:pPr>
            <w:r>
              <w:rPr>
                <w:sz w:val="20"/>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6,523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6,567</w:t>
            </w:r>
          </w:p>
        </w:tc>
        <w:tc>
          <w:tcPr>
            <w:tcW w:w="9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sz w:val="20"/>
              </w:rPr>
            </w:pPr>
            <w:r>
              <w:rPr>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392,572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448,994</w:t>
            </w:r>
          </w:p>
        </w:tc>
        <w:tc>
          <w:tcPr>
            <w:tcW w:w="9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1,142,822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92"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1,212,255</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33550" cy="4953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733550" cy="4953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RIBBON COMMUNICATIONS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890" w:type="dxa"/>
        <w:jc w:val="left"/>
        <w:tblInd w:w="0" w:type="dxa"/>
        <w:tblLayout w:type="fixed"/>
        <w:tblCellMar>
          <w:top w:w="0" w:type="dxa"/>
          <w:left w:w="0" w:type="dxa"/>
          <w:bottom w:w="0" w:type="dxa"/>
          <w:right w:w="0" w:type="dxa"/>
        </w:tblCellMar>
      </w:tblPr>
      <w:tblGrid>
        <w:gridCol w:w="8045"/>
        <w:gridCol w:w="60"/>
        <w:gridCol w:w="125"/>
        <w:gridCol w:w="650"/>
        <w:gridCol w:w="80"/>
        <w:gridCol w:w="60"/>
        <w:gridCol w:w="125"/>
        <w:gridCol w:w="650"/>
        <w:gridCol w:w="95"/>
      </w:tblGrid>
      <w:tr>
        <w:trPr/>
        <w:tc>
          <w:tcPr>
            <w:tcW w:w="8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0" w:type="dxa"/>
            <w:gridSpan w:val="6"/>
            <w:tcBorders>
              <w:bottom w:val="single" w:sz="8" w:space="0" w:color="000000"/>
            </w:tcBorders>
            <w:tcMar>
              <w:bottom w:w="28" w:type="dxa"/>
            </w:tcMar>
            <w:vAlign w:val="center"/>
          </w:tcPr>
          <w:p>
            <w:pPr>
              <w:pStyle w:val="TableContents"/>
              <w:bidi w:val="0"/>
              <w:spacing w:before="0" w:after="283"/>
              <w:jc w:val="center"/>
              <w:rPr>
                <w:sz w:val="20"/>
              </w:rPr>
            </w:pPr>
            <w:r>
              <w:rPr>
                <w:sz w:val="20"/>
              </w:rPr>
              <w:t>Six months ended</w:t>
            </w:r>
          </w:p>
        </w:tc>
        <w:tc>
          <w:tcPr>
            <w:tcW w:w="95" w:type="dxa"/>
            <w:tcBorders/>
            <w:vAlign w:val="center"/>
          </w:tcPr>
          <w:p>
            <w:pPr>
              <w:pStyle w:val="TableContents"/>
              <w:bidi w:val="0"/>
              <w:spacing w:before="0" w:after="283"/>
              <w:jc w:val="left"/>
              <w:rPr/>
            </w:pPr>
            <w:r>
              <w:rPr/>
              <w:t> </w:t>
            </w:r>
          </w:p>
        </w:tc>
      </w:tr>
      <w:tr>
        <w:trPr/>
        <w:tc>
          <w:tcPr>
            <w:tcW w:w="8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center"/>
              <w:rPr>
                <w:sz w:val="20"/>
              </w:rPr>
            </w:pPr>
            <w:r>
              <w:rPr>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center"/>
              <w:rPr>
                <w:sz w:val="20"/>
              </w:rPr>
            </w:pPr>
            <w:r>
              <w:rPr>
                <w:sz w:val="20"/>
              </w:rPr>
              <w:t>June 30,</w:t>
            </w:r>
          </w:p>
        </w:tc>
        <w:tc>
          <w:tcPr>
            <w:tcW w:w="95" w:type="dxa"/>
            <w:tcBorders/>
            <w:vAlign w:val="center"/>
          </w:tcPr>
          <w:p>
            <w:pPr>
              <w:pStyle w:val="TableContents"/>
              <w:bidi w:val="0"/>
              <w:spacing w:before="0" w:after="283"/>
              <w:jc w:val="left"/>
              <w:rPr/>
            </w:pPr>
            <w:r>
              <w:rPr/>
              <w:t> </w:t>
            </w:r>
          </w:p>
        </w:tc>
      </w:tr>
      <w:tr>
        <w:trPr/>
        <w:tc>
          <w:tcPr>
            <w:tcW w:w="8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2025</w:t>
            </w:r>
          </w:p>
        </w:tc>
        <w:tc>
          <w:tcPr>
            <w:tcW w:w="95" w:type="dxa"/>
            <w:tcBorders/>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sz w:val="20"/>
              </w:rPr>
            </w:pPr>
            <w:r>
              <w:rPr>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sz w:val="20"/>
              </w:rPr>
            </w:pPr>
            <w:r>
              <w:rPr>
                <w:sz w:val="20"/>
              </w:rPr>
              <w:t>Net income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50" w:type="dxa"/>
            <w:tcBorders/>
            <w:shd w:fill="FFFFFF" w:val="clear"/>
            <w:vAlign w:val="center"/>
          </w:tcPr>
          <w:p>
            <w:pPr>
              <w:pStyle w:val="TableContents"/>
              <w:bidi w:val="0"/>
              <w:spacing w:before="0" w:after="283"/>
              <w:jc w:val="right"/>
              <w:rPr>
                <w:sz w:val="20"/>
              </w:rPr>
            </w:pPr>
            <w:r>
              <w:rPr>
                <w:sz w:val="20"/>
              </w:rPr>
              <w:t>(61,360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50" w:type="dxa"/>
            <w:tcBorders/>
            <w:shd w:fill="FFFFFF" w:val="clear"/>
            <w:vAlign w:val="center"/>
          </w:tcPr>
          <w:p>
            <w:pPr>
              <w:pStyle w:val="TableContents"/>
              <w:bidi w:val="0"/>
              <w:spacing w:before="0" w:after="283"/>
              <w:jc w:val="right"/>
              <w:rPr>
                <w:sz w:val="20"/>
              </w:rPr>
            </w:pPr>
            <w:r>
              <w:rPr>
                <w:sz w:val="20"/>
              </w:rPr>
              <w:t>(37,320</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8045" w:type="dxa"/>
            <w:tcBorders/>
            <w:shd w:fill="CCEEFF" w:val="clear"/>
            <w:vAlign w:val="center"/>
          </w:tcPr>
          <w:p>
            <w:pPr>
              <w:pStyle w:val="TableContents"/>
              <w:bidi w:val="0"/>
              <w:spacing w:before="0" w:after="283"/>
              <w:jc w:val="left"/>
              <w:rPr>
                <w:sz w:val="20"/>
              </w:rPr>
            </w:pPr>
            <w:r>
              <w:rPr>
                <w:sz w:val="20"/>
              </w:rPr>
              <w:t>Adjustments to reconcile net income (loss) to cash flows (used in)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sz w:val="20"/>
              </w:rPr>
            </w:pPr>
            <w:r>
              <w:rPr>
                <w:sz w:val="20"/>
              </w:rPr>
              <w:t>Depreciation and amortization of property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9,131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7,757</w:t>
            </w:r>
          </w:p>
        </w:tc>
        <w:tc>
          <w:tcPr>
            <w:tcW w:w="95"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sz w:val="20"/>
              </w:rPr>
            </w:pPr>
            <w:r>
              <w:rPr>
                <w:sz w:val="20"/>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20,067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22,795</w:t>
            </w:r>
          </w:p>
        </w:tc>
        <w:tc>
          <w:tcPr>
            <w:tcW w:w="95"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sz w:val="20"/>
              </w:rPr>
            </w:pPr>
            <w:r>
              <w:rPr>
                <w:sz w:val="20"/>
              </w:rPr>
              <w:t>Amortization of debt issuance costs and original issue discount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1,476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1,401</w:t>
            </w:r>
          </w:p>
        </w:tc>
        <w:tc>
          <w:tcPr>
            <w:tcW w:w="95"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sz w:val="20"/>
              </w:rPr>
            </w:pPr>
            <w:r>
              <w:rPr>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10,786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8,775</w:t>
            </w:r>
          </w:p>
        </w:tc>
        <w:tc>
          <w:tcPr>
            <w:tcW w:w="95"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sz w:val="20"/>
              </w:rPr>
            </w:pPr>
            <w:r>
              <w:rPr>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(8,470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(8,984</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8045" w:type="dxa"/>
            <w:tcBorders/>
            <w:shd w:fill="CCEEFF" w:val="clear"/>
            <w:vAlign w:val="center"/>
          </w:tcPr>
          <w:p>
            <w:pPr>
              <w:pStyle w:val="TableContents"/>
              <w:bidi w:val="0"/>
              <w:spacing w:before="0" w:after="283"/>
              <w:jc w:val="left"/>
              <w:rPr>
                <w:sz w:val="20"/>
              </w:rPr>
            </w:pPr>
            <w:r>
              <w:rPr>
                <w:sz w:val="20"/>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(912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(1,641</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8045" w:type="dxa"/>
            <w:tcBorders/>
            <w:shd w:fill="FFFFFF" w:val="clear"/>
            <w:vAlign w:val="center"/>
          </w:tcPr>
          <w:p>
            <w:pPr>
              <w:pStyle w:val="TableContents"/>
              <w:bidi w:val="0"/>
              <w:spacing w:before="0" w:after="283"/>
              <w:jc w:val="left"/>
              <w:rPr>
                <w:sz w:val="20"/>
              </w:rPr>
            </w:pPr>
            <w:r>
              <w:rPr>
                <w:sz w:val="20"/>
              </w:rPr>
              <w:t>Foreign currency exchange (gains) losses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2,844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587</w:t>
            </w:r>
          </w:p>
        </w:tc>
        <w:tc>
          <w:tcPr>
            <w:tcW w:w="95"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sz w:val="20"/>
              </w:rPr>
            </w:pPr>
            <w:r>
              <w:rPr>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sz w:val="20"/>
              </w:rPr>
            </w:pPr>
            <w:r>
              <w:rPr>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10,395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4,578</w:t>
            </w:r>
          </w:p>
        </w:tc>
        <w:tc>
          <w:tcPr>
            <w:tcW w:w="95"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sz w:val="20"/>
              </w:rPr>
            </w:pPr>
            <w:r>
              <w:rPr>
                <w:sz w:val="20"/>
              </w:rPr>
              <w:t>Inventory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(11,319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(2,820</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8045" w:type="dxa"/>
            <w:tcBorders/>
            <w:shd w:fill="FFFFFF" w:val="clear"/>
            <w:vAlign w:val="center"/>
          </w:tcPr>
          <w:p>
            <w:pPr>
              <w:pStyle w:val="TableContents"/>
              <w:bidi w:val="0"/>
              <w:spacing w:before="0" w:after="283"/>
              <w:jc w:val="left"/>
              <w:rPr>
                <w:sz w:val="20"/>
              </w:rPr>
            </w:pPr>
            <w:r>
              <w:rPr>
                <w:sz w:val="20"/>
              </w:rPr>
              <w:t>Other operating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1,038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(186</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8045" w:type="dxa"/>
            <w:tcBorders/>
            <w:shd w:fill="CCEEFF" w:val="clear"/>
            <w:vAlign w:val="center"/>
          </w:tcPr>
          <w:p>
            <w:pPr>
              <w:pStyle w:val="TableContents"/>
              <w:bidi w:val="0"/>
              <w:spacing w:before="0" w:after="283"/>
              <w:jc w:val="left"/>
              <w:rPr>
                <w:sz w:val="20"/>
              </w:rPr>
            </w:pPr>
            <w:r>
              <w:rPr>
                <w:sz w:val="20"/>
              </w:rPr>
              <w:t>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9,128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5,083</w:t>
            </w:r>
          </w:p>
        </w:tc>
        <w:tc>
          <w:tcPr>
            <w:tcW w:w="95"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sz w:val="20"/>
              </w:rPr>
            </w:pPr>
            <w:r>
              <w:rPr>
                <w:sz w:val="20"/>
              </w:rPr>
              <w:t>Accrued expenses and other long-term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(13,187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(11,030</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8045" w:type="dxa"/>
            <w:tcBorders/>
            <w:shd w:fill="CCEEFF" w:val="clear"/>
            <w:vAlign w:val="center"/>
          </w:tcPr>
          <w:p>
            <w:pPr>
              <w:pStyle w:val="TableContents"/>
              <w:bidi w:val="0"/>
              <w:spacing w:before="0" w:after="283"/>
              <w:jc w:val="left"/>
              <w:rPr>
                <w:sz w:val="20"/>
              </w:rPr>
            </w:pPr>
            <w:r>
              <w:rPr>
                <w:sz w:val="20"/>
              </w:rPr>
              <w:t>Deferred revenue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(3,114</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6,675</w:t>
            </w:r>
          </w:p>
        </w:tc>
        <w:tc>
          <w:tcPr>
            <w:tcW w:w="95"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sz w:val="20"/>
              </w:rPr>
            </w:pPr>
            <w:r>
              <w:rPr>
                <w:sz w:val="20"/>
              </w:rPr>
              <w:t>Net cash (used in) provided by operating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(33,497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(4,330</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80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sz w:val="20"/>
              </w:rPr>
            </w:pPr>
            <w:r>
              <w:rPr>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sz w:val="20"/>
              </w:rPr>
            </w:pPr>
            <w:r>
              <w:rPr>
                <w:sz w:val="20"/>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(7,368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(17,831</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8045" w:type="dxa"/>
            <w:tcBorders/>
            <w:shd w:fill="FFFFFF" w:val="clear"/>
            <w:vAlign w:val="center"/>
          </w:tcPr>
          <w:p>
            <w:pPr>
              <w:pStyle w:val="TableContents"/>
              <w:bidi w:val="0"/>
              <w:spacing w:before="0" w:after="283"/>
              <w:jc w:val="left"/>
              <w:rPr>
                <w:sz w:val="20"/>
              </w:rPr>
            </w:pPr>
            <w:r>
              <w:rPr>
                <w:sz w:val="20"/>
              </w:rPr>
              <w:t>Purchases of software licenses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(553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sz w:val="20"/>
              </w:rPr>
            </w:pPr>
            <w:r>
              <w:rPr>
                <w:sz w:val="20"/>
              </w:rPr>
              <w:t>Net cash (used in) provided by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(7,921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(17,831</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80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sz w:val="20"/>
              </w:rPr>
            </w:pPr>
            <w:r>
              <w:rPr>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sz w:val="20"/>
              </w:rPr>
            </w:pPr>
            <w:r>
              <w:rPr>
                <w:sz w:val="20"/>
              </w:rPr>
              <w:t>Borrowings under revolving line of credit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15,000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sz w:val="20"/>
              </w:rPr>
            </w:pPr>
            <w:r>
              <w:rPr>
                <w:sz w:val="20"/>
              </w:rPr>
              <w:t>Principal payments on revolving line of credit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(15,000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sz w:val="20"/>
              </w:rPr>
            </w:pPr>
            <w:r>
              <w:rPr>
                <w:sz w:val="20"/>
              </w:rPr>
              <w:t>Principal payments of term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(4,375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(1,750</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8045" w:type="dxa"/>
            <w:tcBorders/>
            <w:shd w:fill="CCEEFF" w:val="clear"/>
            <w:vAlign w:val="center"/>
          </w:tcPr>
          <w:p>
            <w:pPr>
              <w:pStyle w:val="TableContents"/>
              <w:bidi w:val="0"/>
              <w:spacing w:before="0" w:after="283"/>
              <w:jc w:val="left"/>
              <w:rPr>
                <w:sz w:val="20"/>
              </w:rPr>
            </w:pPr>
            <w:r>
              <w:rPr>
                <w:sz w:val="20"/>
              </w:rPr>
              <w:t>Payment of debt issuance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(977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sz w:val="20"/>
              </w:rPr>
            </w:pPr>
            <w:r>
              <w:rPr>
                <w:sz w:val="20"/>
              </w:rPr>
              <w:t>Proceeds from the exercise of stock options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6</w:t>
            </w:r>
          </w:p>
        </w:tc>
        <w:tc>
          <w:tcPr>
            <w:tcW w:w="95"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sz w:val="20"/>
              </w:rPr>
            </w:pPr>
            <w:r>
              <w:rPr>
                <w:sz w:val="20"/>
              </w:rPr>
              <w:t>Payment of tax obligations related to vested stock awards and units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(4,980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(3,396</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8045" w:type="dxa"/>
            <w:tcBorders/>
            <w:shd w:fill="FFFFFF" w:val="clear"/>
            <w:vAlign w:val="center"/>
          </w:tcPr>
          <w:p>
            <w:pPr>
              <w:pStyle w:val="TableContents"/>
              <w:bidi w:val="0"/>
              <w:spacing w:before="0" w:after="283"/>
              <w:jc w:val="left"/>
              <w:rPr>
                <w:sz w:val="20"/>
              </w:rPr>
            </w:pPr>
            <w:r>
              <w:rPr>
                <w:sz w:val="20"/>
              </w:rPr>
              <w:t>Repurchase of common stock</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(824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(2,253</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8045" w:type="dxa"/>
            <w:tcBorders/>
            <w:shd w:fill="CCEEFF" w:val="clear"/>
            <w:vAlign w:val="center"/>
          </w:tcPr>
          <w:p>
            <w:pPr>
              <w:pStyle w:val="TableContents"/>
              <w:bidi w:val="0"/>
              <w:spacing w:before="0" w:after="283"/>
              <w:jc w:val="left"/>
              <w:rPr>
                <w:sz w:val="20"/>
              </w:rPr>
            </w:pPr>
            <w:r>
              <w:rPr>
                <w:sz w:val="20"/>
              </w:rPr>
              <w:t>Net cash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(11,156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(7,393</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80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sz w:val="20"/>
              </w:rPr>
            </w:pPr>
            <w:r>
              <w:rPr>
                <w:sz w:val="20"/>
              </w:rPr>
              <w:t>Effect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(74</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1,349</w:t>
            </w:r>
          </w:p>
        </w:tc>
        <w:tc>
          <w:tcPr>
            <w:tcW w:w="95"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sz w:val="20"/>
              </w:rPr>
            </w:pPr>
            <w:r>
              <w:rPr>
                <w:sz w:val="20"/>
              </w:rPr>
              <w:t>Net (decrease)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(52,648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(28,205</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8045" w:type="dxa"/>
            <w:tcBorders/>
            <w:shd w:fill="FFFFFF" w:val="clear"/>
            <w:vAlign w:val="center"/>
          </w:tcPr>
          <w:p>
            <w:pPr>
              <w:pStyle w:val="TableContents"/>
              <w:bidi w:val="0"/>
              <w:spacing w:before="0" w:after="283"/>
              <w:jc w:val="left"/>
              <w:rPr>
                <w:sz w:val="20"/>
              </w:rPr>
            </w:pPr>
            <w:r>
              <w:rPr>
                <w:sz w:val="20"/>
              </w:rPr>
              <w:t>Cash, cash equivalents and restricted cash, beginning of year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98,131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90,479</w:t>
            </w:r>
          </w:p>
        </w:tc>
        <w:tc>
          <w:tcPr>
            <w:tcW w:w="95"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sz w:val="20"/>
              </w:rPr>
            </w:pPr>
            <w:r>
              <w:rPr>
                <w:sz w:val="20"/>
              </w:rPr>
              <w:t>Cash, cash equivalents and restricted cash, end of period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45,483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62,274</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33550" cy="4953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733550" cy="4953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RIBBON COMMUNICATIONS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Information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provide the details of stock-based compensation included as components of other line items in the Company's Consolidated Statements of Operations and the line items in which these amounts are reported.   </w:t>
      </w:r>
    </w:p>
    <w:p>
      <w:pPr>
        <w:pStyle w:val="TextBody"/>
        <w:bidi w:val="0"/>
        <w:spacing w:before="0" w:after="0"/>
        <w:ind w:left="0" w:right="0" w:hanging="0"/>
        <w:jc w:val="left"/>
        <w:rPr>
          <w:caps w:val="false"/>
          <w:smallCaps w:val="false"/>
        </w:rPr>
      </w:pPr>
      <w:r>
        <w:rPr>
          <w:caps w:val="false"/>
          <w:smallCaps w:val="false"/>
        </w:rPr>
        <w:t> </w:t>
      </w:r>
    </w:p>
    <w:tbl>
      <w:tblPr>
        <w:tblW w:w="6887" w:type="dxa"/>
        <w:jc w:val="left"/>
        <w:tblInd w:w="0" w:type="dxa"/>
        <w:tblLayout w:type="fixed"/>
        <w:tblCellMar>
          <w:top w:w="0" w:type="dxa"/>
          <w:left w:w="0" w:type="dxa"/>
          <w:bottom w:w="0" w:type="dxa"/>
          <w:right w:w="0" w:type="dxa"/>
        </w:tblCellMar>
      </w:tblPr>
      <w:tblGrid>
        <w:gridCol w:w="2660"/>
        <w:gridCol w:w="60"/>
        <w:gridCol w:w="142"/>
        <w:gridCol w:w="552"/>
        <w:gridCol w:w="60"/>
        <w:gridCol w:w="60"/>
        <w:gridCol w:w="163"/>
        <w:gridCol w:w="636"/>
        <w:gridCol w:w="60"/>
        <w:gridCol w:w="60"/>
        <w:gridCol w:w="142"/>
        <w:gridCol w:w="552"/>
        <w:gridCol w:w="60"/>
        <w:gridCol w:w="60"/>
        <w:gridCol w:w="127"/>
        <w:gridCol w:w="602"/>
        <w:gridCol w:w="61"/>
        <w:gridCol w:w="61"/>
        <w:gridCol w:w="141"/>
        <w:gridCol w:w="553"/>
        <w:gridCol w:w="75"/>
      </w:tblGrid>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7" w:type="dxa"/>
            <w:gridSpan w:val="10"/>
            <w:tcBorders>
              <w:bottom w:val="single" w:sz="8" w:space="0" w:color="000000"/>
            </w:tcBorders>
            <w:tcMar>
              <w:bottom w:w="28" w:type="dxa"/>
            </w:tcMar>
            <w:vAlign w:val="center"/>
          </w:tcPr>
          <w:p>
            <w:pPr>
              <w:pStyle w:val="TableContents"/>
              <w:bidi w:val="0"/>
              <w:spacing w:before="0" w:after="283"/>
              <w:jc w:val="center"/>
              <w:rPr>
                <w:sz w:val="20"/>
              </w:rPr>
            </w:pPr>
            <w:r>
              <w:rPr>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5" w:type="dxa"/>
            <w:gridSpan w:val="6"/>
            <w:tcBorders>
              <w:bottom w:val="single" w:sz="8" w:space="0" w:color="000000"/>
            </w:tcBorders>
            <w:tcMar>
              <w:bottom w:w="28" w:type="dxa"/>
            </w:tcMar>
            <w:vAlign w:val="center"/>
          </w:tcPr>
          <w:p>
            <w:pPr>
              <w:pStyle w:val="TableContents"/>
              <w:bidi w:val="0"/>
              <w:spacing w:before="0" w:after="283"/>
              <w:jc w:val="center"/>
              <w:rPr>
                <w:sz w:val="20"/>
              </w:rPr>
            </w:pPr>
            <w:r>
              <w:rPr>
                <w:sz w:val="20"/>
              </w:rPr>
              <w:t>Six months ended</w:t>
            </w:r>
          </w:p>
        </w:tc>
        <w:tc>
          <w:tcPr>
            <w:tcW w:w="75"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94" w:type="dxa"/>
            <w:gridSpan w:val="2"/>
            <w:tcBorders/>
            <w:vAlign w:val="center"/>
          </w:tcPr>
          <w:p>
            <w:pPr>
              <w:pStyle w:val="TableContents"/>
              <w:bidi w:val="0"/>
              <w:spacing w:before="0" w:after="283"/>
              <w:jc w:val="center"/>
              <w:rPr>
                <w:sz w:val="20"/>
              </w:rPr>
            </w:pPr>
            <w:r>
              <w:rPr>
                <w:sz w:val="20"/>
              </w:rPr>
              <w:t>June 30,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99" w:type="dxa"/>
            <w:gridSpan w:val="2"/>
            <w:tcBorders/>
            <w:vAlign w:val="center"/>
          </w:tcPr>
          <w:p>
            <w:pPr>
              <w:pStyle w:val="TableContents"/>
              <w:bidi w:val="0"/>
              <w:spacing w:before="0" w:after="283"/>
              <w:jc w:val="center"/>
              <w:rPr>
                <w:sz w:val="20"/>
              </w:rPr>
            </w:pPr>
            <w:r>
              <w:rPr>
                <w:sz w:val="20"/>
              </w:rPr>
              <w:t>March 31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94" w:type="dxa"/>
            <w:gridSpan w:val="2"/>
            <w:tcBorders/>
            <w:vAlign w:val="center"/>
          </w:tcPr>
          <w:p>
            <w:pPr>
              <w:pStyle w:val="TableContents"/>
              <w:bidi w:val="0"/>
              <w:spacing w:before="0" w:after="283"/>
              <w:jc w:val="center"/>
              <w:rPr>
                <w:sz w:val="20"/>
              </w:rPr>
            </w:pPr>
            <w:r>
              <w:rPr>
                <w:sz w:val="20"/>
              </w:rPr>
              <w:t>June 30,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29" w:type="dxa"/>
            <w:gridSpan w:val="2"/>
            <w:tcBorders/>
            <w:vAlign w:val="center"/>
          </w:tcPr>
          <w:p>
            <w:pPr>
              <w:pStyle w:val="TableContents"/>
              <w:bidi w:val="0"/>
              <w:spacing w:before="0" w:after="283"/>
              <w:jc w:val="center"/>
              <w:rPr>
                <w:sz w:val="20"/>
              </w:rPr>
            </w:pPr>
            <w:r>
              <w:rPr>
                <w:sz w:val="20"/>
              </w:rPr>
              <w:t>June 30,</w:t>
            </w:r>
          </w:p>
        </w:tc>
        <w:tc>
          <w:tcPr>
            <w:tcW w:w="61"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center"/>
              <w:rPr/>
            </w:pPr>
            <w:r>
              <w:rPr/>
              <w:t> </w:t>
            </w:r>
          </w:p>
        </w:tc>
        <w:tc>
          <w:tcPr>
            <w:tcW w:w="694" w:type="dxa"/>
            <w:gridSpan w:val="2"/>
            <w:tcBorders/>
            <w:vAlign w:val="center"/>
          </w:tcPr>
          <w:p>
            <w:pPr>
              <w:pStyle w:val="TableContents"/>
              <w:bidi w:val="0"/>
              <w:spacing w:before="0" w:after="283"/>
              <w:jc w:val="center"/>
              <w:rPr>
                <w:sz w:val="20"/>
              </w:rPr>
            </w:pPr>
            <w:r>
              <w:rPr>
                <w:sz w:val="20"/>
              </w:rPr>
              <w:t>June 30,</w:t>
            </w:r>
          </w:p>
        </w:tc>
        <w:tc>
          <w:tcPr>
            <w:tcW w:w="75" w:type="dxa"/>
            <w:tcBorders/>
            <w:vAlign w:val="center"/>
          </w:tcPr>
          <w:p>
            <w:pPr>
              <w:pStyle w:val="TableContents"/>
              <w:bidi w:val="0"/>
              <w:spacing w:before="0" w:after="283"/>
              <w:jc w:val="center"/>
              <w:rPr/>
            </w:pPr>
            <w:r>
              <w:rPr/>
              <w:t> </w:t>
            </w:r>
          </w:p>
        </w:tc>
      </w:tr>
      <w:tr>
        <w:trPr/>
        <w:tc>
          <w:tcPr>
            <w:tcW w:w="26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94"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99"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94"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29"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2026</w:t>
            </w:r>
          </w:p>
        </w:tc>
        <w:tc>
          <w:tcPr>
            <w:tcW w:w="61"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center"/>
              <w:rPr/>
            </w:pPr>
            <w:r>
              <w:rPr/>
              <w:t> </w:t>
            </w:r>
          </w:p>
        </w:tc>
        <w:tc>
          <w:tcPr>
            <w:tcW w:w="694"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2025</w:t>
            </w:r>
          </w:p>
        </w:tc>
        <w:tc>
          <w:tcPr>
            <w:tcW w:w="75" w:type="dxa"/>
            <w:tcBorders/>
            <w:vAlign w:val="center"/>
          </w:tcPr>
          <w:p>
            <w:pPr>
              <w:pStyle w:val="TableContents"/>
              <w:bidi w:val="0"/>
              <w:spacing w:before="0" w:after="283"/>
              <w:jc w:val="center"/>
              <w:rPr/>
            </w:pPr>
            <w:r>
              <w:rPr/>
              <w:t> </w:t>
            </w:r>
          </w:p>
        </w:tc>
      </w:tr>
      <w:tr>
        <w:trPr/>
        <w:tc>
          <w:tcPr>
            <w:tcW w:w="2660" w:type="dxa"/>
            <w:tcBorders/>
            <w:shd w:fill="CCEEFF" w:val="clear"/>
            <w:vAlign w:val="center"/>
          </w:tcPr>
          <w:p>
            <w:pPr>
              <w:pStyle w:val="TableContents"/>
              <w:bidi w:val="0"/>
              <w:spacing w:before="0" w:after="283"/>
              <w:jc w:val="left"/>
              <w:rPr>
                <w:b/>
                <w:sz w:val="20"/>
              </w:rPr>
            </w:pPr>
            <w:r>
              <w:rPr>
                <w:b/>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sz w:val="20"/>
              </w:rPr>
            </w:pPr>
            <w:r>
              <w:rPr>
                <w:sz w:val="20"/>
              </w:rPr>
              <w:t>Cost of revenue - product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sz w:val="20"/>
              </w:rPr>
            </w:pPr>
            <w:r>
              <w:rPr>
                <w:sz w:val="20"/>
              </w:rPr>
              <w:t>$</w:t>
            </w:r>
          </w:p>
        </w:tc>
        <w:tc>
          <w:tcPr>
            <w:tcW w:w="552" w:type="dxa"/>
            <w:tcBorders/>
            <w:shd w:fill="FFFFFF" w:val="clear"/>
            <w:vAlign w:val="center"/>
          </w:tcPr>
          <w:p>
            <w:pPr>
              <w:pStyle w:val="TableContents"/>
              <w:bidi w:val="0"/>
              <w:spacing w:before="0" w:after="283"/>
              <w:jc w:val="right"/>
              <w:rPr>
                <w:sz w:val="20"/>
              </w:rPr>
            </w:pPr>
            <w:r>
              <w:rPr>
                <w:sz w:val="20"/>
              </w:rPr>
              <w:t>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sz w:val="20"/>
              </w:rPr>
            </w:pPr>
            <w:r>
              <w:rPr>
                <w:sz w:val="20"/>
              </w:rPr>
              <w:t>$</w:t>
            </w:r>
          </w:p>
        </w:tc>
        <w:tc>
          <w:tcPr>
            <w:tcW w:w="636" w:type="dxa"/>
            <w:tcBorders/>
            <w:shd w:fill="FFFFFF" w:val="clear"/>
            <w:vAlign w:val="center"/>
          </w:tcPr>
          <w:p>
            <w:pPr>
              <w:pStyle w:val="TableContents"/>
              <w:bidi w:val="0"/>
              <w:spacing w:before="0" w:after="283"/>
              <w:jc w:val="right"/>
              <w:rPr>
                <w:sz w:val="20"/>
              </w:rPr>
            </w:pPr>
            <w:r>
              <w:rPr>
                <w:sz w:val="20"/>
              </w:rPr>
              <w:t>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sz w:val="20"/>
              </w:rPr>
            </w:pPr>
            <w:r>
              <w:rPr>
                <w:sz w:val="20"/>
              </w:rPr>
              <w:t>$</w:t>
            </w:r>
          </w:p>
        </w:tc>
        <w:tc>
          <w:tcPr>
            <w:tcW w:w="552" w:type="dxa"/>
            <w:tcBorders/>
            <w:shd w:fill="FFFFFF" w:val="clear"/>
            <w:vAlign w:val="center"/>
          </w:tcPr>
          <w:p>
            <w:pPr>
              <w:pStyle w:val="TableContents"/>
              <w:bidi w:val="0"/>
              <w:spacing w:before="0" w:after="283"/>
              <w:jc w:val="right"/>
              <w:rPr>
                <w:sz w:val="20"/>
              </w:rPr>
            </w:pPr>
            <w:r>
              <w:rPr>
                <w:sz w:val="20"/>
              </w:rPr>
              <w:t>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sz w:val="20"/>
              </w:rPr>
            </w:pPr>
            <w:r>
              <w:rPr>
                <w:sz w:val="20"/>
              </w:rPr>
              <w:t>$</w:t>
            </w:r>
          </w:p>
        </w:tc>
        <w:tc>
          <w:tcPr>
            <w:tcW w:w="602" w:type="dxa"/>
            <w:tcBorders/>
            <w:shd w:fill="FFFFFF" w:val="clear"/>
            <w:vAlign w:val="center"/>
          </w:tcPr>
          <w:p>
            <w:pPr>
              <w:pStyle w:val="TableContents"/>
              <w:bidi w:val="0"/>
              <w:spacing w:before="0" w:after="283"/>
              <w:jc w:val="right"/>
              <w:rPr>
                <w:sz w:val="20"/>
              </w:rPr>
            </w:pPr>
            <w:r>
              <w:rPr>
                <w:sz w:val="20"/>
              </w:rPr>
              <w:t>82</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sz w:val="20"/>
              </w:rPr>
            </w:pPr>
            <w:r>
              <w:rPr>
                <w:sz w:val="20"/>
              </w:rPr>
              <w:t>$</w:t>
            </w:r>
          </w:p>
        </w:tc>
        <w:tc>
          <w:tcPr>
            <w:tcW w:w="553" w:type="dxa"/>
            <w:tcBorders/>
            <w:shd w:fill="FFFFFF" w:val="clear"/>
            <w:vAlign w:val="center"/>
          </w:tcPr>
          <w:p>
            <w:pPr>
              <w:pStyle w:val="TableContents"/>
              <w:bidi w:val="0"/>
              <w:spacing w:before="0" w:after="283"/>
              <w:jc w:val="right"/>
              <w:rPr>
                <w:sz w:val="20"/>
              </w:rPr>
            </w:pPr>
            <w:r>
              <w:rPr>
                <w:sz w:val="20"/>
              </w:rPr>
              <w:t>99</w:t>
            </w:r>
          </w:p>
        </w:tc>
        <w:tc>
          <w:tcPr>
            <w:tcW w:w="75"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sz w:val="20"/>
              </w:rPr>
            </w:pPr>
            <w:r>
              <w:rPr>
                <w:sz w:val="20"/>
              </w:rPr>
              <w:t>Cost of revenue - service</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336</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484</w:t>
            </w:r>
          </w:p>
        </w:tc>
        <w:tc>
          <w:tcPr>
            <w:tcW w:w="75"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sz w:val="20"/>
              </w:rPr>
            </w:pPr>
            <w:r>
              <w:rPr>
                <w:sz w:val="20"/>
              </w:rPr>
              <w:t>Cost of revenue</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418</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583</w:t>
            </w:r>
          </w:p>
        </w:tc>
        <w:tc>
          <w:tcPr>
            <w:tcW w:w="75"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sz w:val="20"/>
              </w:rPr>
            </w:pPr>
            <w:r>
              <w:rPr>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sz w:val="20"/>
              </w:rPr>
            </w:pPr>
            <w:r>
              <w:rPr>
                <w:sz w:val="20"/>
              </w:rPr>
              <w:t>460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sz w:val="20"/>
              </w:rPr>
            </w:pPr>
            <w:r>
              <w:rPr>
                <w:sz w:val="20"/>
              </w:rPr>
              <w:t>477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sz w:val="20"/>
              </w:rPr>
            </w:pPr>
            <w:r>
              <w:rPr>
                <w:sz w:val="20"/>
              </w:rPr>
              <w:t>455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sz w:val="20"/>
              </w:rPr>
            </w:pPr>
            <w:r>
              <w:rPr>
                <w:sz w:val="20"/>
              </w:rPr>
              <w:t>937</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sz w:val="20"/>
              </w:rPr>
            </w:pPr>
            <w:r>
              <w:rPr>
                <w:sz w:val="20"/>
              </w:rPr>
              <w:t>1,180</w:t>
            </w:r>
          </w:p>
        </w:tc>
        <w:tc>
          <w:tcPr>
            <w:tcW w:w="75"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sz w:val="20"/>
              </w:rPr>
            </w:pPr>
            <w:r>
              <w:rPr>
                <w:sz w:val="20"/>
              </w:rPr>
              <w:t>Sales and marketing</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sz w:val="20"/>
              </w:rPr>
            </w:pPr>
            <w:r>
              <w:rPr>
                <w:sz w:val="20"/>
              </w:rPr>
              <w:t>1,103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right"/>
              <w:rPr>
                <w:sz w:val="20"/>
              </w:rPr>
            </w:pPr>
            <w:r>
              <w:rPr>
                <w:sz w:val="20"/>
              </w:rPr>
              <w:t>1,130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sz w:val="20"/>
              </w:rPr>
            </w:pPr>
            <w:r>
              <w:rPr>
                <w:sz w:val="20"/>
              </w:rPr>
              <w:t>1,066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sz w:val="20"/>
              </w:rPr>
            </w:pPr>
            <w:r>
              <w:rPr>
                <w:sz w:val="20"/>
              </w:rPr>
              <w:t>2,233</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sz w:val="20"/>
              </w:rPr>
            </w:pPr>
            <w:r>
              <w:rPr>
                <w:sz w:val="20"/>
              </w:rPr>
              <w:t>2,239</w:t>
            </w:r>
          </w:p>
        </w:tc>
        <w:tc>
          <w:tcPr>
            <w:tcW w:w="75"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sz w:val="20"/>
              </w:rPr>
            </w:pPr>
            <w:r>
              <w:rPr>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3,052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4,146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2,725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7,198</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4,773</w:t>
            </w:r>
          </w:p>
        </w:tc>
        <w:tc>
          <w:tcPr>
            <w:tcW w:w="75"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sz w:val="20"/>
              </w:rPr>
            </w:pPr>
            <w:r>
              <w:rPr>
                <w:sz w:val="20"/>
              </w:rPr>
              <w:t>Operating expense</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4,615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5,753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4,246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10,368</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8,192</w:t>
            </w:r>
          </w:p>
        </w:tc>
        <w:tc>
          <w:tcPr>
            <w:tcW w:w="75"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sz w:val="20"/>
              </w:rPr>
            </w:pPr>
            <w:r>
              <w:rPr>
                <w:sz w:val="20"/>
              </w:rPr>
              <w:t>Total stock-based compensation</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52"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4,829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36"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5,957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52"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4,477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2"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10,786</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5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8,775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33550" cy="4953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733550" cy="4953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899" w:type="dxa"/>
        <w:jc w:val="left"/>
        <w:tblInd w:w="0" w:type="dxa"/>
        <w:tblLayout w:type="fixed"/>
        <w:tblCellMar>
          <w:top w:w="0" w:type="dxa"/>
          <w:left w:w="0" w:type="dxa"/>
          <w:bottom w:w="0" w:type="dxa"/>
          <w:right w:w="0" w:type="dxa"/>
        </w:tblCellMar>
      </w:tblPr>
      <w:tblGrid>
        <w:gridCol w:w="5770"/>
        <w:gridCol w:w="129"/>
      </w:tblGrid>
      <w:tr>
        <w:trPr/>
        <w:tc>
          <w:tcPr>
            <w:tcW w:w="5899" w:type="dxa"/>
            <w:gridSpan w:val="2"/>
            <w:tcBorders/>
            <w:vAlign w:val="center"/>
          </w:tcPr>
          <w:p>
            <w:pPr>
              <w:pStyle w:val="TableContents"/>
              <w:bidi w:val="0"/>
              <w:spacing w:before="0" w:after="283"/>
              <w:jc w:val="center"/>
              <w:rPr/>
            </w:pPr>
            <w:r>
              <w:rPr/>
              <w:t>RIBBON COMMUNICATIONS INC.</w:t>
            </w:r>
          </w:p>
        </w:tc>
      </w:tr>
      <w:tr>
        <w:trPr/>
        <w:tc>
          <w:tcPr>
            <w:tcW w:w="5899" w:type="dxa"/>
            <w:gridSpan w:val="2"/>
            <w:tcBorders/>
            <w:vAlign w:val="center"/>
          </w:tcPr>
          <w:p>
            <w:pPr>
              <w:pStyle w:val="TableContents"/>
              <w:bidi w:val="0"/>
              <w:spacing w:before="0" w:after="283"/>
              <w:jc w:val="center"/>
              <w:rPr/>
            </w:pPr>
            <w:r>
              <w:rPr/>
              <w:t>Reconciliation of Non-GAAP and GAAP Financial Measures</w:t>
            </w:r>
          </w:p>
        </w:tc>
      </w:tr>
      <w:tr>
        <w:trPr/>
        <w:tc>
          <w:tcPr>
            <w:tcW w:w="5899" w:type="dxa"/>
            <w:gridSpan w:val="2"/>
            <w:tcBorders/>
            <w:vAlign w:val="center"/>
          </w:tcPr>
          <w:p>
            <w:pPr>
              <w:pStyle w:val="TableContents"/>
              <w:bidi w:val="0"/>
              <w:spacing w:before="0" w:after="283"/>
              <w:jc w:val="center"/>
              <w:rPr/>
            </w:pPr>
            <w:r>
              <w:rPr/>
              <w:t>(in thousands, except per share amounts)</w:t>
            </w:r>
          </w:p>
        </w:tc>
      </w:tr>
      <w:tr>
        <w:trPr/>
        <w:tc>
          <w:tcPr>
            <w:tcW w:w="5770" w:type="dxa"/>
            <w:tcBorders/>
            <w:vAlign w:val="center"/>
          </w:tcPr>
          <w:p>
            <w:pPr>
              <w:pStyle w:val="TableContents"/>
              <w:bidi w:val="0"/>
              <w:spacing w:before="0" w:after="283"/>
              <w:jc w:val="center"/>
              <w:rPr/>
            </w:pPr>
            <w:r>
              <w:rPr/>
              <w:t>(unaudited)</w:t>
            </w:r>
          </w:p>
        </w:tc>
        <w:tc>
          <w:tcPr>
            <w:tcW w:w="129"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tbl>
      <w:tblPr>
        <w:tblW w:w="9500" w:type="dxa"/>
        <w:jc w:val="left"/>
        <w:tblInd w:w="0" w:type="dxa"/>
        <w:tblLayout w:type="fixed"/>
        <w:tblCellMar>
          <w:top w:w="0" w:type="dxa"/>
          <w:left w:w="0" w:type="dxa"/>
          <w:bottom w:w="0" w:type="dxa"/>
          <w:right w:w="0" w:type="dxa"/>
        </w:tblCellMar>
      </w:tblPr>
      <w:tblGrid>
        <w:gridCol w:w="6290"/>
        <w:gridCol w:w="60"/>
        <w:gridCol w:w="125"/>
        <w:gridCol w:w="695"/>
        <w:gridCol w:w="185"/>
        <w:gridCol w:w="60"/>
        <w:gridCol w:w="125"/>
        <w:gridCol w:w="695"/>
        <w:gridCol w:w="185"/>
        <w:gridCol w:w="60"/>
        <w:gridCol w:w="125"/>
        <w:gridCol w:w="695"/>
        <w:gridCol w:w="200"/>
      </w:tblGrid>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50" w:type="dxa"/>
            <w:gridSpan w:val="10"/>
            <w:tcBorders>
              <w:bottom w:val="single" w:sz="8" w:space="0" w:color="000000"/>
            </w:tcBorders>
            <w:tcMar>
              <w:bottom w:w="28" w:type="dxa"/>
            </w:tcMar>
            <w:vAlign w:val="center"/>
          </w:tcPr>
          <w:p>
            <w:pPr>
              <w:pStyle w:val="TableContents"/>
              <w:bidi w:val="0"/>
              <w:spacing w:before="0" w:after="283"/>
              <w:jc w:val="center"/>
              <w:rPr>
                <w:sz w:val="20"/>
              </w:rPr>
            </w:pPr>
            <w:r>
              <w:rPr>
                <w:sz w:val="20"/>
              </w:rPr>
              <w:t>Three months ended</w:t>
            </w:r>
          </w:p>
        </w:tc>
        <w:tc>
          <w:tcPr>
            <w:tcW w:w="200" w:type="dxa"/>
            <w:tcBorders/>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sz w:val="20"/>
              </w:rPr>
            </w:pPr>
            <w:r>
              <w:rPr>
                <w:sz w:val="20"/>
              </w:rPr>
              <w:t>June 30,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sz w:val="20"/>
              </w:rPr>
            </w:pPr>
            <w:r>
              <w:rPr>
                <w:sz w:val="20"/>
              </w:rPr>
              <w:t>March 31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sz w:val="20"/>
              </w:rPr>
            </w:pPr>
            <w:r>
              <w:rPr>
                <w:sz w:val="20"/>
              </w:rPr>
              <w:t>June 30,</w:t>
            </w:r>
          </w:p>
        </w:tc>
        <w:tc>
          <w:tcPr>
            <w:tcW w:w="200" w:type="dxa"/>
            <w:tcBorders/>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2025</w:t>
            </w:r>
          </w:p>
        </w:tc>
        <w:tc>
          <w:tcPr>
            <w:tcW w:w="200" w:type="dxa"/>
            <w:tcBorders/>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b/>
                <w:sz w:val="20"/>
              </w:rPr>
            </w:pPr>
            <w:r>
              <w:rPr>
                <w:b/>
                <w:sz w:val="20"/>
              </w:rPr>
              <w:t>GAAP Gross margin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47.0</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42.9</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49.6</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6290" w:type="dxa"/>
            <w:tcBorders/>
            <w:shd w:fill="FFFFFF" w:val="clear"/>
            <w:vAlign w:val="center"/>
          </w:tcPr>
          <w:p>
            <w:pPr>
              <w:pStyle w:val="TableContents"/>
              <w:bidi w:val="0"/>
              <w:spacing w:before="0" w:after="283"/>
              <w:jc w:val="left"/>
              <w:rPr>
                <w:sz w:val="20"/>
              </w:rPr>
            </w:pPr>
            <w:r>
              <w:rPr>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0.1</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0.1</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0.1</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6290" w:type="dxa"/>
            <w:tcBorders/>
            <w:shd w:fill="CCEEFF" w:val="clear"/>
            <w:vAlign w:val="center"/>
          </w:tcPr>
          <w:p>
            <w:pPr>
              <w:pStyle w:val="TableContents"/>
              <w:bidi w:val="0"/>
              <w:spacing w:before="0" w:after="283"/>
              <w:jc w:val="left"/>
              <w:rPr>
                <w:sz w:val="20"/>
              </w:rPr>
            </w:pPr>
            <w:r>
              <w:rPr>
                <w:sz w:val="20"/>
              </w:rPr>
              <w:t>Amortization of acquired technology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2.2</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2.8</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2.4</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6290" w:type="dxa"/>
            <w:tcBorders/>
            <w:shd w:fill="FFFFFF" w:val="clear"/>
            <w:vAlign w:val="center"/>
          </w:tcPr>
          <w:p>
            <w:pPr>
              <w:pStyle w:val="TableContents"/>
              <w:bidi w:val="0"/>
              <w:spacing w:before="0" w:after="283"/>
              <w:jc w:val="left"/>
              <w:rPr>
                <w:b/>
                <w:sz w:val="20"/>
              </w:rPr>
            </w:pPr>
            <w:r>
              <w:rPr>
                <w:b/>
                <w:sz w:val="20"/>
              </w:rPr>
              <w:t>Non-GAAP Gross margin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49.3</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45.8</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52.1</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6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b/>
                <w:sz w:val="20"/>
              </w:rPr>
            </w:pPr>
            <w:r>
              <w:rPr>
                <w:b/>
                <w:sz w:val="20"/>
              </w:rPr>
              <w:t>GAAP Net income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(26,871</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(34,489</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(11,093</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6290" w:type="dxa"/>
            <w:tcBorders/>
            <w:shd w:fill="CCEEFF" w:val="clear"/>
            <w:vAlign w:val="center"/>
          </w:tcPr>
          <w:p>
            <w:pPr>
              <w:pStyle w:val="TableContents"/>
              <w:bidi w:val="0"/>
              <w:spacing w:before="0" w:after="283"/>
              <w:jc w:val="left"/>
              <w:rPr>
                <w:sz w:val="20"/>
              </w:rPr>
            </w:pPr>
            <w:r>
              <w:rPr>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4,829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5,957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4,477</w:t>
            </w:r>
          </w:p>
        </w:tc>
        <w:tc>
          <w:tcPr>
            <w:tcW w:w="20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sz w:val="20"/>
              </w:rPr>
            </w:pPr>
            <w:r>
              <w:rPr>
                <w:sz w:val="20"/>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9,849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10,218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11,252</w:t>
            </w:r>
          </w:p>
        </w:tc>
        <w:tc>
          <w:tcPr>
            <w:tcW w:w="20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sz w:val="20"/>
              </w:rPr>
            </w:pPr>
            <w:r>
              <w:rPr>
                <w:sz w:val="20"/>
              </w:rPr>
              <w:t>Litigation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302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744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2,314</w:t>
            </w:r>
          </w:p>
        </w:tc>
        <w:tc>
          <w:tcPr>
            <w:tcW w:w="20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sz w:val="20"/>
              </w:rPr>
            </w:pPr>
            <w:r>
              <w:rPr>
                <w:sz w:val="20"/>
              </w:rPr>
              <w:t>Acquisition-, disposal- and integration-related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3,898</w:t>
            </w:r>
          </w:p>
        </w:tc>
        <w:tc>
          <w:tcPr>
            <w:tcW w:w="20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sz w:val="20"/>
              </w:rPr>
            </w:pPr>
            <w:r>
              <w:rPr>
                <w:sz w:val="20"/>
              </w:rPr>
              <w:t>Restructuring and related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4,442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2,038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1,346</w:t>
            </w:r>
          </w:p>
        </w:tc>
        <w:tc>
          <w:tcPr>
            <w:tcW w:w="20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sz w:val="20"/>
              </w:rPr>
            </w:pPr>
            <w:r>
              <w:rPr>
                <w:sz w:val="20"/>
              </w:rPr>
              <w:t>Preferred stock and warrant liability mark-to-market adjustment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(1,237</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94</w:t>
            </w:r>
          </w:p>
        </w:tc>
        <w:tc>
          <w:tcPr>
            <w:tcW w:w="20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sz w:val="20"/>
              </w:rPr>
            </w:pPr>
            <w:r>
              <w:rPr>
                <w:sz w:val="20"/>
              </w:rPr>
              <w:t>Tax effect of non-GAAP adjustments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2,223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8,412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(2,679</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6290" w:type="dxa"/>
            <w:tcBorders/>
            <w:shd w:fill="FFFFFF" w:val="clear"/>
            <w:vAlign w:val="center"/>
          </w:tcPr>
          <w:p>
            <w:pPr>
              <w:pStyle w:val="TableContents"/>
              <w:bidi w:val="0"/>
              <w:spacing w:before="0" w:after="283"/>
              <w:jc w:val="left"/>
              <w:rPr>
                <w:b/>
                <w:sz w:val="20"/>
              </w:rPr>
            </w:pPr>
            <w:r>
              <w:rPr>
                <w:b/>
                <w:sz w:val="20"/>
              </w:rPr>
              <w:t>Non-GAAP Net income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(4,901</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(8,357</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9,609</w:t>
            </w:r>
          </w:p>
        </w:tc>
        <w:tc>
          <w:tcPr>
            <w:tcW w:w="20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b/>
                <w:sz w:val="20"/>
              </w:rPr>
            </w:pPr>
            <w:r>
              <w:rPr>
                <w:b/>
                <w:sz w:val="20"/>
              </w:rPr>
              <w:t>GAAP Diluted earnings (loss) per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(0.15</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(0.20</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(0.06</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6290" w:type="dxa"/>
            <w:tcBorders/>
            <w:shd w:fill="CCEEFF" w:val="clear"/>
            <w:vAlign w:val="center"/>
          </w:tcPr>
          <w:p>
            <w:pPr>
              <w:pStyle w:val="TableContents"/>
              <w:bidi w:val="0"/>
              <w:spacing w:before="0" w:after="283"/>
              <w:jc w:val="left"/>
              <w:rPr>
                <w:sz w:val="20"/>
              </w:rPr>
            </w:pPr>
            <w:r>
              <w:rPr>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0.03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0.03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0.02</w:t>
            </w:r>
          </w:p>
        </w:tc>
        <w:tc>
          <w:tcPr>
            <w:tcW w:w="20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sz w:val="20"/>
              </w:rPr>
            </w:pPr>
            <w:r>
              <w:rPr>
                <w:sz w:val="20"/>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0.05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0.06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0.06</w:t>
            </w:r>
          </w:p>
        </w:tc>
        <w:tc>
          <w:tcPr>
            <w:tcW w:w="20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sz w:val="20"/>
              </w:rPr>
            </w:pPr>
            <w:r>
              <w:rPr>
                <w:sz w:val="20"/>
              </w:rPr>
              <w:t>Litigation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r>
              <w:rPr>
                <w:sz w:val="20"/>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0.01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0.01</w:t>
            </w:r>
          </w:p>
        </w:tc>
        <w:tc>
          <w:tcPr>
            <w:tcW w:w="20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sz w:val="20"/>
              </w:rPr>
            </w:pPr>
            <w:r>
              <w:rPr>
                <w:sz w:val="20"/>
              </w:rPr>
              <w:t>Acquisition-, disposal- and integration-related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0.02</w:t>
            </w:r>
          </w:p>
        </w:tc>
        <w:tc>
          <w:tcPr>
            <w:tcW w:w="20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sz w:val="20"/>
              </w:rPr>
            </w:pPr>
            <w:r>
              <w:rPr>
                <w:sz w:val="20"/>
              </w:rPr>
              <w:t>Restructuring and related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0.03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0.01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0.01</w:t>
            </w:r>
          </w:p>
        </w:tc>
        <w:tc>
          <w:tcPr>
            <w:tcW w:w="20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sz w:val="20"/>
              </w:rPr>
            </w:pPr>
            <w:r>
              <w:rPr>
                <w:sz w:val="20"/>
              </w:rPr>
              <w:t>Preferred stock and warrant liability mark-to-market adjustment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r>
              <w:rPr>
                <w:sz w:val="20"/>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(0.01</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r>
              <w:rPr>
                <w:sz w:val="20"/>
              </w:rPr>
              <w:t>* </w:t>
            </w:r>
          </w:p>
        </w:tc>
        <w:tc>
          <w:tcPr>
            <w:tcW w:w="20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sz w:val="20"/>
              </w:rPr>
            </w:pPr>
            <w:r>
              <w:rPr>
                <w:sz w:val="20"/>
              </w:rPr>
              <w:t>Tax effect of non-GAAP adjustments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0.01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0.05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(0.01</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6290" w:type="dxa"/>
            <w:tcBorders/>
            <w:shd w:fill="FFFFFF" w:val="clear"/>
            <w:vAlign w:val="center"/>
          </w:tcPr>
          <w:p>
            <w:pPr>
              <w:pStyle w:val="TableContents"/>
              <w:bidi w:val="0"/>
              <w:spacing w:before="0" w:after="283"/>
              <w:jc w:val="left"/>
              <w:rPr>
                <w:b/>
                <w:sz w:val="20"/>
              </w:rPr>
            </w:pPr>
            <w:r>
              <w:rPr>
                <w:b/>
                <w:sz w:val="20"/>
              </w:rPr>
              <w:t>Non-GAAP Diluted earnings (loss) per share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(0.03</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(0.05</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0.05</w:t>
            </w:r>
          </w:p>
        </w:tc>
        <w:tc>
          <w:tcPr>
            <w:tcW w:w="20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b/>
                <w:sz w:val="20"/>
              </w:rPr>
            </w:pPr>
            <w:r>
              <w:rPr>
                <w:b/>
                <w:sz w:val="20"/>
              </w:rPr>
              <w:t>Weighted average shares used to compute diluted earnings (loss) per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Shares used to compute </w:t>
            </w:r>
            <w:r>
              <w:rPr>
                <w:rFonts w:ascii="Times New Roman;Times;Serif" w:hAnsi="Times New Roman;Times;Serif"/>
                <w:b/>
                <w:i w:val="false"/>
                <w:caps w:val="false"/>
                <w:smallCaps w:val="false"/>
                <w:sz w:val="20"/>
              </w:rPr>
              <w:t xml:space="preserve">GAAP </w:t>
            </w:r>
            <w:r>
              <w:rPr>
                <w:rFonts w:ascii="Times New Roman;Times;Serif" w:hAnsi="Times New Roman;Times;Serif"/>
                <w:b w:val="false"/>
                <w:i w:val="false"/>
                <w:caps w:val="false"/>
                <w:smallCaps w:val="false"/>
                <w:sz w:val="20"/>
              </w:rPr>
              <w:t>diluted earnings (loss) per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177,251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175,661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176,749</w:t>
            </w:r>
          </w:p>
        </w:tc>
        <w:tc>
          <w:tcPr>
            <w:tcW w:w="20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Shares used to compute </w:t>
            </w:r>
            <w:r>
              <w:rPr>
                <w:rFonts w:ascii="Times New Roman;Times;Serif" w:hAnsi="Times New Roman;Times;Serif"/>
                <w:b/>
                <w:i w:val="false"/>
                <w:caps w:val="false"/>
                <w:smallCaps w:val="false"/>
                <w:sz w:val="20"/>
              </w:rPr>
              <w:t>Non-GAAP</w:t>
            </w:r>
            <w:r>
              <w:rPr>
                <w:b/>
                <w:i w:val="false"/>
                <w:caps w:val="false"/>
                <w:smallCaps w:val="false"/>
                <w:sz w:val="20"/>
              </w:rPr>
              <w:t xml:space="preserve"> </w:t>
            </w:r>
            <w:r>
              <w:rPr>
                <w:rFonts w:ascii="Times New Roman;Times;Serif" w:hAnsi="Times New Roman;Times;Serif"/>
                <w:b w:val="false"/>
                <w:i w:val="false"/>
                <w:caps w:val="false"/>
                <w:smallCaps w:val="false"/>
                <w:sz w:val="20"/>
              </w:rPr>
              <w:t>diluted earnings (loss) per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177,251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175,661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179,884</w:t>
            </w:r>
          </w:p>
        </w:tc>
        <w:tc>
          <w:tcPr>
            <w:tcW w:w="20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b/>
                <w:sz w:val="20"/>
              </w:rPr>
            </w:pPr>
            <w:r>
              <w:rPr>
                <w:b/>
                <w:sz w:val="20"/>
              </w:rPr>
              <w:t>GAAP Income (loss) from operations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(12,219</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(31,695</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4,226</w:t>
            </w:r>
          </w:p>
        </w:tc>
        <w:tc>
          <w:tcPr>
            <w:tcW w:w="20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sz w:val="20"/>
              </w:rPr>
            </w:pPr>
            <w:r>
              <w:rPr>
                <w:sz w:val="20"/>
              </w:rPr>
              <w:t>Depreciation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4,671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4,460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4,288</w:t>
            </w:r>
          </w:p>
        </w:tc>
        <w:tc>
          <w:tcPr>
            <w:tcW w:w="20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sz w:val="20"/>
              </w:rPr>
            </w:pPr>
            <w:r>
              <w:rPr>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4,829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5,957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4,477</w:t>
            </w:r>
          </w:p>
        </w:tc>
        <w:tc>
          <w:tcPr>
            <w:tcW w:w="20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sz w:val="20"/>
              </w:rPr>
            </w:pPr>
            <w:r>
              <w:rPr>
                <w:sz w:val="20"/>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9,849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10,218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11,252</w:t>
            </w:r>
          </w:p>
        </w:tc>
        <w:tc>
          <w:tcPr>
            <w:tcW w:w="20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sz w:val="20"/>
              </w:rPr>
            </w:pPr>
            <w:r>
              <w:rPr>
                <w:sz w:val="20"/>
              </w:rPr>
              <w:t>Litigation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302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744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2,314</w:t>
            </w:r>
          </w:p>
        </w:tc>
        <w:tc>
          <w:tcPr>
            <w:tcW w:w="20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sz w:val="20"/>
              </w:rPr>
            </w:pPr>
            <w:r>
              <w:rPr>
                <w:sz w:val="20"/>
              </w:rPr>
              <w:t>Acquisition-, disposal- and integration-related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3,898</w:t>
            </w:r>
          </w:p>
        </w:tc>
        <w:tc>
          <w:tcPr>
            <w:tcW w:w="20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sz w:val="20"/>
              </w:rPr>
            </w:pPr>
            <w:r>
              <w:rPr>
                <w:sz w:val="20"/>
              </w:rPr>
              <w:t>Restructuring and related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4,442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2,038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1,346</w:t>
            </w:r>
          </w:p>
        </w:tc>
        <w:tc>
          <w:tcPr>
            <w:tcW w:w="20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b/>
                <w:sz w:val="20"/>
              </w:rPr>
            </w:pPr>
            <w:r>
              <w:rPr>
                <w:b/>
                <w:sz w:val="20"/>
              </w:rPr>
              <w:t>Non-GAAP Adjusted EBITDA</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11,874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(8,278</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31,801</w:t>
            </w:r>
          </w:p>
        </w:tc>
        <w:tc>
          <w:tcPr>
            <w:tcW w:w="20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sz w:val="20"/>
              </w:rPr>
            </w:pPr>
            <w:r>
              <w:rPr>
                <w:sz w:val="20"/>
              </w:rPr>
              <w:t>* Less than $0.01 impact on earnings (loss) per share.</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33550" cy="4953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733550" cy="4953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899" w:type="dxa"/>
        <w:jc w:val="left"/>
        <w:tblInd w:w="0" w:type="dxa"/>
        <w:tblLayout w:type="fixed"/>
        <w:tblCellMar>
          <w:top w:w="0" w:type="dxa"/>
          <w:left w:w="0" w:type="dxa"/>
          <w:bottom w:w="0" w:type="dxa"/>
          <w:right w:w="0" w:type="dxa"/>
        </w:tblCellMar>
      </w:tblPr>
      <w:tblGrid>
        <w:gridCol w:w="5770"/>
        <w:gridCol w:w="129"/>
      </w:tblGrid>
      <w:tr>
        <w:trPr/>
        <w:tc>
          <w:tcPr>
            <w:tcW w:w="5899" w:type="dxa"/>
            <w:gridSpan w:val="2"/>
            <w:tcBorders/>
            <w:vAlign w:val="center"/>
          </w:tcPr>
          <w:p>
            <w:pPr>
              <w:pStyle w:val="TableContents"/>
              <w:bidi w:val="0"/>
              <w:spacing w:before="0" w:after="283"/>
              <w:jc w:val="center"/>
              <w:rPr/>
            </w:pPr>
            <w:r>
              <w:rPr/>
              <w:t>RIBBON COMMUNICATIONS INC.</w:t>
            </w:r>
          </w:p>
        </w:tc>
      </w:tr>
      <w:tr>
        <w:trPr/>
        <w:tc>
          <w:tcPr>
            <w:tcW w:w="5899" w:type="dxa"/>
            <w:gridSpan w:val="2"/>
            <w:tcBorders/>
            <w:vAlign w:val="center"/>
          </w:tcPr>
          <w:p>
            <w:pPr>
              <w:pStyle w:val="TableContents"/>
              <w:bidi w:val="0"/>
              <w:spacing w:before="0" w:after="283"/>
              <w:jc w:val="center"/>
              <w:rPr/>
            </w:pPr>
            <w:r>
              <w:rPr/>
              <w:t>Reconciliation of Non-GAAP and GAAP Financial Measures</w:t>
            </w:r>
          </w:p>
        </w:tc>
      </w:tr>
      <w:tr>
        <w:trPr/>
        <w:tc>
          <w:tcPr>
            <w:tcW w:w="5899" w:type="dxa"/>
            <w:gridSpan w:val="2"/>
            <w:tcBorders/>
            <w:vAlign w:val="center"/>
          </w:tcPr>
          <w:p>
            <w:pPr>
              <w:pStyle w:val="TableContents"/>
              <w:bidi w:val="0"/>
              <w:spacing w:before="0" w:after="283"/>
              <w:jc w:val="center"/>
              <w:rPr/>
            </w:pPr>
            <w:r>
              <w:rPr/>
              <w:t>(in thousands, except per share amounts)</w:t>
            </w:r>
          </w:p>
        </w:tc>
      </w:tr>
      <w:tr>
        <w:trPr/>
        <w:tc>
          <w:tcPr>
            <w:tcW w:w="5770" w:type="dxa"/>
            <w:tcBorders/>
            <w:vAlign w:val="center"/>
          </w:tcPr>
          <w:p>
            <w:pPr>
              <w:pStyle w:val="TableContents"/>
              <w:bidi w:val="0"/>
              <w:spacing w:before="0" w:after="283"/>
              <w:jc w:val="center"/>
              <w:rPr/>
            </w:pPr>
            <w:r>
              <w:rPr/>
              <w:t>(unaudited)</w:t>
            </w:r>
          </w:p>
        </w:tc>
        <w:tc>
          <w:tcPr>
            <w:tcW w:w="129"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tbl>
      <w:tblPr>
        <w:tblW w:w="8435" w:type="dxa"/>
        <w:jc w:val="left"/>
        <w:tblInd w:w="0" w:type="dxa"/>
        <w:tblLayout w:type="fixed"/>
        <w:tblCellMar>
          <w:top w:w="0" w:type="dxa"/>
          <w:left w:w="0" w:type="dxa"/>
          <w:bottom w:w="0" w:type="dxa"/>
          <w:right w:w="0" w:type="dxa"/>
        </w:tblCellMar>
      </w:tblPr>
      <w:tblGrid>
        <w:gridCol w:w="6290"/>
        <w:gridCol w:w="60"/>
        <w:gridCol w:w="125"/>
        <w:gridCol w:w="695"/>
        <w:gridCol w:w="185"/>
        <w:gridCol w:w="60"/>
        <w:gridCol w:w="125"/>
        <w:gridCol w:w="695"/>
        <w:gridCol w:w="200"/>
      </w:tblGrid>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5" w:type="dxa"/>
            <w:gridSpan w:val="6"/>
            <w:tcBorders>
              <w:bottom w:val="single" w:sz="8" w:space="0" w:color="000000"/>
            </w:tcBorders>
            <w:tcMar>
              <w:bottom w:w="28" w:type="dxa"/>
            </w:tcMar>
            <w:vAlign w:val="center"/>
          </w:tcPr>
          <w:p>
            <w:pPr>
              <w:pStyle w:val="TableContents"/>
              <w:bidi w:val="0"/>
              <w:spacing w:before="0" w:after="283"/>
              <w:jc w:val="center"/>
              <w:rPr>
                <w:sz w:val="20"/>
              </w:rPr>
            </w:pPr>
            <w:r>
              <w:rPr>
                <w:sz w:val="20"/>
              </w:rPr>
              <w:t>Six months ended</w:t>
            </w:r>
          </w:p>
        </w:tc>
        <w:tc>
          <w:tcPr>
            <w:tcW w:w="200" w:type="dxa"/>
            <w:tcBorders/>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sz w:val="20"/>
              </w:rPr>
            </w:pPr>
            <w:r>
              <w:rPr>
                <w:sz w:val="20"/>
              </w:rPr>
              <w:t>June 30,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sz w:val="20"/>
              </w:rPr>
            </w:pPr>
            <w:r>
              <w:rPr>
                <w:sz w:val="20"/>
              </w:rPr>
              <w:t>June 30,</w:t>
            </w:r>
          </w:p>
        </w:tc>
        <w:tc>
          <w:tcPr>
            <w:tcW w:w="200" w:type="dxa"/>
            <w:tcBorders/>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2025</w:t>
            </w:r>
          </w:p>
        </w:tc>
        <w:tc>
          <w:tcPr>
            <w:tcW w:w="200" w:type="dxa"/>
            <w:tcBorders/>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b/>
                <w:sz w:val="20"/>
              </w:rPr>
            </w:pPr>
            <w:r>
              <w:rPr>
                <w:b/>
                <w:sz w:val="20"/>
              </w:rPr>
              <w:t>GAAP Gross Margin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45.1</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47.7</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6290" w:type="dxa"/>
            <w:tcBorders/>
            <w:shd w:fill="FFFFFF" w:val="clear"/>
            <w:vAlign w:val="center"/>
          </w:tcPr>
          <w:p>
            <w:pPr>
              <w:pStyle w:val="TableContents"/>
              <w:bidi w:val="0"/>
              <w:spacing w:before="0" w:after="283"/>
              <w:jc w:val="left"/>
              <w:rPr>
                <w:sz w:val="20"/>
              </w:rPr>
            </w:pPr>
            <w:r>
              <w:rPr>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0.1</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0.1</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6290" w:type="dxa"/>
            <w:tcBorders/>
            <w:shd w:fill="CCEEFF" w:val="clear"/>
            <w:vAlign w:val="center"/>
          </w:tcPr>
          <w:p>
            <w:pPr>
              <w:pStyle w:val="TableContents"/>
              <w:bidi w:val="0"/>
              <w:spacing w:before="0" w:after="283"/>
              <w:jc w:val="left"/>
              <w:rPr>
                <w:sz w:val="20"/>
              </w:rPr>
            </w:pPr>
            <w:r>
              <w:rPr>
                <w:sz w:val="20"/>
              </w:rPr>
              <w:t>Amortization of acquired technology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2.5</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2.7</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6290" w:type="dxa"/>
            <w:tcBorders/>
            <w:shd w:fill="FFFFFF" w:val="clear"/>
            <w:vAlign w:val="center"/>
          </w:tcPr>
          <w:p>
            <w:pPr>
              <w:pStyle w:val="TableContents"/>
              <w:bidi w:val="0"/>
              <w:spacing w:before="0" w:after="283"/>
              <w:jc w:val="left"/>
              <w:rPr>
                <w:b/>
                <w:sz w:val="20"/>
              </w:rPr>
            </w:pPr>
            <w:r>
              <w:rPr>
                <w:b/>
                <w:sz w:val="20"/>
              </w:rPr>
              <w:t>Non-GAAP Gross Margin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47.7</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50.5</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6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b/>
                <w:sz w:val="20"/>
              </w:rPr>
            </w:pPr>
            <w:r>
              <w:rPr>
                <w:b/>
                <w:sz w:val="20"/>
              </w:rPr>
              <w:t>GAAP Net income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(61,360</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(37,320</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6290" w:type="dxa"/>
            <w:tcBorders/>
            <w:shd w:fill="CCEEFF" w:val="clear"/>
            <w:vAlign w:val="center"/>
          </w:tcPr>
          <w:p>
            <w:pPr>
              <w:pStyle w:val="TableContents"/>
              <w:bidi w:val="0"/>
              <w:spacing w:before="0" w:after="283"/>
              <w:jc w:val="left"/>
              <w:rPr>
                <w:sz w:val="20"/>
              </w:rPr>
            </w:pPr>
            <w:r>
              <w:rPr>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10,786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8,775</w:t>
            </w:r>
          </w:p>
        </w:tc>
        <w:tc>
          <w:tcPr>
            <w:tcW w:w="20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sz w:val="20"/>
              </w:rPr>
            </w:pPr>
            <w:r>
              <w:rPr>
                <w:sz w:val="20"/>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20,067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22,795</w:t>
            </w:r>
          </w:p>
        </w:tc>
        <w:tc>
          <w:tcPr>
            <w:tcW w:w="20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sz w:val="20"/>
              </w:rPr>
            </w:pPr>
            <w:r>
              <w:rPr>
                <w:sz w:val="20"/>
              </w:rPr>
              <w:t>Litigation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1,046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3,114</w:t>
            </w:r>
          </w:p>
        </w:tc>
        <w:tc>
          <w:tcPr>
            <w:tcW w:w="20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sz w:val="20"/>
              </w:rPr>
            </w:pPr>
            <w:r>
              <w:rPr>
                <w:sz w:val="20"/>
              </w:rPr>
              <w:t>Acquisition-, disposal- and integration-related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3,898</w:t>
            </w:r>
          </w:p>
        </w:tc>
        <w:tc>
          <w:tcPr>
            <w:tcW w:w="20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sz w:val="20"/>
              </w:rPr>
            </w:pPr>
            <w:r>
              <w:rPr>
                <w:sz w:val="20"/>
              </w:rPr>
              <w:t>Restructuring and related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6,480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6,687</w:t>
            </w:r>
          </w:p>
        </w:tc>
        <w:tc>
          <w:tcPr>
            <w:tcW w:w="20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sz w:val="20"/>
              </w:rPr>
            </w:pPr>
            <w:r>
              <w:rPr>
                <w:sz w:val="20"/>
              </w:rPr>
              <w:t>Preferred stock and warrant liability mark-to-market adjustment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(912</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(1,641</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6290" w:type="dxa"/>
            <w:tcBorders/>
            <w:shd w:fill="CCEEFF" w:val="clear"/>
            <w:vAlign w:val="center"/>
          </w:tcPr>
          <w:p>
            <w:pPr>
              <w:pStyle w:val="TableContents"/>
              <w:bidi w:val="0"/>
              <w:spacing w:before="0" w:after="283"/>
              <w:jc w:val="left"/>
              <w:rPr>
                <w:sz w:val="20"/>
              </w:rPr>
            </w:pPr>
            <w:r>
              <w:rPr>
                <w:sz w:val="20"/>
              </w:rPr>
              <w:t>Tax effect of non-GAAP adjustments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10,635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(1,278</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6290" w:type="dxa"/>
            <w:tcBorders/>
            <w:shd w:fill="FFFFFF" w:val="clear"/>
            <w:vAlign w:val="center"/>
          </w:tcPr>
          <w:p>
            <w:pPr>
              <w:pStyle w:val="TableContents"/>
              <w:bidi w:val="0"/>
              <w:spacing w:before="0" w:after="283"/>
              <w:jc w:val="left"/>
              <w:rPr>
                <w:b/>
                <w:sz w:val="20"/>
              </w:rPr>
            </w:pPr>
            <w:r>
              <w:rPr>
                <w:b/>
                <w:sz w:val="20"/>
              </w:rPr>
              <w:t>Non-GAAP Net income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(13,258</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5,030</w:t>
            </w:r>
          </w:p>
        </w:tc>
        <w:tc>
          <w:tcPr>
            <w:tcW w:w="20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b/>
                <w:sz w:val="20"/>
              </w:rPr>
            </w:pPr>
            <w:r>
              <w:rPr>
                <w:b/>
                <w:sz w:val="20"/>
              </w:rPr>
              <w:t>GAAP Diluted earnings (loss) per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(0.35</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(0.21</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6290" w:type="dxa"/>
            <w:tcBorders/>
            <w:shd w:fill="CCEEFF" w:val="clear"/>
            <w:vAlign w:val="center"/>
          </w:tcPr>
          <w:p>
            <w:pPr>
              <w:pStyle w:val="TableContents"/>
              <w:bidi w:val="0"/>
              <w:spacing w:before="0" w:after="283"/>
              <w:jc w:val="left"/>
              <w:rPr>
                <w:sz w:val="20"/>
              </w:rPr>
            </w:pPr>
            <w:r>
              <w:rPr>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0.06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0.05</w:t>
            </w:r>
          </w:p>
        </w:tc>
        <w:tc>
          <w:tcPr>
            <w:tcW w:w="20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sz w:val="20"/>
              </w:rPr>
            </w:pPr>
            <w:r>
              <w:rPr>
                <w:sz w:val="20"/>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0.11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0.13</w:t>
            </w:r>
          </w:p>
        </w:tc>
        <w:tc>
          <w:tcPr>
            <w:tcW w:w="20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sz w:val="20"/>
              </w:rPr>
            </w:pPr>
            <w:r>
              <w:rPr>
                <w:sz w:val="20"/>
              </w:rPr>
              <w:t>Litigation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0.01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0.02</w:t>
            </w:r>
          </w:p>
        </w:tc>
        <w:tc>
          <w:tcPr>
            <w:tcW w:w="20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sz w:val="20"/>
              </w:rPr>
            </w:pPr>
            <w:r>
              <w:rPr>
                <w:sz w:val="20"/>
              </w:rPr>
              <w:t>Acquisition-, disposal- and integration-related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0.02</w:t>
            </w:r>
          </w:p>
        </w:tc>
        <w:tc>
          <w:tcPr>
            <w:tcW w:w="20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sz w:val="20"/>
              </w:rPr>
            </w:pPr>
            <w:r>
              <w:rPr>
                <w:sz w:val="20"/>
              </w:rPr>
              <w:t>Restructuring and related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0.04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0.04</w:t>
            </w:r>
          </w:p>
        </w:tc>
        <w:tc>
          <w:tcPr>
            <w:tcW w:w="20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sz w:val="20"/>
              </w:rPr>
            </w:pPr>
            <w:r>
              <w:rPr>
                <w:sz w:val="20"/>
              </w:rPr>
              <w:t>Preferred stock and warrant liability mark-to-market adjustment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(0.01</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(0.01</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6290" w:type="dxa"/>
            <w:tcBorders/>
            <w:shd w:fill="CCEEFF" w:val="clear"/>
            <w:vAlign w:val="center"/>
          </w:tcPr>
          <w:p>
            <w:pPr>
              <w:pStyle w:val="TableContents"/>
              <w:bidi w:val="0"/>
              <w:spacing w:before="0" w:after="283"/>
              <w:jc w:val="left"/>
              <w:rPr>
                <w:sz w:val="20"/>
              </w:rPr>
            </w:pPr>
            <w:r>
              <w:rPr>
                <w:sz w:val="20"/>
              </w:rPr>
              <w:t>Tax effect of non-GAAP adjustments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0.06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(0.01</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6290" w:type="dxa"/>
            <w:tcBorders/>
            <w:shd w:fill="FFFFFF" w:val="clear"/>
            <w:vAlign w:val="center"/>
          </w:tcPr>
          <w:p>
            <w:pPr>
              <w:pStyle w:val="TableContents"/>
              <w:bidi w:val="0"/>
              <w:spacing w:before="0" w:after="283"/>
              <w:jc w:val="left"/>
              <w:rPr>
                <w:b/>
                <w:sz w:val="20"/>
              </w:rPr>
            </w:pPr>
            <w:r>
              <w:rPr>
                <w:b/>
                <w:sz w:val="20"/>
              </w:rPr>
              <w:t>Non-GAAP Diluted earnings (loss) per share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(0.08</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0.03</w:t>
            </w:r>
          </w:p>
        </w:tc>
        <w:tc>
          <w:tcPr>
            <w:tcW w:w="20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b/>
                <w:sz w:val="20"/>
              </w:rPr>
            </w:pPr>
            <w:r>
              <w:rPr>
                <w:b/>
                <w:sz w:val="20"/>
              </w:rPr>
              <w:t>Weighted average shares used to compute diluted earnings (loss) per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Shares used to compute </w:t>
            </w:r>
            <w:r>
              <w:rPr>
                <w:rFonts w:ascii="Times New Roman;Times;Serif" w:hAnsi="Times New Roman;Times;Serif"/>
                <w:b/>
                <w:i w:val="false"/>
                <w:caps w:val="false"/>
                <w:smallCaps w:val="false"/>
                <w:sz w:val="20"/>
              </w:rPr>
              <w:t xml:space="preserve">GAAP </w:t>
            </w:r>
            <w:r>
              <w:rPr>
                <w:rFonts w:ascii="Times New Roman;Times;Serif" w:hAnsi="Times New Roman;Times;Serif"/>
                <w:b w:val="false"/>
                <w:i w:val="false"/>
                <w:caps w:val="false"/>
                <w:smallCaps w:val="false"/>
                <w:sz w:val="20"/>
              </w:rPr>
              <w:t>diluted earnings (loss) per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176,460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176,237</w:t>
            </w:r>
          </w:p>
        </w:tc>
        <w:tc>
          <w:tcPr>
            <w:tcW w:w="20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Shares used to compute </w:t>
            </w:r>
            <w:r>
              <w:rPr>
                <w:rFonts w:ascii="Times New Roman;Times;Serif" w:hAnsi="Times New Roman;Times;Serif"/>
                <w:b/>
                <w:i w:val="false"/>
                <w:caps w:val="false"/>
                <w:smallCaps w:val="false"/>
                <w:sz w:val="20"/>
              </w:rPr>
              <w:t>Non-GAAP</w:t>
            </w:r>
            <w:r>
              <w:rPr>
                <w:b/>
                <w:i w:val="false"/>
                <w:caps w:val="false"/>
                <w:smallCaps w:val="false"/>
                <w:sz w:val="20"/>
              </w:rPr>
              <w:t xml:space="preserve"> </w:t>
            </w:r>
            <w:r>
              <w:rPr>
                <w:rFonts w:ascii="Times New Roman;Times;Serif" w:hAnsi="Times New Roman;Times;Serif"/>
                <w:b w:val="false"/>
                <w:i w:val="false"/>
                <w:caps w:val="false"/>
                <w:smallCaps w:val="false"/>
                <w:sz w:val="20"/>
              </w:rPr>
              <w:t>diluted earnings (loss) per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176,460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180,231</w:t>
            </w:r>
          </w:p>
        </w:tc>
        <w:tc>
          <w:tcPr>
            <w:tcW w:w="20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b/>
                <w:sz w:val="20"/>
              </w:rPr>
            </w:pPr>
            <w:r>
              <w:rPr>
                <w:b/>
                <w:sz w:val="20"/>
              </w:rPr>
              <w:t>GAAP Income (loss) from operations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(43,914</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(15,384</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6290" w:type="dxa"/>
            <w:tcBorders/>
            <w:shd w:fill="CCEEFF" w:val="clear"/>
            <w:vAlign w:val="center"/>
          </w:tcPr>
          <w:p>
            <w:pPr>
              <w:pStyle w:val="TableContents"/>
              <w:bidi w:val="0"/>
              <w:spacing w:before="0" w:after="283"/>
              <w:jc w:val="left"/>
              <w:rPr>
                <w:sz w:val="20"/>
              </w:rPr>
            </w:pPr>
            <w:r>
              <w:rPr>
                <w:sz w:val="20"/>
              </w:rPr>
              <w:t>Depreciation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9,131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7,757</w:t>
            </w:r>
          </w:p>
        </w:tc>
        <w:tc>
          <w:tcPr>
            <w:tcW w:w="20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sz w:val="20"/>
              </w:rPr>
            </w:pPr>
            <w:r>
              <w:rPr>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10,786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8,775</w:t>
            </w:r>
          </w:p>
        </w:tc>
        <w:tc>
          <w:tcPr>
            <w:tcW w:w="20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sz w:val="20"/>
              </w:rPr>
            </w:pPr>
            <w:r>
              <w:rPr>
                <w:sz w:val="20"/>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20,067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22,795</w:t>
            </w:r>
          </w:p>
        </w:tc>
        <w:tc>
          <w:tcPr>
            <w:tcW w:w="20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sz w:val="20"/>
              </w:rPr>
            </w:pPr>
            <w:r>
              <w:rPr>
                <w:sz w:val="20"/>
              </w:rPr>
              <w:t>Litigation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1,046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3,114</w:t>
            </w:r>
          </w:p>
        </w:tc>
        <w:tc>
          <w:tcPr>
            <w:tcW w:w="20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sz w:val="20"/>
              </w:rPr>
            </w:pPr>
            <w:r>
              <w:rPr>
                <w:sz w:val="20"/>
              </w:rPr>
              <w:t>Acquisition-, disposal- and integration-related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3,898</w:t>
            </w:r>
          </w:p>
        </w:tc>
        <w:tc>
          <w:tcPr>
            <w:tcW w:w="20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sz w:val="20"/>
              </w:rPr>
            </w:pPr>
            <w:r>
              <w:rPr>
                <w:sz w:val="20"/>
              </w:rPr>
              <w:t>Restructuring and related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6,480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6,687</w:t>
            </w:r>
          </w:p>
        </w:tc>
        <w:tc>
          <w:tcPr>
            <w:tcW w:w="20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b/>
                <w:sz w:val="20"/>
              </w:rPr>
            </w:pPr>
            <w:r>
              <w:rPr>
                <w:b/>
                <w:sz w:val="20"/>
              </w:rPr>
              <w:t>Non-GAAP Adjusted EBITDA</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3,596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37,642</w:t>
            </w:r>
          </w:p>
        </w:tc>
        <w:tc>
          <w:tcPr>
            <w:tcW w:w="20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33550" cy="4953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733550" cy="4953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899" w:type="dxa"/>
        <w:jc w:val="left"/>
        <w:tblInd w:w="0" w:type="dxa"/>
        <w:tblLayout w:type="fixed"/>
        <w:tblCellMar>
          <w:top w:w="0" w:type="dxa"/>
          <w:left w:w="0" w:type="dxa"/>
          <w:bottom w:w="0" w:type="dxa"/>
          <w:right w:w="0" w:type="dxa"/>
        </w:tblCellMar>
      </w:tblPr>
      <w:tblGrid>
        <w:gridCol w:w="5770"/>
        <w:gridCol w:w="129"/>
      </w:tblGrid>
      <w:tr>
        <w:trPr/>
        <w:tc>
          <w:tcPr>
            <w:tcW w:w="5899" w:type="dxa"/>
            <w:gridSpan w:val="2"/>
            <w:tcBorders/>
            <w:vAlign w:val="center"/>
          </w:tcPr>
          <w:p>
            <w:pPr>
              <w:pStyle w:val="TableContents"/>
              <w:bidi w:val="0"/>
              <w:spacing w:before="0" w:after="283"/>
              <w:jc w:val="center"/>
              <w:rPr/>
            </w:pPr>
            <w:r>
              <w:rPr/>
              <w:t>RIBBON COMMUNICATIONS INC.</w:t>
            </w:r>
          </w:p>
        </w:tc>
      </w:tr>
      <w:tr>
        <w:trPr/>
        <w:tc>
          <w:tcPr>
            <w:tcW w:w="5899" w:type="dxa"/>
            <w:gridSpan w:val="2"/>
            <w:tcBorders/>
            <w:vAlign w:val="center"/>
          </w:tcPr>
          <w:p>
            <w:pPr>
              <w:pStyle w:val="TableContents"/>
              <w:bidi w:val="0"/>
              <w:spacing w:before="0" w:after="283"/>
              <w:jc w:val="center"/>
              <w:rPr/>
            </w:pPr>
            <w:r>
              <w:rPr/>
              <w:t>Reconciliation of Non-GAAP and GAAP Financial Measures</w:t>
            </w:r>
          </w:p>
        </w:tc>
      </w:tr>
      <w:tr>
        <w:trPr/>
        <w:tc>
          <w:tcPr>
            <w:tcW w:w="5899" w:type="dxa"/>
            <w:gridSpan w:val="2"/>
            <w:tcBorders/>
            <w:vAlign w:val="center"/>
          </w:tcPr>
          <w:p>
            <w:pPr>
              <w:pStyle w:val="TableContents"/>
              <w:bidi w:val="0"/>
              <w:spacing w:before="0" w:after="283"/>
              <w:jc w:val="center"/>
              <w:rPr/>
            </w:pPr>
            <w:r>
              <w:rPr/>
              <w:t>(in thousands)</w:t>
            </w:r>
          </w:p>
        </w:tc>
      </w:tr>
      <w:tr>
        <w:trPr/>
        <w:tc>
          <w:tcPr>
            <w:tcW w:w="5770" w:type="dxa"/>
            <w:tcBorders/>
            <w:vAlign w:val="center"/>
          </w:tcPr>
          <w:p>
            <w:pPr>
              <w:pStyle w:val="TableContents"/>
              <w:bidi w:val="0"/>
              <w:spacing w:before="0" w:after="283"/>
              <w:jc w:val="center"/>
              <w:rPr/>
            </w:pPr>
            <w:r>
              <w:rPr/>
              <w:t>(unaudited)</w:t>
            </w:r>
          </w:p>
        </w:tc>
        <w:tc>
          <w:tcPr>
            <w:tcW w:w="129"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tbl>
      <w:tblPr>
        <w:tblW w:w="6594" w:type="dxa"/>
        <w:jc w:val="left"/>
        <w:tblInd w:w="0" w:type="dxa"/>
        <w:tblLayout w:type="fixed"/>
        <w:tblCellMar>
          <w:top w:w="0" w:type="dxa"/>
          <w:left w:w="0" w:type="dxa"/>
          <w:bottom w:w="0" w:type="dxa"/>
          <w:right w:w="0" w:type="dxa"/>
        </w:tblCellMar>
      </w:tblPr>
      <w:tblGrid>
        <w:gridCol w:w="3785"/>
        <w:gridCol w:w="60"/>
        <w:gridCol w:w="125"/>
        <w:gridCol w:w="650"/>
        <w:gridCol w:w="80"/>
        <w:gridCol w:w="60"/>
        <w:gridCol w:w="129"/>
        <w:gridCol w:w="670"/>
        <w:gridCol w:w="80"/>
        <w:gridCol w:w="60"/>
        <w:gridCol w:w="125"/>
        <w:gridCol w:w="695"/>
        <w:gridCol w:w="75"/>
      </w:tblGrid>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4" w:type="dxa"/>
            <w:gridSpan w:val="10"/>
            <w:tcBorders>
              <w:bottom w:val="single" w:sz="8" w:space="0" w:color="000000"/>
            </w:tcBorders>
            <w:tcMar>
              <w:bottom w:w="28" w:type="dxa"/>
            </w:tcMar>
            <w:vAlign w:val="center"/>
          </w:tcPr>
          <w:p>
            <w:pPr>
              <w:pStyle w:val="TableContents"/>
              <w:bidi w:val="0"/>
              <w:spacing w:before="0" w:after="283"/>
              <w:jc w:val="center"/>
              <w:rPr>
                <w:sz w:val="20"/>
              </w:rPr>
            </w:pPr>
            <w:r>
              <w:rPr>
                <w:sz w:val="20"/>
              </w:rPr>
              <w:t>Trailing Twelve Months</w:t>
            </w:r>
          </w:p>
        </w:tc>
        <w:tc>
          <w:tcPr>
            <w:tcW w:w="7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center"/>
              <w:rPr>
                <w:sz w:val="20"/>
              </w:rPr>
            </w:pPr>
            <w:r>
              <w:rPr>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9" w:type="dxa"/>
            <w:gridSpan w:val="2"/>
            <w:tcBorders/>
            <w:vAlign w:val="center"/>
          </w:tcPr>
          <w:p>
            <w:pPr>
              <w:pStyle w:val="TableContents"/>
              <w:bidi w:val="0"/>
              <w:spacing w:before="0" w:after="283"/>
              <w:jc w:val="center"/>
              <w:rPr>
                <w:sz w:val="20"/>
              </w:rPr>
            </w:pPr>
            <w:r>
              <w:rPr>
                <w:sz w:val="20"/>
              </w:rPr>
              <w:t>March 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sz w:val="20"/>
              </w:rPr>
            </w:pPr>
            <w:r>
              <w:rPr>
                <w:sz w:val="20"/>
              </w:rPr>
              <w:t>June 30,</w:t>
            </w:r>
          </w:p>
        </w:tc>
        <w:tc>
          <w:tcPr>
            <w:tcW w:w="7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9"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2025</w:t>
            </w:r>
          </w:p>
        </w:tc>
        <w:tc>
          <w:tcPr>
            <w:tcW w:w="75"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b/>
                <w:sz w:val="20"/>
              </w:rPr>
            </w:pPr>
            <w:r>
              <w:rPr>
                <w:b/>
                <w:sz w:val="20"/>
              </w:rPr>
              <w:t>GAAP Income (loss)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50" w:type="dxa"/>
            <w:tcBorders/>
            <w:shd w:fill="CCEEFF" w:val="clear"/>
            <w:vAlign w:val="center"/>
          </w:tcPr>
          <w:p>
            <w:pPr>
              <w:pStyle w:val="TableContents"/>
              <w:bidi w:val="0"/>
              <w:spacing w:before="0" w:after="283"/>
              <w:jc w:val="right"/>
              <w:rPr>
                <w:sz w:val="20"/>
              </w:rPr>
            </w:pPr>
            <w:r>
              <w:rPr>
                <w:sz w:val="20"/>
              </w:rPr>
              <w:t>(31,854</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sz w:val="20"/>
              </w:rPr>
            </w:pPr>
            <w:r>
              <w:rPr>
                <w:sz w:val="20"/>
              </w:rPr>
              <w:t>$</w:t>
            </w:r>
          </w:p>
        </w:tc>
        <w:tc>
          <w:tcPr>
            <w:tcW w:w="670" w:type="dxa"/>
            <w:tcBorders/>
            <w:shd w:fill="CCEEFF" w:val="clear"/>
            <w:vAlign w:val="center"/>
          </w:tcPr>
          <w:p>
            <w:pPr>
              <w:pStyle w:val="TableContents"/>
              <w:bidi w:val="0"/>
              <w:spacing w:before="0" w:after="283"/>
              <w:jc w:val="right"/>
              <w:rPr>
                <w:sz w:val="20"/>
              </w:rPr>
            </w:pPr>
            <w:r>
              <w:rPr>
                <w:sz w:val="20"/>
              </w:rPr>
              <w:t>(15,409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16,909</w:t>
            </w:r>
          </w:p>
        </w:tc>
        <w:tc>
          <w:tcPr>
            <w:tcW w:w="75"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sz w:val="20"/>
              </w:rPr>
            </w:pPr>
            <w:r>
              <w:rPr>
                <w:sz w:val="20"/>
              </w:rPr>
              <w:t>Depreciation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18,102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sz w:val="20"/>
              </w:rPr>
            </w:pPr>
            <w:r>
              <w:rPr>
                <w:sz w:val="20"/>
              </w:rPr>
              <w:t>17,719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14,526</w:t>
            </w:r>
          </w:p>
        </w:tc>
        <w:tc>
          <w:tcPr>
            <w:tcW w:w="75"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sz w:val="20"/>
              </w:rPr>
            </w:pPr>
            <w:r>
              <w:rPr>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21,417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right"/>
              <w:rPr>
                <w:sz w:val="20"/>
              </w:rPr>
            </w:pPr>
            <w:r>
              <w:rPr>
                <w:sz w:val="20"/>
              </w:rPr>
              <w:t>21,065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16,845</w:t>
            </w:r>
          </w:p>
        </w:tc>
        <w:tc>
          <w:tcPr>
            <w:tcW w:w="75"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sz w:val="20"/>
              </w:rPr>
            </w:pPr>
            <w:r>
              <w:rPr>
                <w:sz w:val="20"/>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41,465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sz w:val="20"/>
              </w:rPr>
            </w:pPr>
            <w:r>
              <w:rPr>
                <w:sz w:val="20"/>
              </w:rPr>
              <w:t>42,868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47,360</w:t>
            </w:r>
          </w:p>
        </w:tc>
        <w:tc>
          <w:tcPr>
            <w:tcW w:w="75"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sz w:val="20"/>
              </w:rPr>
            </w:pPr>
            <w:r>
              <w:rPr>
                <w:sz w:val="20"/>
              </w:rPr>
              <w:t>Litigation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2,971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right"/>
              <w:rPr>
                <w:sz w:val="20"/>
              </w:rPr>
            </w:pPr>
            <w:r>
              <w:rPr>
                <w:sz w:val="20"/>
              </w:rPr>
              <w:t>4,983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11,593</w:t>
            </w:r>
          </w:p>
        </w:tc>
        <w:tc>
          <w:tcPr>
            <w:tcW w:w="75"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sz w:val="20"/>
              </w:rPr>
            </w:pPr>
            <w:r>
              <w:rPr>
                <w:sz w:val="20"/>
              </w:rPr>
              <w:t>Cybersecurity incident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600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sz w:val="20"/>
              </w:rPr>
            </w:pPr>
            <w:r>
              <w:rPr>
                <w:sz w:val="20"/>
              </w:rPr>
              <w:t>600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w:t>
            </w:r>
          </w:p>
        </w:tc>
        <w:tc>
          <w:tcPr>
            <w:tcW w:w="75"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sz w:val="20"/>
              </w:rPr>
            </w:pPr>
            <w:r>
              <w:rPr>
                <w:sz w:val="20"/>
              </w:rPr>
              <w:t>Acquisition-, disposal- and integration-related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439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right"/>
              <w:rPr>
                <w:sz w:val="20"/>
              </w:rPr>
            </w:pPr>
            <w:r>
              <w:rPr>
                <w:sz w:val="20"/>
              </w:rPr>
              <w:t>4,337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3,898</w:t>
            </w:r>
          </w:p>
        </w:tc>
        <w:tc>
          <w:tcPr>
            <w:tcW w:w="75"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sz w:val="20"/>
              </w:rPr>
            </w:pPr>
            <w:r>
              <w:rPr>
                <w:sz w:val="20"/>
              </w:rPr>
              <w:t>Restructuring and related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19,451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16,355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11,862</w:t>
            </w:r>
          </w:p>
        </w:tc>
        <w:tc>
          <w:tcPr>
            <w:tcW w:w="75"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b/>
                <w:sz w:val="20"/>
              </w:rPr>
            </w:pPr>
            <w:r>
              <w:rPr>
                <w:b/>
                <w:sz w:val="20"/>
              </w:rPr>
              <w:t>Non-GAAP Adjusted EBITDA</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72,591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7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92,518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122,993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33550" cy="4953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733550" cy="4953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873" w:type="dxa"/>
        <w:jc w:val="left"/>
        <w:tblInd w:w="0" w:type="dxa"/>
        <w:tblLayout w:type="fixed"/>
        <w:tblCellMar>
          <w:top w:w="0" w:type="dxa"/>
          <w:left w:w="0" w:type="dxa"/>
          <w:bottom w:w="0" w:type="dxa"/>
          <w:right w:w="0" w:type="dxa"/>
        </w:tblCellMar>
      </w:tblPr>
      <w:tblGrid>
        <w:gridCol w:w="6723"/>
        <w:gridCol w:w="150"/>
      </w:tblGrid>
      <w:tr>
        <w:trPr/>
        <w:tc>
          <w:tcPr>
            <w:tcW w:w="6873" w:type="dxa"/>
            <w:gridSpan w:val="2"/>
            <w:tcBorders/>
            <w:vAlign w:val="center"/>
          </w:tcPr>
          <w:p>
            <w:pPr>
              <w:pStyle w:val="TableContents"/>
              <w:bidi w:val="0"/>
              <w:spacing w:before="0" w:after="283"/>
              <w:jc w:val="center"/>
              <w:rPr/>
            </w:pPr>
            <w:r>
              <w:rPr/>
              <w:t>RIBBON COMMUNICATIONS INC.</w:t>
            </w:r>
          </w:p>
        </w:tc>
      </w:tr>
      <w:tr>
        <w:trPr/>
        <w:tc>
          <w:tcPr>
            <w:tcW w:w="6873" w:type="dxa"/>
            <w:gridSpan w:val="2"/>
            <w:tcBorders/>
            <w:vAlign w:val="center"/>
          </w:tcPr>
          <w:p>
            <w:pPr>
              <w:pStyle w:val="TableContents"/>
              <w:bidi w:val="0"/>
              <w:spacing w:before="0" w:after="283"/>
              <w:jc w:val="center"/>
              <w:rPr/>
            </w:pPr>
            <w:r>
              <w:rPr/>
              <w:t>Reconciliation of Non-GAAP and GAAP Financial Measures - Outlook</w:t>
            </w:r>
          </w:p>
        </w:tc>
      </w:tr>
      <w:tr>
        <w:trPr/>
        <w:tc>
          <w:tcPr>
            <w:tcW w:w="6723" w:type="dxa"/>
            <w:tcBorders/>
            <w:vAlign w:val="center"/>
          </w:tcPr>
          <w:p>
            <w:pPr>
              <w:pStyle w:val="TableContents"/>
              <w:bidi w:val="0"/>
              <w:spacing w:before="0" w:after="283"/>
              <w:jc w:val="center"/>
              <w:rPr/>
            </w:pPr>
            <w:r>
              <w:rPr/>
              <w:t>(unaudited)</w:t>
            </w:r>
          </w:p>
        </w:tc>
        <w:tc>
          <w:tcPr>
            <w:tcW w:w="150"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tbl>
      <w:tblPr>
        <w:tblW w:w="7746" w:type="dxa"/>
        <w:jc w:val="left"/>
        <w:tblInd w:w="0" w:type="dxa"/>
        <w:tblLayout w:type="fixed"/>
        <w:tblCellMar>
          <w:top w:w="0" w:type="dxa"/>
          <w:left w:w="0" w:type="dxa"/>
          <w:bottom w:w="0" w:type="dxa"/>
          <w:right w:w="0" w:type="dxa"/>
        </w:tblCellMar>
      </w:tblPr>
      <w:tblGrid>
        <w:gridCol w:w="3125"/>
        <w:gridCol w:w="60"/>
        <w:gridCol w:w="214"/>
        <w:gridCol w:w="840"/>
        <w:gridCol w:w="196"/>
        <w:gridCol w:w="63"/>
        <w:gridCol w:w="63"/>
        <w:gridCol w:w="833"/>
        <w:gridCol w:w="60"/>
        <w:gridCol w:w="60"/>
        <w:gridCol w:w="261"/>
        <w:gridCol w:w="793"/>
        <w:gridCol w:w="195"/>
        <w:gridCol w:w="63"/>
        <w:gridCol w:w="63"/>
        <w:gridCol w:w="782"/>
        <w:gridCol w:w="75"/>
      </w:tblGrid>
      <w:tr>
        <w:trPr/>
        <w:tc>
          <w:tcPr>
            <w:tcW w:w="3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09" w:type="dxa"/>
            <w:gridSpan w:val="6"/>
            <w:tcBorders/>
            <w:vAlign w:val="center"/>
          </w:tcPr>
          <w:p>
            <w:pPr>
              <w:pStyle w:val="TableContents"/>
              <w:bidi w:val="0"/>
              <w:spacing w:before="0" w:after="283"/>
              <w:jc w:val="center"/>
              <w:rPr>
                <w:b/>
                <w:sz w:val="20"/>
              </w:rPr>
            </w:pPr>
            <w:r>
              <w:rPr>
                <w:b/>
                <w:sz w:val="20"/>
              </w:rPr>
              <w:t>Three months ending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57" w:type="dxa"/>
            <w:gridSpan w:val="6"/>
            <w:tcBorders/>
            <w:vAlign w:val="center"/>
          </w:tcPr>
          <w:p>
            <w:pPr>
              <w:pStyle w:val="TableContents"/>
              <w:bidi w:val="0"/>
              <w:spacing w:before="0" w:after="283"/>
              <w:jc w:val="center"/>
              <w:rPr>
                <w:b/>
                <w:sz w:val="20"/>
              </w:rPr>
            </w:pPr>
            <w:r>
              <w:rPr>
                <w:b/>
                <w:sz w:val="20"/>
              </w:rPr>
              <w:t>Year ending</w:t>
            </w:r>
          </w:p>
        </w:tc>
        <w:tc>
          <w:tcPr>
            <w:tcW w:w="75" w:type="dxa"/>
            <w:tcBorders/>
            <w:vAlign w:val="center"/>
          </w:tcPr>
          <w:p>
            <w:pPr>
              <w:pStyle w:val="TableContents"/>
              <w:bidi w:val="0"/>
              <w:spacing w:before="0" w:after="283"/>
              <w:jc w:val="center"/>
              <w:rPr/>
            </w:pPr>
            <w:r>
              <w:rPr/>
              <w:t> </w:t>
            </w:r>
          </w:p>
        </w:tc>
      </w:tr>
      <w:tr>
        <w:trPr/>
        <w:tc>
          <w:tcPr>
            <w:tcW w:w="3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09"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September 30, 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57"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December 31, 2026</w:t>
            </w:r>
          </w:p>
        </w:tc>
        <w:tc>
          <w:tcPr>
            <w:tcW w:w="75" w:type="dxa"/>
            <w:tcBorders/>
            <w:vAlign w:val="center"/>
          </w:tcPr>
          <w:p>
            <w:pPr>
              <w:pStyle w:val="TableContents"/>
              <w:bidi w:val="0"/>
              <w:spacing w:before="0" w:after="283"/>
              <w:jc w:val="center"/>
              <w:rPr/>
            </w:pPr>
            <w:r>
              <w:rPr/>
              <w:t> </w:t>
            </w:r>
          </w:p>
        </w:tc>
      </w:tr>
      <w:tr>
        <w:trPr/>
        <w:tc>
          <w:tcPr>
            <w:tcW w:w="3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Midpoint </w:t>
            </w:r>
            <w:r>
              <w:rPr>
                <w:b/>
                <w:position w:val="7"/>
                <w:sz w:val="16"/>
                <w:sz w:val="20"/>
              </w:rPr>
              <w:t>(1)</w:t>
            </w:r>
          </w:p>
        </w:tc>
        <w:tc>
          <w:tcPr>
            <w:tcW w:w="196" w:type="dxa"/>
            <w:tcBorders/>
            <w:vAlign w:val="center"/>
          </w:tcPr>
          <w:p>
            <w:pPr>
              <w:pStyle w:val="TableContents"/>
              <w:bidi w:val="0"/>
              <w:spacing w:before="0" w:after="283"/>
              <w:jc w:val="center"/>
              <w:rPr/>
            </w:pPr>
            <w:r>
              <w:rPr/>
              <w:t> </w:t>
            </w:r>
          </w:p>
        </w:tc>
        <w:tc>
          <w:tcPr>
            <w:tcW w:w="63" w:type="dxa"/>
            <w:tcBorders/>
            <w:vAlign w:val="center"/>
          </w:tcPr>
          <w:p>
            <w:pPr>
              <w:pStyle w:val="TableContents"/>
              <w:bidi w:val="0"/>
              <w:spacing w:before="0" w:after="283"/>
              <w:jc w:val="center"/>
              <w:rPr/>
            </w:pPr>
            <w:r>
              <w:rPr/>
              <w:t> </w:t>
            </w:r>
          </w:p>
        </w:tc>
        <w:tc>
          <w:tcPr>
            <w:tcW w:w="89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Range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Midpoint </w:t>
            </w:r>
            <w:r>
              <w:rPr>
                <w:b/>
                <w:position w:val="7"/>
                <w:sz w:val="16"/>
                <w:sz w:val="20"/>
              </w:rPr>
              <w:t>(1)</w:t>
            </w:r>
          </w:p>
        </w:tc>
        <w:tc>
          <w:tcPr>
            <w:tcW w:w="195" w:type="dxa"/>
            <w:tcBorders/>
            <w:vAlign w:val="center"/>
          </w:tcPr>
          <w:p>
            <w:pPr>
              <w:pStyle w:val="TableContents"/>
              <w:bidi w:val="0"/>
              <w:spacing w:before="0" w:after="283"/>
              <w:jc w:val="center"/>
              <w:rPr/>
            </w:pPr>
            <w:r>
              <w:rPr/>
              <w:t> </w:t>
            </w:r>
          </w:p>
        </w:tc>
        <w:tc>
          <w:tcPr>
            <w:tcW w:w="63" w:type="dxa"/>
            <w:tcBorders/>
            <w:vAlign w:val="center"/>
          </w:tcPr>
          <w:p>
            <w:pPr>
              <w:pStyle w:val="TableContents"/>
              <w:bidi w:val="0"/>
              <w:spacing w:before="0" w:after="283"/>
              <w:jc w:val="center"/>
              <w:rPr/>
            </w:pPr>
            <w:r>
              <w:rPr/>
              <w:t> </w:t>
            </w:r>
          </w:p>
        </w:tc>
        <w:tc>
          <w:tcPr>
            <w:tcW w:w="84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Range</w:t>
            </w:r>
          </w:p>
        </w:tc>
        <w:tc>
          <w:tcPr>
            <w:tcW w:w="75" w:type="dxa"/>
            <w:tcBorders/>
            <w:vAlign w:val="center"/>
          </w:tcPr>
          <w:p>
            <w:pPr>
              <w:pStyle w:val="TableContents"/>
              <w:bidi w:val="0"/>
              <w:spacing w:before="0" w:after="283"/>
              <w:jc w:val="center"/>
              <w:rPr/>
            </w:pPr>
            <w:r>
              <w:rPr/>
              <w:t> </w:t>
            </w:r>
          </w:p>
        </w:tc>
      </w:tr>
      <w:tr>
        <w:trPr/>
        <w:tc>
          <w:tcPr>
            <w:tcW w:w="3125" w:type="dxa"/>
            <w:tcBorders/>
            <w:shd w:fill="CCEEFF" w:val="clear"/>
            <w:vAlign w:val="center"/>
          </w:tcPr>
          <w:p>
            <w:pPr>
              <w:pStyle w:val="TableContents"/>
              <w:bidi w:val="0"/>
              <w:spacing w:before="0" w:after="283"/>
              <w:jc w:val="left"/>
              <w:rPr>
                <w:b/>
                <w:sz w:val="20"/>
              </w:rPr>
            </w:pPr>
            <w:r>
              <w:rPr>
                <w:b/>
                <w:sz w:val="20"/>
              </w:rPr>
              <w:t>Revenue ($millions)</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222.5</w:t>
            </w:r>
          </w:p>
        </w:tc>
        <w:tc>
          <w:tcPr>
            <w:tcW w:w="196"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center"/>
              <w:rPr>
                <w:sz w:val="20"/>
              </w:rPr>
            </w:pPr>
            <w:r>
              <w:rPr>
                <w:sz w:val="20"/>
              </w:rPr>
              <w:t>+/-$7.5M</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825</w:t>
            </w:r>
          </w:p>
        </w:tc>
        <w:tc>
          <w:tcPr>
            <w:tcW w:w="19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center"/>
              <w:rPr>
                <w:sz w:val="20"/>
              </w:rPr>
            </w:pPr>
            <w:r>
              <w:rPr>
                <w:sz w:val="20"/>
              </w:rPr>
              <w:t>+/-$15M</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b/>
                <w:sz w:val="20"/>
              </w:rPr>
            </w:pPr>
            <w:r>
              <w:rPr>
                <w:b/>
                <w:sz w:val="20"/>
              </w:rPr>
              <w:t>Gross margin:</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196"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pPr>
            <w:r>
              <w:rPr/>
              <w:t> </w:t>
            </w:r>
          </w:p>
        </w:tc>
        <w:tc>
          <w:tcPr>
            <w:tcW w:w="19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b/>
                <w:sz w:val="20"/>
              </w:rPr>
            </w:pPr>
            <w:r>
              <w:rPr>
                <w:b/>
                <w:sz w:val="20"/>
              </w:rPr>
              <w:t>GAAP outlook</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sz w:val="20"/>
              </w:rPr>
            </w:pPr>
            <w:r>
              <w:rPr>
                <w:sz w:val="20"/>
              </w:rPr>
              <w:t>49.5</w:t>
            </w:r>
          </w:p>
        </w:tc>
        <w:tc>
          <w:tcPr>
            <w:tcW w:w="196" w:type="dxa"/>
            <w:tcBorders/>
            <w:shd w:fill="FFFFFF" w:val="clear"/>
            <w:vAlign w:val="center"/>
          </w:tcPr>
          <w:p>
            <w:pPr>
              <w:pStyle w:val="TableContents"/>
              <w:bidi w:val="0"/>
              <w:spacing w:before="0" w:after="283"/>
              <w:jc w:val="left"/>
              <w:rPr>
                <w:sz w:val="20"/>
              </w:rPr>
            </w:pPr>
            <w:r>
              <w:rPr>
                <w:sz w:val="20"/>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sz w:val="20"/>
              </w:rPr>
            </w:pPr>
            <w:r>
              <w:rPr>
                <w:sz w:val="20"/>
              </w:rPr>
              <w:t>49.3</w:t>
            </w:r>
          </w:p>
        </w:tc>
        <w:tc>
          <w:tcPr>
            <w:tcW w:w="195" w:type="dxa"/>
            <w:tcBorders/>
            <w:shd w:fill="FFFFFF" w:val="clear"/>
            <w:vAlign w:val="center"/>
          </w:tcPr>
          <w:p>
            <w:pPr>
              <w:pStyle w:val="TableContents"/>
              <w:bidi w:val="0"/>
              <w:spacing w:before="0" w:after="283"/>
              <w:jc w:val="left"/>
              <w:rPr>
                <w:sz w:val="20"/>
              </w:rPr>
            </w:pPr>
            <w:r>
              <w:rPr>
                <w:sz w:val="20"/>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sz w:val="20"/>
              </w:rPr>
            </w:pPr>
            <w:r>
              <w:rPr>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sz w:val="20"/>
              </w:rPr>
            </w:pPr>
            <w:r>
              <w:rPr>
                <w:sz w:val="20"/>
              </w:rPr>
              <w:t>0.1</w:t>
            </w:r>
          </w:p>
        </w:tc>
        <w:tc>
          <w:tcPr>
            <w:tcW w:w="196" w:type="dxa"/>
            <w:tcBorders/>
            <w:shd w:fill="CCEEFF" w:val="clear"/>
            <w:vAlign w:val="center"/>
          </w:tcPr>
          <w:p>
            <w:pPr>
              <w:pStyle w:val="TableContents"/>
              <w:bidi w:val="0"/>
              <w:spacing w:before="0" w:after="283"/>
              <w:jc w:val="left"/>
              <w:rPr>
                <w:sz w:val="20"/>
              </w:rPr>
            </w:pPr>
            <w:r>
              <w:rPr>
                <w:sz w:val="20"/>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sz w:val="20"/>
              </w:rPr>
            </w:pPr>
            <w:r>
              <w:rPr>
                <w:sz w:val="20"/>
              </w:rPr>
              <w:t>0.1</w:t>
            </w:r>
          </w:p>
        </w:tc>
        <w:tc>
          <w:tcPr>
            <w:tcW w:w="195" w:type="dxa"/>
            <w:tcBorders/>
            <w:shd w:fill="CCEEFF" w:val="clear"/>
            <w:vAlign w:val="center"/>
          </w:tcPr>
          <w:p>
            <w:pPr>
              <w:pStyle w:val="TableContents"/>
              <w:bidi w:val="0"/>
              <w:spacing w:before="0" w:after="283"/>
              <w:jc w:val="left"/>
              <w:rPr>
                <w:sz w:val="20"/>
              </w:rPr>
            </w:pPr>
            <w:r>
              <w:rPr>
                <w:sz w:val="20"/>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sz w:val="20"/>
              </w:rPr>
            </w:pPr>
            <w:r>
              <w:rPr>
                <w:sz w:val="20"/>
              </w:rPr>
              <w:t>Amortization of acquired technology</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1.9</w:t>
            </w:r>
          </w:p>
        </w:tc>
        <w:tc>
          <w:tcPr>
            <w:tcW w:w="196" w:type="dxa"/>
            <w:tcBorders/>
            <w:shd w:fill="FFFFFF" w:val="clear"/>
            <w:vAlign w:val="center"/>
          </w:tcPr>
          <w:p>
            <w:pPr>
              <w:pStyle w:val="TableContents"/>
              <w:bidi w:val="0"/>
              <w:spacing w:before="0" w:after="283"/>
              <w:jc w:val="left"/>
              <w:rPr>
                <w:sz w:val="20"/>
              </w:rPr>
            </w:pPr>
            <w:r>
              <w:rPr>
                <w:sz w:val="20"/>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2.1</w:t>
            </w:r>
          </w:p>
        </w:tc>
        <w:tc>
          <w:tcPr>
            <w:tcW w:w="195" w:type="dxa"/>
            <w:tcBorders/>
            <w:shd w:fill="FFFFFF" w:val="clear"/>
            <w:vAlign w:val="center"/>
          </w:tcPr>
          <w:p>
            <w:pPr>
              <w:pStyle w:val="TableContents"/>
              <w:bidi w:val="0"/>
              <w:spacing w:before="0" w:after="283"/>
              <w:jc w:val="left"/>
              <w:rPr>
                <w:sz w:val="20"/>
              </w:rPr>
            </w:pPr>
            <w:r>
              <w:rPr>
                <w:sz w:val="20"/>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b/>
                <w:sz w:val="20"/>
              </w:rPr>
            </w:pPr>
            <w:r>
              <w:rPr>
                <w:b/>
                <w:sz w:val="20"/>
              </w:rPr>
              <w:t>Non-GAAP outlook</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51.5</w:t>
            </w:r>
          </w:p>
        </w:tc>
        <w:tc>
          <w:tcPr>
            <w:tcW w:w="196" w:type="dxa"/>
            <w:tcBorders/>
            <w:shd w:fill="CCEEFF" w:val="clear"/>
            <w:vAlign w:val="center"/>
          </w:tcPr>
          <w:p>
            <w:pPr>
              <w:pStyle w:val="TableContents"/>
              <w:bidi w:val="0"/>
              <w:spacing w:before="0" w:after="283"/>
              <w:jc w:val="left"/>
              <w:rPr>
                <w:sz w:val="20"/>
              </w:rPr>
            </w:pPr>
            <w:r>
              <w:rPr>
                <w:sz w:val="20"/>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center"/>
              <w:rPr>
                <w:sz w:val="20"/>
              </w:rPr>
            </w:pPr>
            <w:r>
              <w:rPr>
                <w:sz w:val="20"/>
              </w:rPr>
              <w:t>+/-0.5%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9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51.5</w:t>
            </w:r>
          </w:p>
        </w:tc>
        <w:tc>
          <w:tcPr>
            <w:tcW w:w="195" w:type="dxa"/>
            <w:tcBorders/>
            <w:shd w:fill="CCEEFF" w:val="clear"/>
            <w:vAlign w:val="center"/>
          </w:tcPr>
          <w:p>
            <w:pPr>
              <w:pStyle w:val="TableContents"/>
              <w:bidi w:val="0"/>
              <w:spacing w:before="0" w:after="283"/>
              <w:jc w:val="left"/>
              <w:rPr>
                <w:sz w:val="20"/>
              </w:rPr>
            </w:pPr>
            <w:r>
              <w:rPr>
                <w:sz w:val="20"/>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center"/>
              <w:rPr>
                <w:sz w:val="20"/>
              </w:rPr>
            </w:pPr>
            <w:r>
              <w:rPr>
                <w:sz w:val="20"/>
              </w:rPr>
              <w:t>+/-0.5%</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b/>
                <w:sz w:val="20"/>
              </w:rPr>
            </w:pPr>
            <w:r>
              <w:rPr>
                <w:b/>
                <w:sz w:val="20"/>
              </w:rPr>
              <w:t>Adjusted EBITDA ($millions):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196"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pPr>
            <w:r>
              <w:rPr/>
              <w:t> </w:t>
            </w:r>
          </w:p>
        </w:tc>
        <w:tc>
          <w:tcPr>
            <w:tcW w:w="19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b/>
                <w:sz w:val="20"/>
              </w:rPr>
            </w:pPr>
            <w:r>
              <w:rPr>
                <w:b/>
                <w:sz w:val="20"/>
              </w:rPr>
              <w:t>GAAP income (loss) from operations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sz w:val="20"/>
              </w:rPr>
            </w:pPr>
            <w:r>
              <w:rPr>
                <w:sz w:val="20"/>
              </w:rPr>
              <w:t>$</w:t>
            </w:r>
          </w:p>
        </w:tc>
        <w:tc>
          <w:tcPr>
            <w:tcW w:w="840" w:type="dxa"/>
            <w:tcBorders/>
            <w:shd w:fill="FFFFFF" w:val="clear"/>
            <w:vAlign w:val="center"/>
          </w:tcPr>
          <w:p>
            <w:pPr>
              <w:pStyle w:val="TableContents"/>
              <w:bidi w:val="0"/>
              <w:spacing w:before="0" w:after="283"/>
              <w:jc w:val="right"/>
              <w:rPr>
                <w:sz w:val="20"/>
              </w:rPr>
            </w:pPr>
            <w:r>
              <w:rPr>
                <w:sz w:val="20"/>
              </w:rPr>
              <w:t>6.2</w:t>
            </w:r>
          </w:p>
        </w:tc>
        <w:tc>
          <w:tcPr>
            <w:tcW w:w="196"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sz w:val="20"/>
              </w:rPr>
            </w:pPr>
            <w:r>
              <w:rPr>
                <w:sz w:val="20"/>
              </w:rPr>
              <w:t>$</w:t>
            </w:r>
          </w:p>
        </w:tc>
        <w:tc>
          <w:tcPr>
            <w:tcW w:w="793" w:type="dxa"/>
            <w:tcBorders/>
            <w:shd w:fill="FFFFFF" w:val="clear"/>
            <w:vAlign w:val="center"/>
          </w:tcPr>
          <w:p>
            <w:pPr>
              <w:pStyle w:val="TableContents"/>
              <w:bidi w:val="0"/>
              <w:spacing w:before="0" w:after="283"/>
              <w:jc w:val="right"/>
              <w:rPr>
                <w:sz w:val="20"/>
              </w:rPr>
            </w:pPr>
            <w:r>
              <w:rPr>
                <w:sz w:val="20"/>
              </w:rPr>
              <w:t>(9.8</w:t>
            </w:r>
          </w:p>
        </w:tc>
        <w:tc>
          <w:tcPr>
            <w:tcW w:w="195" w:type="dxa"/>
            <w:tcBorders/>
            <w:shd w:fill="FFFFFF" w:val="clear"/>
            <w:vAlign w:val="center"/>
          </w:tcPr>
          <w:p>
            <w:pPr>
              <w:pStyle w:val="TableContents"/>
              <w:bidi w:val="0"/>
              <w:spacing w:before="0" w:after="283"/>
              <w:jc w:val="left"/>
              <w:rPr>
                <w:sz w:val="20"/>
              </w:rPr>
            </w:pPr>
            <w:r>
              <w:rPr>
                <w:sz w:val="20"/>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sz w:val="20"/>
              </w:rPr>
            </w:pPr>
            <w:r>
              <w:rPr>
                <w:sz w:val="20"/>
              </w:rPr>
              <w:t>Depreciation</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sz w:val="20"/>
              </w:rPr>
            </w:pPr>
            <w:r>
              <w:rPr>
                <w:sz w:val="20"/>
              </w:rPr>
              <w:t>4.3</w:t>
            </w:r>
          </w:p>
        </w:tc>
        <w:tc>
          <w:tcPr>
            <w:tcW w:w="196"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sz w:val="20"/>
              </w:rPr>
            </w:pPr>
            <w:r>
              <w:rPr>
                <w:sz w:val="20"/>
              </w:rPr>
              <w:t>18.1</w:t>
            </w:r>
          </w:p>
        </w:tc>
        <w:tc>
          <w:tcPr>
            <w:tcW w:w="19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sz w:val="20"/>
              </w:rPr>
            </w:pPr>
            <w:r>
              <w:rPr>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sz w:val="20"/>
              </w:rPr>
            </w:pPr>
            <w:r>
              <w:rPr>
                <w:sz w:val="20"/>
              </w:rPr>
              <w:t>5.0</w:t>
            </w:r>
          </w:p>
        </w:tc>
        <w:tc>
          <w:tcPr>
            <w:tcW w:w="196"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sz w:val="20"/>
              </w:rPr>
            </w:pPr>
            <w:r>
              <w:rPr>
                <w:sz w:val="20"/>
              </w:rPr>
              <w:t>21.0</w:t>
            </w:r>
          </w:p>
        </w:tc>
        <w:tc>
          <w:tcPr>
            <w:tcW w:w="19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sz w:val="20"/>
              </w:rPr>
            </w:pPr>
            <w:r>
              <w:rPr>
                <w:sz w:val="20"/>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sz w:val="20"/>
              </w:rPr>
            </w:pPr>
            <w:r>
              <w:rPr>
                <w:sz w:val="20"/>
              </w:rPr>
              <w:t>9.8</w:t>
            </w:r>
          </w:p>
        </w:tc>
        <w:tc>
          <w:tcPr>
            <w:tcW w:w="196"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sz w:val="20"/>
              </w:rPr>
            </w:pPr>
            <w:r>
              <w:rPr>
                <w:sz w:val="20"/>
              </w:rPr>
              <w:t>39.6</w:t>
            </w:r>
          </w:p>
        </w:tc>
        <w:tc>
          <w:tcPr>
            <w:tcW w:w="19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sz w:val="20"/>
              </w:rPr>
            </w:pPr>
            <w:r>
              <w:rPr>
                <w:sz w:val="20"/>
              </w:rPr>
              <w:t>Litigation costs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sz w:val="20"/>
              </w:rPr>
            </w:pPr>
            <w:r>
              <w:rPr>
                <w:sz w:val="20"/>
              </w:rPr>
              <w:t>0.2</w:t>
            </w:r>
          </w:p>
        </w:tc>
        <w:tc>
          <w:tcPr>
            <w:tcW w:w="196"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sz w:val="20"/>
              </w:rPr>
            </w:pPr>
            <w:r>
              <w:rPr>
                <w:sz w:val="20"/>
              </w:rPr>
              <w:t>1.6</w:t>
            </w:r>
          </w:p>
        </w:tc>
        <w:tc>
          <w:tcPr>
            <w:tcW w:w="19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sz w:val="20"/>
              </w:rPr>
            </w:pPr>
            <w:r>
              <w:rPr>
                <w:sz w:val="20"/>
              </w:rPr>
              <w:t>Restructuring and related</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sz w:val="20"/>
              </w:rPr>
            </w:pPr>
            <w:r>
              <w:rPr>
                <w:sz w:val="20"/>
              </w:rPr>
              <w:t>3.0</w:t>
            </w:r>
          </w:p>
        </w:tc>
        <w:tc>
          <w:tcPr>
            <w:tcW w:w="196"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sz w:val="20"/>
              </w:rPr>
            </w:pPr>
            <w:r>
              <w:rPr>
                <w:sz w:val="20"/>
              </w:rPr>
              <w:t>12.5</w:t>
            </w:r>
          </w:p>
        </w:tc>
        <w:tc>
          <w:tcPr>
            <w:tcW w:w="19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b/>
                <w:sz w:val="20"/>
              </w:rPr>
            </w:pPr>
            <w:r>
              <w:rPr>
                <w:b/>
                <w:sz w:val="20"/>
              </w:rPr>
              <w:t>Non-GAAP outlook</w:t>
            </w:r>
          </w:p>
        </w:tc>
        <w:tc>
          <w:tcPr>
            <w:tcW w:w="60" w:type="dxa"/>
            <w:tcBorders/>
            <w:shd w:fill="FFFFFF" w:val="clear"/>
            <w:vAlign w:val="center"/>
          </w:tcPr>
          <w:p>
            <w:pPr>
              <w:pStyle w:val="TableContents"/>
              <w:bidi w:val="0"/>
              <w:spacing w:before="0" w:after="283"/>
              <w:jc w:val="left"/>
              <w:rPr/>
            </w:pPr>
            <w:r>
              <w:rPr/>
              <w:t> </w:t>
            </w:r>
          </w:p>
        </w:tc>
        <w:tc>
          <w:tcPr>
            <w:tcW w:w="214"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283"/>
              <w:jc w:val="left"/>
              <w:rPr>
                <w:sz w:val="20"/>
              </w:rPr>
            </w:pPr>
            <w:r>
              <w:rPr>
                <w:sz w:val="20"/>
              </w:rPr>
              <w:t>$</w:t>
            </w:r>
          </w:p>
        </w:tc>
        <w:tc>
          <w:tcPr>
            <w:tcW w:w="84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283"/>
              <w:jc w:val="right"/>
              <w:rPr>
                <w:sz w:val="20"/>
              </w:rPr>
            </w:pPr>
            <w:r>
              <w:rPr>
                <w:sz w:val="20"/>
              </w:rPr>
              <w:t>28.5</w:t>
            </w:r>
          </w:p>
        </w:tc>
        <w:tc>
          <w:tcPr>
            <w:tcW w:w="196"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center"/>
              <w:rPr>
                <w:sz w:val="20"/>
              </w:rPr>
            </w:pPr>
            <w:r>
              <w:rPr>
                <w:sz w:val="20"/>
              </w:rPr>
              <w:t>+/-$2.5M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283"/>
              <w:jc w:val="left"/>
              <w:rPr>
                <w:sz w:val="20"/>
              </w:rPr>
            </w:pPr>
            <w:r>
              <w:rPr>
                <w:sz w:val="20"/>
              </w:rPr>
              <w:t>$</w:t>
            </w:r>
          </w:p>
        </w:tc>
        <w:tc>
          <w:tcPr>
            <w:tcW w:w="793"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283"/>
              <w:jc w:val="right"/>
              <w:rPr>
                <w:sz w:val="20"/>
              </w:rPr>
            </w:pPr>
            <w:r>
              <w:rPr>
                <w:sz w:val="20"/>
              </w:rPr>
              <w:t>83.0</w:t>
            </w:r>
          </w:p>
        </w:tc>
        <w:tc>
          <w:tcPr>
            <w:tcW w:w="19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sz w:val="20"/>
              </w:rPr>
            </w:pPr>
            <w:r>
              <w:rPr>
                <w:sz w:val="20"/>
              </w:rPr>
              <w:t>+/-$5M</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590" w:type="dxa"/>
        <w:jc w:val="left"/>
        <w:tblInd w:w="0" w:type="dxa"/>
        <w:tblLayout w:type="fixed"/>
        <w:tblCellMar>
          <w:top w:w="0" w:type="dxa"/>
          <w:left w:w="0" w:type="dxa"/>
          <w:bottom w:w="0" w:type="dxa"/>
          <w:right w:w="0" w:type="dxa"/>
        </w:tblCellMar>
      </w:tblPr>
      <w:tblGrid>
        <w:gridCol w:w="6590"/>
      </w:tblGrid>
      <w:tr>
        <w:trPr/>
        <w:tc>
          <w:tcPr>
            <w:tcW w:w="6590" w:type="dxa"/>
            <w:tcBorders/>
            <w:vAlign w:val="center"/>
          </w:tcPr>
          <w:p>
            <w:pPr>
              <w:pStyle w:val="TableContents"/>
              <w:bidi w:val="0"/>
              <w:spacing w:before="0" w:after="283"/>
              <w:jc w:val="left"/>
              <w:rPr>
                <w:sz w:val="20"/>
              </w:rPr>
            </w:pPr>
            <w:r>
              <w:rPr>
                <w:sz w:val="20"/>
              </w:rPr>
              <w:t xml:space="preserve">(1) </w:t>
            </w:r>
            <w:r>
              <w:rPr>
                <w:rFonts w:ascii="Times New Roman;Times;Serif" w:hAnsi="Times New Roman;Times;Serif"/>
                <w:b w:val="false"/>
                <w:i w:val="false"/>
                <w:caps w:val="false"/>
                <w:smallCaps w:val="false"/>
                <w:sz w:val="20"/>
              </w:rPr>
              <w:t>Q3 2026 and FY 2026 outlook represents the midpoint of the expected ranges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5294</Words>
  <Characters>30283</Characters>
  <CharactersWithSpaces>36835</CharactersWithSpaces>
  <Paragraphs>3862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